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A2BB1" w14:textId="5911EFE7" w:rsidR="0079626C" w:rsidRPr="001508AE" w:rsidRDefault="004F1208" w:rsidP="004F1208">
      <w:pPr>
        <w:jc w:val="center"/>
        <w:rPr>
          <w:rFonts w:ascii="Times New Roman" w:hAnsi="Times New Roman" w:cs="Times New Roman"/>
          <w:b/>
        </w:rPr>
      </w:pPr>
      <w:r w:rsidRPr="001508AE">
        <w:rPr>
          <w:rFonts w:ascii="Times New Roman" w:hAnsi="Times New Roman" w:cs="Times New Roman"/>
          <w:b/>
        </w:rPr>
        <w:t>Odůvodnění k návrhu vyhlášky</w:t>
      </w:r>
      <w:r w:rsidR="00525484">
        <w:rPr>
          <w:rFonts w:ascii="Times New Roman" w:hAnsi="Times New Roman" w:cs="Times New Roman"/>
          <w:b/>
        </w:rPr>
        <w:t>, kterou se mění vyhláška</w:t>
      </w:r>
      <w:r w:rsidRPr="001508AE">
        <w:rPr>
          <w:rFonts w:ascii="Times New Roman" w:hAnsi="Times New Roman" w:cs="Times New Roman"/>
          <w:b/>
        </w:rPr>
        <w:t xml:space="preserve"> </w:t>
      </w:r>
      <w:r w:rsidR="00C426EE">
        <w:rPr>
          <w:rFonts w:ascii="Times New Roman" w:hAnsi="Times New Roman" w:cs="Times New Roman"/>
          <w:b/>
        </w:rPr>
        <w:t xml:space="preserve">č. 408/2015 Sb., </w:t>
      </w:r>
      <w:r w:rsidRPr="001508AE">
        <w:rPr>
          <w:rFonts w:ascii="Times New Roman" w:hAnsi="Times New Roman" w:cs="Times New Roman"/>
          <w:b/>
        </w:rPr>
        <w:t>o Pravidlech trhu s</w:t>
      </w:r>
      <w:r w:rsidR="00525484">
        <w:rPr>
          <w:rFonts w:ascii="Times New Roman" w:hAnsi="Times New Roman" w:cs="Times New Roman"/>
          <w:b/>
        </w:rPr>
        <w:t> </w:t>
      </w:r>
      <w:r w:rsidRPr="001508AE">
        <w:rPr>
          <w:rFonts w:ascii="Times New Roman" w:hAnsi="Times New Roman" w:cs="Times New Roman"/>
          <w:b/>
        </w:rPr>
        <w:t>elektřinou</w:t>
      </w:r>
      <w:r w:rsidR="00525484">
        <w:rPr>
          <w:rFonts w:ascii="Times New Roman" w:hAnsi="Times New Roman" w:cs="Times New Roman"/>
          <w:b/>
        </w:rPr>
        <w:t xml:space="preserve">, ve znění vyhlášky č. </w:t>
      </w:r>
      <w:r w:rsidR="000C01F7">
        <w:rPr>
          <w:rFonts w:ascii="Times New Roman" w:hAnsi="Times New Roman" w:cs="Times New Roman"/>
          <w:b/>
        </w:rPr>
        <w:t>125</w:t>
      </w:r>
      <w:r w:rsidR="00525484">
        <w:rPr>
          <w:rFonts w:ascii="Times New Roman" w:hAnsi="Times New Roman" w:cs="Times New Roman"/>
          <w:b/>
        </w:rPr>
        <w:t>/20</w:t>
      </w:r>
      <w:r w:rsidR="00322136">
        <w:rPr>
          <w:rFonts w:ascii="Times New Roman" w:hAnsi="Times New Roman" w:cs="Times New Roman"/>
          <w:b/>
        </w:rPr>
        <w:t>2</w:t>
      </w:r>
      <w:r w:rsidR="000C01F7">
        <w:rPr>
          <w:rFonts w:ascii="Times New Roman" w:hAnsi="Times New Roman" w:cs="Times New Roman"/>
          <w:b/>
        </w:rPr>
        <w:t>1</w:t>
      </w:r>
      <w:r w:rsidR="00525484">
        <w:rPr>
          <w:rFonts w:ascii="Times New Roman" w:hAnsi="Times New Roman" w:cs="Times New Roman"/>
          <w:b/>
        </w:rPr>
        <w:t xml:space="preserve"> Sb.</w:t>
      </w:r>
      <w:r w:rsidRPr="001508AE">
        <w:rPr>
          <w:rFonts w:ascii="Times New Roman" w:hAnsi="Times New Roman" w:cs="Times New Roman"/>
          <w:b/>
        </w:rPr>
        <w:t xml:space="preserve"> </w:t>
      </w:r>
    </w:p>
    <w:p w14:paraId="29FA2BB2" w14:textId="77777777" w:rsidR="004F1208" w:rsidRDefault="004F1208" w:rsidP="004F1208">
      <w:pPr>
        <w:jc w:val="center"/>
        <w:rPr>
          <w:rFonts w:ascii="Times New Roman" w:hAnsi="Times New Roman" w:cs="Times New Roman"/>
        </w:rPr>
      </w:pPr>
    </w:p>
    <w:p w14:paraId="29FA2BB3" w14:textId="77777777" w:rsidR="005B7CDC" w:rsidRPr="00287FC5" w:rsidRDefault="005B7CDC" w:rsidP="004F1208">
      <w:pPr>
        <w:jc w:val="both"/>
        <w:rPr>
          <w:rFonts w:ascii="Times New Roman" w:hAnsi="Times New Roman" w:cs="Times New Roman"/>
          <w:b/>
          <w:u w:val="single"/>
        </w:rPr>
      </w:pPr>
      <w:r w:rsidRPr="00287FC5">
        <w:rPr>
          <w:rFonts w:ascii="Times New Roman" w:hAnsi="Times New Roman" w:cs="Times New Roman"/>
          <w:b/>
          <w:u w:val="single"/>
        </w:rPr>
        <w:t>Obecná část</w:t>
      </w:r>
    </w:p>
    <w:p w14:paraId="29FA2BB4" w14:textId="175ED3DC" w:rsidR="004F1208" w:rsidRPr="0056354D" w:rsidRDefault="004F1208" w:rsidP="0056354D">
      <w:pPr>
        <w:pStyle w:val="Odstavecseseznamem"/>
        <w:numPr>
          <w:ilvl w:val="0"/>
          <w:numId w:val="5"/>
        </w:numPr>
        <w:jc w:val="both"/>
        <w:rPr>
          <w:rFonts w:ascii="Times New Roman" w:hAnsi="Times New Roman" w:cs="Times New Roman"/>
          <w:b/>
        </w:rPr>
      </w:pPr>
      <w:r w:rsidRPr="0056354D">
        <w:rPr>
          <w:rFonts w:ascii="Times New Roman" w:hAnsi="Times New Roman" w:cs="Times New Roman"/>
          <w:b/>
        </w:rPr>
        <w:t>Zhodnocení platného právního stavu</w:t>
      </w:r>
    </w:p>
    <w:p w14:paraId="3CAE90D4" w14:textId="098699CF" w:rsidR="00E72BC6" w:rsidRDefault="00E72BC6" w:rsidP="005701BA">
      <w:pPr>
        <w:ind w:firstLine="708"/>
        <w:jc w:val="both"/>
        <w:rPr>
          <w:rFonts w:ascii="Times New Roman" w:hAnsi="Times New Roman" w:cs="Times New Roman"/>
          <w:b/>
        </w:rPr>
      </w:pPr>
      <w:r>
        <w:rPr>
          <w:rFonts w:ascii="Times New Roman" w:hAnsi="Times New Roman" w:cs="Times New Roman"/>
        </w:rPr>
        <w:t xml:space="preserve">Podle ustanovení § </w:t>
      </w:r>
      <w:proofErr w:type="gramStart"/>
      <w:r>
        <w:rPr>
          <w:rFonts w:ascii="Times New Roman" w:hAnsi="Times New Roman" w:cs="Times New Roman"/>
        </w:rPr>
        <w:t>98a</w:t>
      </w:r>
      <w:proofErr w:type="gramEnd"/>
      <w:r>
        <w:rPr>
          <w:rFonts w:ascii="Times New Roman" w:hAnsi="Times New Roman" w:cs="Times New Roman"/>
        </w:rPr>
        <w:t xml:space="preserve"> odst. 2 písm. h) zákona č. 458/2000 Sb., o podmínkách podnikání a o výkonu státní správy v energetických odvětvích a o změně některých zákonů (energetický zákon), ve znění pozdějších předpisů, (dále jen „energetický zákon“) je Energetický regulační úřad (dále jen „Úřad“) povinen stanovit vyhláškou </w:t>
      </w:r>
      <w:r w:rsidRPr="00C570F2">
        <w:rPr>
          <w:rFonts w:ascii="Times New Roman" w:hAnsi="Times New Roman" w:cs="Times New Roman"/>
        </w:rPr>
        <w:t>Pravidla trhu s</w:t>
      </w:r>
      <w:r w:rsidR="00EB5FE1">
        <w:rPr>
          <w:rFonts w:ascii="Times New Roman" w:hAnsi="Times New Roman" w:cs="Times New Roman"/>
        </w:rPr>
        <w:t> </w:t>
      </w:r>
      <w:r w:rsidRPr="00C570F2">
        <w:rPr>
          <w:rFonts w:ascii="Times New Roman" w:hAnsi="Times New Roman" w:cs="Times New Roman"/>
        </w:rPr>
        <w:t>elektřinou</w:t>
      </w:r>
      <w:r w:rsidR="00EB5FE1">
        <w:rPr>
          <w:rFonts w:ascii="Times New Roman" w:hAnsi="Times New Roman" w:cs="Times New Roman"/>
        </w:rPr>
        <w:t>.</w:t>
      </w:r>
      <w:r w:rsidR="004F1208">
        <w:rPr>
          <w:rFonts w:ascii="Times New Roman" w:hAnsi="Times New Roman" w:cs="Times New Roman"/>
          <w:b/>
        </w:rPr>
        <w:tab/>
      </w:r>
    </w:p>
    <w:p w14:paraId="4B8BCFEE" w14:textId="384D4FC0" w:rsidR="004C3BBF" w:rsidRPr="005701BA" w:rsidRDefault="004C3BBF" w:rsidP="005701BA">
      <w:pPr>
        <w:ind w:firstLine="708"/>
        <w:jc w:val="both"/>
        <w:rPr>
          <w:rFonts w:ascii="Times New Roman" w:hAnsi="Times New Roman" w:cs="Times New Roman"/>
        </w:rPr>
      </w:pPr>
      <w:r>
        <w:rPr>
          <w:rFonts w:ascii="Times New Roman" w:hAnsi="Times New Roman" w:cs="Times New Roman"/>
        </w:rPr>
        <w:t xml:space="preserve">Podle ustanovení </w:t>
      </w:r>
      <w:r w:rsidR="00206D9A">
        <w:rPr>
          <w:rFonts w:ascii="Times New Roman" w:hAnsi="Times New Roman"/>
        </w:rPr>
        <w:t>§ 53 odst. 2 písm. g), h), j) a k)</w:t>
      </w:r>
      <w:r w:rsidR="00A86F88">
        <w:rPr>
          <w:rFonts w:ascii="Times New Roman" w:hAnsi="Times New Roman"/>
        </w:rPr>
        <w:t xml:space="preserve"> zákona č. 165/2012 Sb., o podporovaných zdrojích energie a o změně některých zákonů, ve znění pozdějších předpisů, </w:t>
      </w:r>
      <w:r w:rsidR="008B548F">
        <w:rPr>
          <w:rFonts w:ascii="Times New Roman" w:hAnsi="Times New Roman" w:cs="Times New Roman"/>
        </w:rPr>
        <w:t>(dále jen „zákon o podporovaných zdrojích energie“)</w:t>
      </w:r>
      <w:r w:rsidR="00206D9A">
        <w:rPr>
          <w:rFonts w:ascii="Times New Roman" w:hAnsi="Times New Roman" w:cs="Times New Roman"/>
        </w:rPr>
        <w:t xml:space="preserve"> je dále Úřad povinen stanovit vyhláškou </w:t>
      </w:r>
      <w:r w:rsidR="00206D9A" w:rsidRPr="00206D9A">
        <w:rPr>
          <w:rFonts w:ascii="Times New Roman" w:hAnsi="Times New Roman" w:cs="Times New Roman"/>
        </w:rPr>
        <w:t>způsob a postup stanovení rozdílu mezi hodinovou cenou a výkupní cenou a jeho úhrady, operátorov</w:t>
      </w:r>
      <w:r w:rsidR="00206D9A">
        <w:rPr>
          <w:rFonts w:ascii="Times New Roman" w:hAnsi="Times New Roman" w:cs="Times New Roman"/>
        </w:rPr>
        <w:t xml:space="preserve">i trhu, </w:t>
      </w:r>
      <w:r w:rsidR="00206D9A" w:rsidRPr="00206D9A">
        <w:rPr>
          <w:rFonts w:ascii="Times New Roman" w:hAnsi="Times New Roman" w:cs="Times New Roman"/>
        </w:rPr>
        <w:t>způsob stanovení hodinového zeleného bonusu na elektřinu, hodinové ceny a ceny za činnost povinně vykupujícího</w:t>
      </w:r>
      <w:r w:rsidR="00206D9A">
        <w:rPr>
          <w:rFonts w:ascii="Times New Roman" w:hAnsi="Times New Roman" w:cs="Times New Roman"/>
        </w:rPr>
        <w:t xml:space="preserve">, </w:t>
      </w:r>
      <w:r w:rsidR="00206D9A" w:rsidRPr="00206D9A">
        <w:rPr>
          <w:rFonts w:ascii="Times New Roman" w:hAnsi="Times New Roman" w:cs="Times New Roman"/>
        </w:rPr>
        <w:t>termíny a způsob informování výrobce povinně vykupujícím nebo vykupujícím o dosažení záporné ceny na denním trhu s elektřinou a o situaci, kdy nedojde k sesouhlasení nabídky a pop</w:t>
      </w:r>
      <w:r w:rsidR="00206D9A">
        <w:rPr>
          <w:rFonts w:ascii="Times New Roman" w:hAnsi="Times New Roman" w:cs="Times New Roman"/>
        </w:rPr>
        <w:t xml:space="preserve">távky elektřiny na denním trhu, a </w:t>
      </w:r>
      <w:r w:rsidR="00206D9A" w:rsidRPr="00206D9A">
        <w:rPr>
          <w:rFonts w:ascii="Times New Roman" w:hAnsi="Times New Roman" w:cs="Times New Roman"/>
        </w:rPr>
        <w:t>způsob a termíny účtování a hrazení složky ceny služby distribuční soustavy a složky ceny služby přenosové soustavy na podporu elektřiny mezi operátorem trhu a provozovatelem přenosové soustavy a provozovatelem regionální distribuční soustavy a mezi provozovateli distribučních soustav</w:t>
      </w:r>
      <w:r w:rsidR="00206D9A">
        <w:rPr>
          <w:rFonts w:ascii="Times New Roman" w:hAnsi="Times New Roman" w:cs="Times New Roman"/>
        </w:rPr>
        <w:t>.</w:t>
      </w:r>
    </w:p>
    <w:p w14:paraId="29FA2BB5" w14:textId="7DB968E7" w:rsidR="009C33AC" w:rsidRDefault="004F1208" w:rsidP="00E72BC6">
      <w:pPr>
        <w:ind w:firstLine="708"/>
        <w:jc w:val="both"/>
        <w:rPr>
          <w:rFonts w:ascii="Times New Roman" w:hAnsi="Times New Roman" w:cs="Times New Roman"/>
        </w:rPr>
      </w:pPr>
      <w:r>
        <w:rPr>
          <w:rFonts w:ascii="Times New Roman" w:hAnsi="Times New Roman" w:cs="Times New Roman"/>
        </w:rPr>
        <w:t xml:space="preserve">Na základě </w:t>
      </w:r>
      <w:r w:rsidR="00AF54F2">
        <w:rPr>
          <w:rFonts w:ascii="Times New Roman" w:hAnsi="Times New Roman" w:cs="Times New Roman"/>
        </w:rPr>
        <w:t xml:space="preserve">ustanovení § </w:t>
      </w:r>
      <w:proofErr w:type="gramStart"/>
      <w:r w:rsidR="00AF54F2">
        <w:rPr>
          <w:rFonts w:ascii="Times New Roman" w:hAnsi="Times New Roman" w:cs="Times New Roman"/>
        </w:rPr>
        <w:t>98a</w:t>
      </w:r>
      <w:proofErr w:type="gramEnd"/>
      <w:r w:rsidR="00AF54F2">
        <w:rPr>
          <w:rFonts w:ascii="Times New Roman" w:hAnsi="Times New Roman" w:cs="Times New Roman"/>
        </w:rPr>
        <w:t xml:space="preserve"> odst. 2 písm. h) </w:t>
      </w:r>
      <w:r w:rsidR="00E72BC6">
        <w:rPr>
          <w:rFonts w:ascii="Times New Roman" w:hAnsi="Times New Roman" w:cs="Times New Roman"/>
        </w:rPr>
        <w:t xml:space="preserve">energetického </w:t>
      </w:r>
      <w:r>
        <w:rPr>
          <w:rFonts w:ascii="Times New Roman" w:hAnsi="Times New Roman" w:cs="Times New Roman"/>
        </w:rPr>
        <w:t xml:space="preserve">zákona </w:t>
      </w:r>
      <w:r w:rsidR="00371A35">
        <w:rPr>
          <w:rFonts w:ascii="Times New Roman" w:hAnsi="Times New Roman" w:cs="Times New Roman"/>
        </w:rPr>
        <w:t xml:space="preserve">a ustanovení </w:t>
      </w:r>
      <w:r w:rsidR="00371A35">
        <w:rPr>
          <w:rFonts w:ascii="Times New Roman" w:hAnsi="Times New Roman"/>
        </w:rPr>
        <w:t xml:space="preserve">§ 53 odst. 2 písm. g), h), j) a k) zákona o podporovaných zdrojích energie </w:t>
      </w:r>
      <w:r w:rsidR="00B94946">
        <w:rPr>
          <w:rFonts w:ascii="Times New Roman" w:hAnsi="Times New Roman" w:cs="Times New Roman"/>
        </w:rPr>
        <w:t>vydal v roce 201</w:t>
      </w:r>
      <w:r>
        <w:rPr>
          <w:rFonts w:ascii="Times New Roman" w:hAnsi="Times New Roman" w:cs="Times New Roman"/>
        </w:rPr>
        <w:t xml:space="preserve">5 </w:t>
      </w:r>
      <w:r w:rsidR="00E72BC6">
        <w:rPr>
          <w:rFonts w:ascii="Times New Roman" w:hAnsi="Times New Roman" w:cs="Times New Roman"/>
        </w:rPr>
        <w:t>Úřad</w:t>
      </w:r>
      <w:r>
        <w:rPr>
          <w:rFonts w:ascii="Times New Roman" w:hAnsi="Times New Roman" w:cs="Times New Roman"/>
        </w:rPr>
        <w:t xml:space="preserve"> </w:t>
      </w:r>
      <w:r w:rsidR="00B94946">
        <w:rPr>
          <w:rFonts w:ascii="Times New Roman" w:hAnsi="Times New Roman" w:cs="Times New Roman"/>
        </w:rPr>
        <w:t>vyhlášku č.</w:t>
      </w:r>
      <w:r w:rsidR="00426D7B">
        <w:rPr>
          <w:rFonts w:ascii="Times New Roman" w:hAnsi="Times New Roman" w:cs="Times New Roman"/>
        </w:rPr>
        <w:t> </w:t>
      </w:r>
      <w:r w:rsidR="00B94946">
        <w:rPr>
          <w:rFonts w:ascii="Times New Roman" w:hAnsi="Times New Roman" w:cs="Times New Roman"/>
        </w:rPr>
        <w:t xml:space="preserve">408/2015 Sb., o Pravidlech trhu </w:t>
      </w:r>
      <w:r w:rsidR="00AB52D0">
        <w:rPr>
          <w:rFonts w:ascii="Times New Roman" w:hAnsi="Times New Roman" w:cs="Times New Roman"/>
        </w:rPr>
        <w:t>s</w:t>
      </w:r>
      <w:r w:rsidR="0008237D">
        <w:rPr>
          <w:rFonts w:ascii="Times New Roman" w:hAnsi="Times New Roman" w:cs="Times New Roman"/>
        </w:rPr>
        <w:t> </w:t>
      </w:r>
      <w:r w:rsidR="00B94946">
        <w:rPr>
          <w:rFonts w:ascii="Times New Roman" w:hAnsi="Times New Roman" w:cs="Times New Roman"/>
        </w:rPr>
        <w:t>elektřinou</w:t>
      </w:r>
      <w:r w:rsidR="0008237D">
        <w:rPr>
          <w:rFonts w:ascii="Times New Roman" w:hAnsi="Times New Roman" w:cs="Times New Roman"/>
        </w:rPr>
        <w:t xml:space="preserve"> (dále jen „vyhláška o Pravidlech trhu s elektřinou“)</w:t>
      </w:r>
      <w:r w:rsidR="00B94946">
        <w:rPr>
          <w:rFonts w:ascii="Times New Roman" w:hAnsi="Times New Roman" w:cs="Times New Roman"/>
        </w:rPr>
        <w:t>, která nahra</w:t>
      </w:r>
      <w:r w:rsidR="00AB52D0">
        <w:rPr>
          <w:rFonts w:ascii="Times New Roman" w:hAnsi="Times New Roman" w:cs="Times New Roman"/>
        </w:rPr>
        <w:t>dila</w:t>
      </w:r>
      <w:r w:rsidR="00B94946">
        <w:rPr>
          <w:rFonts w:ascii="Times New Roman" w:hAnsi="Times New Roman" w:cs="Times New Roman"/>
        </w:rPr>
        <w:t xml:space="preserve"> </w:t>
      </w:r>
      <w:r>
        <w:rPr>
          <w:rFonts w:ascii="Times New Roman" w:hAnsi="Times New Roman" w:cs="Times New Roman"/>
        </w:rPr>
        <w:t>vyhlášku č. 541/2005 Sb., o Pravidlech trhu s elektřinou, zásadách tvorby cen za činnosti operátora trhu s elektřinou a provedení</w:t>
      </w:r>
      <w:r w:rsidR="0015332F">
        <w:rPr>
          <w:rFonts w:ascii="Times New Roman" w:hAnsi="Times New Roman" w:cs="Times New Roman"/>
        </w:rPr>
        <w:t xml:space="preserve"> </w:t>
      </w:r>
      <w:r>
        <w:rPr>
          <w:rFonts w:ascii="Times New Roman" w:hAnsi="Times New Roman" w:cs="Times New Roman"/>
        </w:rPr>
        <w:t>některých dalších u</w:t>
      </w:r>
      <w:r w:rsidR="00B94946">
        <w:rPr>
          <w:rFonts w:ascii="Times New Roman" w:hAnsi="Times New Roman" w:cs="Times New Roman"/>
        </w:rPr>
        <w:t>stanovení energetického zákona</w:t>
      </w:r>
      <w:r w:rsidR="004D5174">
        <w:rPr>
          <w:rFonts w:ascii="Times New Roman" w:hAnsi="Times New Roman" w:cs="Times New Roman"/>
        </w:rPr>
        <w:t>.</w:t>
      </w:r>
      <w:r w:rsidR="003720B5">
        <w:rPr>
          <w:rFonts w:ascii="Times New Roman" w:hAnsi="Times New Roman" w:cs="Times New Roman"/>
        </w:rPr>
        <w:t xml:space="preserve"> Vyhláška </w:t>
      </w:r>
      <w:r w:rsidR="002D5CD2">
        <w:rPr>
          <w:rFonts w:ascii="Times New Roman" w:hAnsi="Times New Roman" w:cs="Times New Roman"/>
        </w:rPr>
        <w:t>č. 408/2015 Sb.</w:t>
      </w:r>
      <w:r w:rsidR="003720B5">
        <w:rPr>
          <w:rFonts w:ascii="Times New Roman" w:hAnsi="Times New Roman" w:cs="Times New Roman"/>
        </w:rPr>
        <w:t xml:space="preserve"> byla </w:t>
      </w:r>
      <w:r w:rsidR="000C01F7">
        <w:rPr>
          <w:rFonts w:ascii="Times New Roman" w:hAnsi="Times New Roman" w:cs="Times New Roman"/>
        </w:rPr>
        <w:t>v </w:t>
      </w:r>
      <w:r w:rsidR="003720B5">
        <w:rPr>
          <w:rFonts w:ascii="Times New Roman" w:hAnsi="Times New Roman" w:cs="Times New Roman"/>
        </w:rPr>
        <w:t>násled</w:t>
      </w:r>
      <w:r w:rsidR="000C01F7">
        <w:rPr>
          <w:rFonts w:ascii="Times New Roman" w:hAnsi="Times New Roman" w:cs="Times New Roman"/>
        </w:rPr>
        <w:t>ujících letech několikrát novelizována, a to</w:t>
      </w:r>
      <w:r w:rsidR="003720B5">
        <w:rPr>
          <w:rFonts w:ascii="Times New Roman" w:hAnsi="Times New Roman" w:cs="Times New Roman"/>
        </w:rPr>
        <w:t xml:space="preserve"> v roce 2017 novelizována vyhláškou č. 127/2017 Sb</w:t>
      </w:r>
      <w:r w:rsidR="00322136">
        <w:rPr>
          <w:rFonts w:ascii="Times New Roman" w:hAnsi="Times New Roman" w:cs="Times New Roman"/>
        </w:rPr>
        <w:t>.</w:t>
      </w:r>
      <w:r w:rsidR="000C01F7">
        <w:rPr>
          <w:rFonts w:ascii="Times New Roman" w:hAnsi="Times New Roman" w:cs="Times New Roman"/>
        </w:rPr>
        <w:t xml:space="preserve">, </w:t>
      </w:r>
      <w:r w:rsidR="00322136">
        <w:rPr>
          <w:rFonts w:ascii="Times New Roman" w:hAnsi="Times New Roman" w:cs="Times New Roman"/>
        </w:rPr>
        <w:t>v roce 2020</w:t>
      </w:r>
      <w:r w:rsidR="00726925">
        <w:rPr>
          <w:rFonts w:ascii="Times New Roman" w:hAnsi="Times New Roman" w:cs="Times New Roman"/>
        </w:rPr>
        <w:t xml:space="preserve"> byla</w:t>
      </w:r>
      <w:r w:rsidR="00322136">
        <w:rPr>
          <w:rFonts w:ascii="Times New Roman" w:hAnsi="Times New Roman" w:cs="Times New Roman"/>
        </w:rPr>
        <w:t xml:space="preserve"> novelizována vyhláškou č. 302/2020 </w:t>
      </w:r>
      <w:proofErr w:type="spellStart"/>
      <w:r w:rsidR="00322136">
        <w:rPr>
          <w:rFonts w:ascii="Times New Roman" w:hAnsi="Times New Roman" w:cs="Times New Roman"/>
        </w:rPr>
        <w:t>Sb</w:t>
      </w:r>
      <w:proofErr w:type="spellEnd"/>
      <w:r w:rsidR="000C01F7">
        <w:rPr>
          <w:rFonts w:ascii="Times New Roman" w:hAnsi="Times New Roman" w:cs="Times New Roman"/>
        </w:rPr>
        <w:t xml:space="preserve"> a v roce 2021 byla novelizována vyhláškou č. 125/2021 Sb.</w:t>
      </w:r>
    </w:p>
    <w:p w14:paraId="05C8F351" w14:textId="7F1FA26E" w:rsidR="00757F90" w:rsidRPr="00596B6A" w:rsidRDefault="00854EF1" w:rsidP="0056354D">
      <w:pPr>
        <w:pStyle w:val="Odstavecseseznamem"/>
        <w:numPr>
          <w:ilvl w:val="0"/>
          <w:numId w:val="5"/>
        </w:numPr>
        <w:jc w:val="both"/>
        <w:rPr>
          <w:rFonts w:ascii="Times New Roman" w:hAnsi="Times New Roman" w:cs="Times New Roman"/>
          <w:b/>
        </w:rPr>
      </w:pPr>
      <w:r w:rsidRPr="00854EF1">
        <w:rPr>
          <w:rFonts w:ascii="Times New Roman" w:hAnsi="Times New Roman" w:cs="Times New Roman"/>
          <w:b/>
        </w:rPr>
        <w:t>Odůvodnění nezbytnosti navrhované právní úpravy</w:t>
      </w:r>
    </w:p>
    <w:p w14:paraId="5F1AD20B" w14:textId="5CD1C907" w:rsidR="00726925" w:rsidRDefault="000D1708" w:rsidP="00720533">
      <w:pPr>
        <w:ind w:firstLine="360"/>
        <w:jc w:val="both"/>
        <w:rPr>
          <w:rFonts w:ascii="Times New Roman" w:hAnsi="Times New Roman" w:cs="Times New Roman"/>
        </w:rPr>
      </w:pPr>
      <w:r>
        <w:rPr>
          <w:rFonts w:ascii="Times New Roman" w:hAnsi="Times New Roman" w:cs="Times New Roman"/>
        </w:rPr>
        <w:t>Navrhované úpravy vyhlášky o Pravidlech trhu s elektřinou často reflektují změny</w:t>
      </w:r>
      <w:r w:rsidR="00726925">
        <w:rPr>
          <w:rFonts w:ascii="Times New Roman" w:hAnsi="Times New Roman" w:cs="Times New Roman"/>
        </w:rPr>
        <w:t>, které na trhu s elektřinou probíhají. Nové trendy ve výrobě a spotřebě elektřiny, nov</w:t>
      </w:r>
      <w:r w:rsidR="00757F90">
        <w:rPr>
          <w:rFonts w:ascii="Times New Roman" w:hAnsi="Times New Roman" w:cs="Times New Roman"/>
        </w:rPr>
        <w:t xml:space="preserve">ý aktéři na </w:t>
      </w:r>
      <w:r w:rsidR="00726925">
        <w:rPr>
          <w:rFonts w:ascii="Times New Roman" w:hAnsi="Times New Roman" w:cs="Times New Roman"/>
        </w:rPr>
        <w:t>trhu s elektřinou, z národních trhů s elektřinou se stávají lokální trhy s elektřinou v rámci jednotného evropského trhu s</w:t>
      </w:r>
      <w:r w:rsidR="00535243">
        <w:rPr>
          <w:rFonts w:ascii="Times New Roman" w:hAnsi="Times New Roman" w:cs="Times New Roman"/>
        </w:rPr>
        <w:t> </w:t>
      </w:r>
      <w:r w:rsidR="00726925">
        <w:rPr>
          <w:rFonts w:ascii="Times New Roman" w:hAnsi="Times New Roman" w:cs="Times New Roman"/>
        </w:rPr>
        <w:t>elektřinou. V důsledku t</w:t>
      </w:r>
      <w:r w:rsidR="00757F90">
        <w:rPr>
          <w:rFonts w:ascii="Times New Roman" w:hAnsi="Times New Roman" w:cs="Times New Roman"/>
        </w:rPr>
        <w:t>ěchto ale i mnohých dalších jiných faktorů</w:t>
      </w:r>
      <w:r>
        <w:rPr>
          <w:rFonts w:ascii="Times New Roman" w:hAnsi="Times New Roman" w:cs="Times New Roman"/>
        </w:rPr>
        <w:t xml:space="preserve"> se rovněž mění regulatorní prostředí.</w:t>
      </w:r>
      <w:r w:rsidR="00757F90">
        <w:rPr>
          <w:rFonts w:ascii="Times New Roman" w:hAnsi="Times New Roman" w:cs="Times New Roman"/>
        </w:rPr>
        <w:t xml:space="preserve"> </w:t>
      </w:r>
      <w:r>
        <w:rPr>
          <w:rFonts w:ascii="Times New Roman" w:hAnsi="Times New Roman" w:cs="Times New Roman"/>
        </w:rPr>
        <w:t>J</w:t>
      </w:r>
      <w:r w:rsidR="00757F90">
        <w:rPr>
          <w:rFonts w:ascii="Times New Roman" w:hAnsi="Times New Roman" w:cs="Times New Roman"/>
        </w:rPr>
        <w:t>e nutné neustále reagovat úpravou právních předpisů a podzákonných právních předpisů</w:t>
      </w:r>
      <w:r w:rsidR="00535243">
        <w:rPr>
          <w:rFonts w:ascii="Times New Roman" w:hAnsi="Times New Roman" w:cs="Times New Roman"/>
        </w:rPr>
        <w:t>, které stanovují pravidla fungování trhu s elektřinou</w:t>
      </w:r>
      <w:r w:rsidR="00757F90">
        <w:rPr>
          <w:rFonts w:ascii="Times New Roman" w:hAnsi="Times New Roman" w:cs="Times New Roman"/>
        </w:rPr>
        <w:t xml:space="preserve">. </w:t>
      </w:r>
      <w:r w:rsidR="00535243">
        <w:rPr>
          <w:rFonts w:ascii="Times New Roman" w:hAnsi="Times New Roman" w:cs="Times New Roman"/>
        </w:rPr>
        <w:t>Ačkoliv p</w:t>
      </w:r>
      <w:r w:rsidR="00757F90">
        <w:rPr>
          <w:rFonts w:ascii="Times New Roman" w:hAnsi="Times New Roman" w:cs="Times New Roman"/>
        </w:rPr>
        <w:t>ravidelné změny právních předpisů mohou být trhem, resp. účastníky, kteří na trhu s elektřinou působí, vnímány negativně</w:t>
      </w:r>
      <w:r w:rsidR="00535243">
        <w:rPr>
          <w:rFonts w:ascii="Times New Roman" w:hAnsi="Times New Roman" w:cs="Times New Roman"/>
        </w:rPr>
        <w:t xml:space="preserve">, </w:t>
      </w:r>
      <w:r>
        <w:rPr>
          <w:rFonts w:ascii="Times New Roman" w:hAnsi="Times New Roman" w:cs="Times New Roman"/>
        </w:rPr>
        <w:t xml:space="preserve">může být toto redukováno tak, že navrhované úpravy budou </w:t>
      </w:r>
      <w:r w:rsidR="00596B6A">
        <w:rPr>
          <w:rFonts w:ascii="Times New Roman" w:hAnsi="Times New Roman" w:cs="Times New Roman"/>
        </w:rPr>
        <w:t xml:space="preserve">transparentně konzultované s dotčenými účastníky trhu a budou </w:t>
      </w:r>
      <w:r>
        <w:rPr>
          <w:rFonts w:ascii="Times New Roman" w:hAnsi="Times New Roman" w:cs="Times New Roman"/>
        </w:rPr>
        <w:t xml:space="preserve">přijímány </w:t>
      </w:r>
      <w:r w:rsidR="00596B6A">
        <w:rPr>
          <w:rFonts w:ascii="Times New Roman" w:hAnsi="Times New Roman" w:cs="Times New Roman"/>
        </w:rPr>
        <w:t xml:space="preserve">postupně a </w:t>
      </w:r>
      <w:r>
        <w:rPr>
          <w:rFonts w:ascii="Times New Roman" w:hAnsi="Times New Roman" w:cs="Times New Roman"/>
        </w:rPr>
        <w:t xml:space="preserve">souběžně s tím, jak se mění tržní prostředí. </w:t>
      </w:r>
      <w:r w:rsidR="00535243">
        <w:rPr>
          <w:rFonts w:ascii="Times New Roman" w:hAnsi="Times New Roman" w:cs="Times New Roman"/>
        </w:rPr>
        <w:t>Vyhláška o Pravidlech trhu s elektřinou představuje klíčový podzákonný právní předpis, který upravuje značnou část postupů probíhajících na trhu s</w:t>
      </w:r>
      <w:r w:rsidR="00596B6A">
        <w:rPr>
          <w:rFonts w:ascii="Times New Roman" w:hAnsi="Times New Roman" w:cs="Times New Roman"/>
        </w:rPr>
        <w:t> </w:t>
      </w:r>
      <w:r w:rsidR="00535243">
        <w:rPr>
          <w:rFonts w:ascii="Times New Roman" w:hAnsi="Times New Roman" w:cs="Times New Roman"/>
        </w:rPr>
        <w:t>elektřinou</w:t>
      </w:r>
      <w:r w:rsidR="00596B6A">
        <w:rPr>
          <w:rFonts w:ascii="Times New Roman" w:hAnsi="Times New Roman" w:cs="Times New Roman"/>
        </w:rPr>
        <w:t>, které jdou napříč elektroenergetickým trhem.</w:t>
      </w:r>
      <w:r>
        <w:rPr>
          <w:rFonts w:ascii="Times New Roman" w:hAnsi="Times New Roman" w:cs="Times New Roman"/>
        </w:rPr>
        <w:t xml:space="preserve"> </w:t>
      </w:r>
      <w:r w:rsidR="00596B6A">
        <w:rPr>
          <w:rFonts w:ascii="Times New Roman" w:hAnsi="Times New Roman" w:cs="Times New Roman"/>
        </w:rPr>
        <w:t>P</w:t>
      </w:r>
      <w:r>
        <w:rPr>
          <w:rFonts w:ascii="Times New Roman" w:hAnsi="Times New Roman" w:cs="Times New Roman"/>
        </w:rPr>
        <w:t xml:space="preserve">roto </w:t>
      </w:r>
      <w:r w:rsidR="001D0065">
        <w:rPr>
          <w:rFonts w:ascii="Times New Roman" w:hAnsi="Times New Roman" w:cs="Times New Roman"/>
        </w:rPr>
        <w:t>je při</w:t>
      </w:r>
      <w:r w:rsidR="00906C0B">
        <w:rPr>
          <w:rFonts w:ascii="Times New Roman" w:hAnsi="Times New Roman" w:cs="Times New Roman"/>
        </w:rPr>
        <w:t> </w:t>
      </w:r>
      <w:r w:rsidR="001D0065">
        <w:rPr>
          <w:rFonts w:ascii="Times New Roman" w:hAnsi="Times New Roman" w:cs="Times New Roman"/>
        </w:rPr>
        <w:t xml:space="preserve">navrhovaných úpravách volen postup opírající se o pravidelné konzultace navrhovaných změn s účastníky trhu a jejich postupné zavádění, jelikož i </w:t>
      </w:r>
      <w:r>
        <w:rPr>
          <w:rFonts w:ascii="Times New Roman" w:hAnsi="Times New Roman" w:cs="Times New Roman"/>
        </w:rPr>
        <w:t xml:space="preserve">zde </w:t>
      </w:r>
      <w:r w:rsidR="001D0065">
        <w:rPr>
          <w:rFonts w:ascii="Times New Roman" w:hAnsi="Times New Roman" w:cs="Times New Roman"/>
        </w:rPr>
        <w:t xml:space="preserve">je nutné vnímat riziko toho, že </w:t>
      </w:r>
      <w:r w:rsidR="00596B6A">
        <w:rPr>
          <w:rFonts w:ascii="Times New Roman" w:hAnsi="Times New Roman" w:cs="Times New Roman"/>
        </w:rPr>
        <w:t xml:space="preserve">nepatrné </w:t>
      </w:r>
      <w:r w:rsidR="00596B6A">
        <w:rPr>
          <w:rFonts w:ascii="Times New Roman" w:hAnsi="Times New Roman" w:cs="Times New Roman"/>
        </w:rPr>
        <w:lastRenderedPageBreak/>
        <w:t>úpravy mohou vyvolat velké změny</w:t>
      </w:r>
      <w:r>
        <w:rPr>
          <w:rFonts w:ascii="Times New Roman" w:hAnsi="Times New Roman" w:cs="Times New Roman"/>
        </w:rPr>
        <w:t xml:space="preserve">, které </w:t>
      </w:r>
      <w:r w:rsidR="001D0065">
        <w:rPr>
          <w:rFonts w:ascii="Times New Roman" w:hAnsi="Times New Roman" w:cs="Times New Roman"/>
        </w:rPr>
        <w:t>se projeví v </w:t>
      </w:r>
      <w:r w:rsidR="00596B6A">
        <w:rPr>
          <w:rFonts w:ascii="Times New Roman" w:hAnsi="Times New Roman" w:cs="Times New Roman"/>
        </w:rPr>
        <w:t>náklad</w:t>
      </w:r>
      <w:r w:rsidR="001D0065">
        <w:rPr>
          <w:rFonts w:ascii="Times New Roman" w:hAnsi="Times New Roman" w:cs="Times New Roman"/>
        </w:rPr>
        <w:t>ech účastníků trhu</w:t>
      </w:r>
      <w:r w:rsidR="00596B6A">
        <w:rPr>
          <w:rFonts w:ascii="Times New Roman" w:hAnsi="Times New Roman" w:cs="Times New Roman"/>
        </w:rPr>
        <w:t>, nebo povedou ke vzniku nerovné hospodářské soutěže.</w:t>
      </w:r>
    </w:p>
    <w:p w14:paraId="3D8C269B" w14:textId="0B873618" w:rsidR="00726925" w:rsidRDefault="001D0065" w:rsidP="00720533">
      <w:pPr>
        <w:ind w:firstLine="360"/>
        <w:jc w:val="both"/>
        <w:rPr>
          <w:rFonts w:ascii="Times New Roman" w:hAnsi="Times New Roman" w:cs="Times New Roman"/>
        </w:rPr>
      </w:pPr>
      <w:r>
        <w:rPr>
          <w:rFonts w:ascii="Times New Roman" w:hAnsi="Times New Roman" w:cs="Times New Roman"/>
        </w:rPr>
        <w:t>S ohledem na výše uvedené, i</w:t>
      </w:r>
      <w:r w:rsidR="00596B6A">
        <w:rPr>
          <w:rFonts w:ascii="Times New Roman" w:hAnsi="Times New Roman" w:cs="Times New Roman"/>
        </w:rPr>
        <w:t xml:space="preserve"> přes to, že vyhláška o Pravidlech trhu s elektřinou byla novelizována v nedávné době a v krátké době je předkládána novela další, je nutné provést další nezbytné úpravy příslušných postupů stanovených touto vyhláškou.</w:t>
      </w:r>
    </w:p>
    <w:p w14:paraId="4019FD71" w14:textId="77777777" w:rsidR="002551CC" w:rsidRDefault="002551CC" w:rsidP="002551CC">
      <w:pPr>
        <w:jc w:val="both"/>
        <w:rPr>
          <w:rFonts w:ascii="Times New Roman" w:hAnsi="Times New Roman" w:cs="Times New Roman"/>
        </w:rPr>
      </w:pPr>
      <w:r w:rsidRPr="00040CD5">
        <w:rPr>
          <w:rFonts w:ascii="Times New Roman" w:hAnsi="Times New Roman" w:cs="Times New Roman"/>
        </w:rPr>
        <w:t xml:space="preserve">Cílem navrhované úpravy je upřesnit a rozvinout pravidla pro fungování trhu s elektřinou v České republice v návaznosti na zmocnění Energetického regulačního úřadu § 98a odst. 2 písm. h) zákona č. 458/2000 Sb., o podmínkách podnikání a o výkonu státní správy v energetických odvětvích a o změně některých zákonů (energetický zákona), ve znění pozdějších předpisů, a § 53 odst. 2 písm. k) zákona č. 165/2012 Sb., o podporovaných zdrojích energie a o změně některých zákonů, ve znění pozdějších předpisů. </w:t>
      </w:r>
    </w:p>
    <w:p w14:paraId="401CBB08" w14:textId="77777777" w:rsidR="002551CC" w:rsidRDefault="002551CC" w:rsidP="002551CC">
      <w:pPr>
        <w:jc w:val="both"/>
        <w:rPr>
          <w:rFonts w:ascii="Times New Roman" w:hAnsi="Times New Roman" w:cs="Times New Roman"/>
        </w:rPr>
      </w:pPr>
      <w:r>
        <w:rPr>
          <w:rFonts w:ascii="Times New Roman" w:hAnsi="Times New Roman" w:cs="Times New Roman"/>
        </w:rPr>
        <w:t>Oproti stávajícímu znění jsou vyhláškou zaváděny zcela nové postupy v oblasti:</w:t>
      </w:r>
    </w:p>
    <w:p w14:paraId="293FF9B9" w14:textId="77777777" w:rsidR="002551CC" w:rsidRDefault="002551CC" w:rsidP="003425E6">
      <w:pPr>
        <w:pStyle w:val="Odstavecseseznamem"/>
        <w:numPr>
          <w:ilvl w:val="0"/>
          <w:numId w:val="4"/>
        </w:numPr>
        <w:jc w:val="both"/>
        <w:rPr>
          <w:rFonts w:ascii="Times New Roman" w:hAnsi="Times New Roman" w:cs="Times New Roman"/>
        </w:rPr>
      </w:pPr>
      <w:r>
        <w:rPr>
          <w:rFonts w:ascii="Times New Roman" w:hAnsi="Times New Roman" w:cs="Times New Roman"/>
        </w:rPr>
        <w:t>stanovení hodnoty odběru elektřiny zákazníkem s měřením typu C, který zahrnuje více kalendářních let. Doposud neexistovala jednotná metodika, kterou by se tento postup stanovil. Cílem je zajistit jednotný přístup provozovatelů distribučních soustav u nichž dochází k regulaci nákladů Energetickým regulačním úřadem.</w:t>
      </w:r>
    </w:p>
    <w:p w14:paraId="165C038E" w14:textId="4F2ACEC7" w:rsidR="002551CC" w:rsidRPr="00222DC3" w:rsidRDefault="00CC100D" w:rsidP="003425E6">
      <w:pPr>
        <w:pStyle w:val="Odstavecseseznamem"/>
        <w:numPr>
          <w:ilvl w:val="0"/>
          <w:numId w:val="4"/>
        </w:numPr>
        <w:jc w:val="both"/>
        <w:rPr>
          <w:rFonts w:ascii="Times New Roman" w:hAnsi="Times New Roman" w:cs="Times New Roman"/>
        </w:rPr>
      </w:pPr>
      <w:r>
        <w:rPr>
          <w:rFonts w:ascii="Times New Roman" w:hAnsi="Times New Roman"/>
        </w:rPr>
        <w:t xml:space="preserve">specifické úpravy reflektující zavedení </w:t>
      </w:r>
      <w:r>
        <w:rPr>
          <w:rFonts w:ascii="Times New Roman" w:eastAsiaTheme="minorHAnsi" w:hAnsi="Times New Roman" w:cs="Times New Roman"/>
        </w:rPr>
        <w:t>specifické úpravy</w:t>
      </w:r>
      <w:r w:rsidRPr="003D7FBF">
        <w:rPr>
          <w:rFonts w:ascii="Times New Roman" w:eastAsiaTheme="minorHAnsi" w:hAnsi="Times New Roman" w:cs="Times New Roman"/>
        </w:rPr>
        <w:t xml:space="preserve"> </w:t>
      </w:r>
      <w:r w:rsidRPr="00AD484D">
        <w:rPr>
          <w:rFonts w:ascii="Times New Roman" w:eastAsiaTheme="minorHAnsi" w:hAnsi="Times New Roman" w:cs="Times New Roman"/>
        </w:rPr>
        <w:t xml:space="preserve">předávání údajů pro </w:t>
      </w:r>
      <w:r>
        <w:rPr>
          <w:rFonts w:ascii="Times New Roman" w:eastAsiaTheme="minorHAnsi" w:hAnsi="Times New Roman" w:cs="Times New Roman"/>
        </w:rPr>
        <w:t>vyhodnocování</w:t>
      </w:r>
      <w:r w:rsidRPr="00E27173">
        <w:rPr>
          <w:rFonts w:ascii="Times New Roman" w:eastAsiaTheme="minorHAnsi" w:hAnsi="Times New Roman" w:cs="Times New Roman"/>
        </w:rPr>
        <w:t xml:space="preserve"> </w:t>
      </w:r>
      <w:r>
        <w:rPr>
          <w:rFonts w:ascii="Times New Roman" w:eastAsiaTheme="minorHAnsi" w:hAnsi="Times New Roman" w:cs="Times New Roman"/>
        </w:rPr>
        <w:t>(</w:t>
      </w:r>
      <w:r w:rsidRPr="00E27173">
        <w:rPr>
          <w:rFonts w:ascii="Times New Roman" w:eastAsiaTheme="minorHAnsi" w:hAnsi="Times New Roman" w:cs="Times New Roman"/>
        </w:rPr>
        <w:t>zúčtování</w:t>
      </w:r>
      <w:r>
        <w:rPr>
          <w:rFonts w:ascii="Times New Roman" w:eastAsiaTheme="minorHAnsi" w:hAnsi="Times New Roman" w:cs="Times New Roman"/>
        </w:rPr>
        <w:t>)</w:t>
      </w:r>
      <w:r w:rsidRPr="00E27173">
        <w:rPr>
          <w:rFonts w:ascii="Times New Roman" w:eastAsiaTheme="minorHAnsi" w:hAnsi="Times New Roman" w:cs="Times New Roman"/>
        </w:rPr>
        <w:t xml:space="preserve"> odchylek a pro vyúčtování </w:t>
      </w:r>
      <w:r>
        <w:rPr>
          <w:rFonts w:ascii="Times New Roman" w:eastAsiaTheme="minorHAnsi" w:hAnsi="Times New Roman" w:cs="Times New Roman"/>
        </w:rPr>
        <w:t>elektřiny</w:t>
      </w:r>
      <w:r w:rsidRPr="00E27173">
        <w:rPr>
          <w:rFonts w:ascii="Times New Roman" w:eastAsiaTheme="minorHAnsi" w:hAnsi="Times New Roman" w:cs="Times New Roman"/>
        </w:rPr>
        <w:t xml:space="preserve"> zohled</w:t>
      </w:r>
      <w:r>
        <w:rPr>
          <w:rFonts w:ascii="Times New Roman" w:eastAsiaTheme="minorHAnsi" w:hAnsi="Times New Roman" w:cs="Times New Roman"/>
        </w:rPr>
        <w:t>ňující</w:t>
      </w:r>
      <w:r w:rsidRPr="00E27173">
        <w:rPr>
          <w:rFonts w:ascii="Times New Roman" w:eastAsiaTheme="minorHAnsi" w:hAnsi="Times New Roman" w:cs="Times New Roman"/>
        </w:rPr>
        <w:t xml:space="preserve"> </w:t>
      </w:r>
      <w:r>
        <w:rPr>
          <w:rFonts w:ascii="Times New Roman" w:eastAsiaTheme="minorHAnsi" w:hAnsi="Times New Roman" w:cs="Times New Roman"/>
        </w:rPr>
        <w:t xml:space="preserve">pro předávací místa odběrného místa </w:t>
      </w:r>
      <w:r w:rsidRPr="00E27173">
        <w:rPr>
          <w:rFonts w:ascii="Times New Roman" w:eastAsiaTheme="minorHAnsi" w:hAnsi="Times New Roman" w:cs="Times New Roman"/>
        </w:rPr>
        <w:t>množství elektřiny vyrobené v</w:t>
      </w:r>
      <w:r>
        <w:rPr>
          <w:rFonts w:ascii="Times New Roman" w:eastAsiaTheme="minorHAnsi" w:hAnsi="Times New Roman" w:cs="Times New Roman"/>
        </w:rPr>
        <w:t> </w:t>
      </w:r>
      <w:r w:rsidRPr="00E27173">
        <w:rPr>
          <w:rFonts w:ascii="Times New Roman" w:eastAsiaTheme="minorHAnsi" w:hAnsi="Times New Roman" w:cs="Times New Roman"/>
        </w:rPr>
        <w:t>rámci</w:t>
      </w:r>
      <w:r>
        <w:rPr>
          <w:rFonts w:ascii="Times New Roman" w:eastAsiaTheme="minorHAnsi" w:hAnsi="Times New Roman" w:cs="Times New Roman"/>
        </w:rPr>
        <w:t xml:space="preserve"> téhož</w:t>
      </w:r>
      <w:r w:rsidRPr="00E27173">
        <w:rPr>
          <w:rFonts w:ascii="Times New Roman" w:eastAsiaTheme="minorHAnsi" w:hAnsi="Times New Roman" w:cs="Times New Roman"/>
        </w:rPr>
        <w:t xml:space="preserve"> bytového domu ve výrobně </w:t>
      </w:r>
      <w:proofErr w:type="gramStart"/>
      <w:r w:rsidRPr="00E27173">
        <w:rPr>
          <w:rFonts w:ascii="Times New Roman" w:eastAsiaTheme="minorHAnsi" w:hAnsi="Times New Roman" w:cs="Times New Roman"/>
        </w:rPr>
        <w:t>elektřiny</w:t>
      </w:r>
      <w:r>
        <w:rPr>
          <w:rFonts w:ascii="Times New Roman" w:eastAsiaTheme="minorHAnsi" w:hAnsi="Times New Roman" w:cs="Times New Roman"/>
        </w:rPr>
        <w:t>.</w:t>
      </w:r>
      <w:r w:rsidR="002551CC" w:rsidRPr="00222DC3">
        <w:rPr>
          <w:rFonts w:ascii="Times New Roman" w:hAnsi="Times New Roman" w:cs="Times New Roman"/>
        </w:rPr>
        <w:t>.</w:t>
      </w:r>
      <w:proofErr w:type="gramEnd"/>
      <w:r w:rsidR="002551CC">
        <w:rPr>
          <w:rFonts w:ascii="Times New Roman" w:hAnsi="Times New Roman" w:cs="Times New Roman"/>
        </w:rPr>
        <w:t xml:space="preserve"> Cílem je zavést zjednodušený postup, který nebude v rozporu s platnou právní úpravou, současně jej bude možné v budoucnu dále modifikovat dle podmínek na trhu s elektřinou, a umožní zákazníkům snížení závislosti na centrálních zdrojích energie. </w:t>
      </w:r>
    </w:p>
    <w:p w14:paraId="63010DCA" w14:textId="77777777" w:rsidR="002551CC" w:rsidRDefault="002551CC" w:rsidP="002551CC">
      <w:pPr>
        <w:jc w:val="both"/>
        <w:rPr>
          <w:rFonts w:ascii="Times New Roman" w:hAnsi="Times New Roman" w:cs="Times New Roman"/>
        </w:rPr>
      </w:pPr>
      <w:r>
        <w:rPr>
          <w:rFonts w:ascii="Times New Roman" w:hAnsi="Times New Roman" w:cs="Times New Roman"/>
        </w:rPr>
        <w:t>Oproti stávajícímu znění jsou vyhláškou zaváděny podstatné změny v postupu v oblasti:</w:t>
      </w:r>
    </w:p>
    <w:p w14:paraId="47A2E0DE" w14:textId="7DACE36F" w:rsidR="00F42293" w:rsidRPr="00DE33AF" w:rsidRDefault="002551CC" w:rsidP="00DE33AF">
      <w:pPr>
        <w:pStyle w:val="Odstavecseseznamem"/>
        <w:numPr>
          <w:ilvl w:val="0"/>
          <w:numId w:val="3"/>
        </w:numPr>
        <w:ind w:left="714" w:hanging="357"/>
        <w:contextualSpacing w:val="0"/>
        <w:jc w:val="both"/>
        <w:rPr>
          <w:rFonts w:ascii="Times New Roman" w:hAnsi="Times New Roman" w:cs="Times New Roman"/>
        </w:rPr>
      </w:pPr>
      <w:r>
        <w:rPr>
          <w:rFonts w:ascii="Times New Roman" w:hAnsi="Times New Roman" w:cs="Times New Roman"/>
        </w:rPr>
        <w:t>registrace odběrných míst a předávacích míst, kde dochází jednak k úpravě postupu registrace odběrného místa s připojenou výrobnou elektřiny  provozovanou v souladu s § 28 odst. 5 energetického zákona (změna postupu registrace odběrného místa s výrobnou elektřiny podle § 28 odst. 5 energetického zákona, u niž je sjednán nenulový rezervovaný výkon) a současně se upravuje postup registrace odběrných míst a předávacích míst v návaznosti na zavedení</w:t>
      </w:r>
      <w:r>
        <w:rPr>
          <w:rFonts w:ascii="Times New Roman" w:hAnsi="Times New Roman"/>
        </w:rPr>
        <w:t xml:space="preserve"> </w:t>
      </w:r>
      <w:r w:rsidR="00CC3295">
        <w:rPr>
          <w:rFonts w:ascii="Times New Roman" w:eastAsiaTheme="minorHAnsi" w:hAnsi="Times New Roman" w:cs="Times New Roman"/>
        </w:rPr>
        <w:t>specifické úpravy</w:t>
      </w:r>
      <w:r w:rsidR="00CC3295" w:rsidRPr="003D7FBF">
        <w:rPr>
          <w:rFonts w:ascii="Times New Roman" w:eastAsiaTheme="minorHAnsi" w:hAnsi="Times New Roman" w:cs="Times New Roman"/>
        </w:rPr>
        <w:t xml:space="preserve"> </w:t>
      </w:r>
      <w:r w:rsidR="00CC3295" w:rsidRPr="00AD484D">
        <w:rPr>
          <w:rFonts w:ascii="Times New Roman" w:eastAsiaTheme="minorHAnsi" w:hAnsi="Times New Roman" w:cs="Times New Roman"/>
        </w:rPr>
        <w:t xml:space="preserve">předávání údajů pro </w:t>
      </w:r>
      <w:r w:rsidR="00CC3295">
        <w:rPr>
          <w:rFonts w:ascii="Times New Roman" w:eastAsiaTheme="minorHAnsi" w:hAnsi="Times New Roman" w:cs="Times New Roman"/>
        </w:rPr>
        <w:t>vyhodnocování</w:t>
      </w:r>
      <w:r w:rsidR="00CC3295" w:rsidRPr="00E27173">
        <w:rPr>
          <w:rFonts w:ascii="Times New Roman" w:eastAsiaTheme="minorHAnsi" w:hAnsi="Times New Roman" w:cs="Times New Roman"/>
        </w:rPr>
        <w:t xml:space="preserve"> </w:t>
      </w:r>
      <w:r w:rsidR="00CC3295">
        <w:rPr>
          <w:rFonts w:ascii="Times New Roman" w:eastAsiaTheme="minorHAnsi" w:hAnsi="Times New Roman" w:cs="Times New Roman"/>
        </w:rPr>
        <w:t>(</w:t>
      </w:r>
      <w:r w:rsidR="00CC3295" w:rsidRPr="00E27173">
        <w:rPr>
          <w:rFonts w:ascii="Times New Roman" w:eastAsiaTheme="minorHAnsi" w:hAnsi="Times New Roman" w:cs="Times New Roman"/>
        </w:rPr>
        <w:t>zúčtování</w:t>
      </w:r>
      <w:r w:rsidR="00CC3295">
        <w:rPr>
          <w:rFonts w:ascii="Times New Roman" w:eastAsiaTheme="minorHAnsi" w:hAnsi="Times New Roman" w:cs="Times New Roman"/>
        </w:rPr>
        <w:t>)</w:t>
      </w:r>
      <w:r w:rsidR="00CC3295" w:rsidRPr="00E27173">
        <w:rPr>
          <w:rFonts w:ascii="Times New Roman" w:eastAsiaTheme="minorHAnsi" w:hAnsi="Times New Roman" w:cs="Times New Roman"/>
        </w:rPr>
        <w:t xml:space="preserve"> odchylek a pro vyúčtování </w:t>
      </w:r>
      <w:r w:rsidR="00CC3295">
        <w:rPr>
          <w:rFonts w:ascii="Times New Roman" w:eastAsiaTheme="minorHAnsi" w:hAnsi="Times New Roman" w:cs="Times New Roman"/>
        </w:rPr>
        <w:t>elektřiny</w:t>
      </w:r>
      <w:r w:rsidR="00CC3295" w:rsidRPr="00E27173">
        <w:rPr>
          <w:rFonts w:ascii="Times New Roman" w:eastAsiaTheme="minorHAnsi" w:hAnsi="Times New Roman" w:cs="Times New Roman"/>
        </w:rPr>
        <w:t xml:space="preserve"> zohled</w:t>
      </w:r>
      <w:r w:rsidR="00CC3295">
        <w:rPr>
          <w:rFonts w:ascii="Times New Roman" w:eastAsiaTheme="minorHAnsi" w:hAnsi="Times New Roman" w:cs="Times New Roman"/>
        </w:rPr>
        <w:t>ňující</w:t>
      </w:r>
      <w:r w:rsidR="00CC3295" w:rsidRPr="00E27173">
        <w:rPr>
          <w:rFonts w:ascii="Times New Roman" w:eastAsiaTheme="minorHAnsi" w:hAnsi="Times New Roman" w:cs="Times New Roman"/>
        </w:rPr>
        <w:t xml:space="preserve"> </w:t>
      </w:r>
      <w:r w:rsidR="00CC3295">
        <w:rPr>
          <w:rFonts w:ascii="Times New Roman" w:eastAsiaTheme="minorHAnsi" w:hAnsi="Times New Roman" w:cs="Times New Roman"/>
        </w:rPr>
        <w:t xml:space="preserve">pro předávací místa odběrného místa </w:t>
      </w:r>
      <w:r w:rsidR="00CC3295" w:rsidRPr="00E27173">
        <w:rPr>
          <w:rFonts w:ascii="Times New Roman" w:eastAsiaTheme="minorHAnsi" w:hAnsi="Times New Roman" w:cs="Times New Roman"/>
        </w:rPr>
        <w:t>množství elektřiny vyrobené v</w:t>
      </w:r>
      <w:r w:rsidR="00CC3295">
        <w:rPr>
          <w:rFonts w:ascii="Times New Roman" w:eastAsiaTheme="minorHAnsi" w:hAnsi="Times New Roman" w:cs="Times New Roman"/>
        </w:rPr>
        <w:t> </w:t>
      </w:r>
      <w:r w:rsidR="00CC3295" w:rsidRPr="00E27173">
        <w:rPr>
          <w:rFonts w:ascii="Times New Roman" w:eastAsiaTheme="minorHAnsi" w:hAnsi="Times New Roman" w:cs="Times New Roman"/>
        </w:rPr>
        <w:t>rámci</w:t>
      </w:r>
      <w:r w:rsidR="00CC3295">
        <w:rPr>
          <w:rFonts w:ascii="Times New Roman" w:eastAsiaTheme="minorHAnsi" w:hAnsi="Times New Roman" w:cs="Times New Roman"/>
        </w:rPr>
        <w:t xml:space="preserve"> téhož</w:t>
      </w:r>
      <w:r w:rsidR="00CC3295" w:rsidRPr="00E27173">
        <w:rPr>
          <w:rFonts w:ascii="Times New Roman" w:eastAsiaTheme="minorHAnsi" w:hAnsi="Times New Roman" w:cs="Times New Roman"/>
        </w:rPr>
        <w:t xml:space="preserve"> bytového domu ve výrobně elektřiny</w:t>
      </w:r>
      <w:r w:rsidR="00CC3295">
        <w:rPr>
          <w:rFonts w:ascii="Times New Roman" w:eastAsiaTheme="minorHAnsi" w:hAnsi="Times New Roman" w:cs="Times New Roman"/>
        </w:rPr>
        <w:t>.</w:t>
      </w:r>
      <w:r>
        <w:rPr>
          <w:rFonts w:ascii="Times New Roman" w:hAnsi="Times New Roman" w:cs="Times New Roman"/>
        </w:rPr>
        <w:t>(rozšiřují se možnosti registrování příznaků odběrných míst a předávacích míst). Tato podzákonná úprava je v současné chvíli jediným možným řešením, jak v mantinelech zákonného zmocnění upravit alespoň dílčím způsobem velmi diskutovanou a důležitou problematiku tzv. sdílení elektřiny, a to alespoň pro odběrná místa v bytových domech. Cílem navrhované úpravy vyhlášky o PTE je rovněž umožnit takovýmto odběrným místům vlastnit a provozovat výrobnu elektřiny obdobně, jako tak činí za současné právní úpravy vlastníci rodinných domů. S ohledem na absentující konkrétní zákonné zmocnění pro úpravu plnohodnotného sdílení elektřiny je navrhovaný způsob jediný možný.</w:t>
      </w:r>
    </w:p>
    <w:p w14:paraId="6F828B01" w14:textId="6C9E0345" w:rsidR="00F42293" w:rsidRPr="00F42293" w:rsidRDefault="002551CC" w:rsidP="00DE33AF">
      <w:pPr>
        <w:pStyle w:val="Odstavecseseznamem"/>
        <w:numPr>
          <w:ilvl w:val="0"/>
          <w:numId w:val="3"/>
        </w:numPr>
        <w:ind w:left="714" w:hanging="357"/>
        <w:contextualSpacing w:val="0"/>
        <w:jc w:val="both"/>
        <w:rPr>
          <w:rFonts w:ascii="Times New Roman" w:hAnsi="Times New Roman" w:cs="Times New Roman"/>
        </w:rPr>
      </w:pPr>
      <w:r>
        <w:rPr>
          <w:rFonts w:ascii="Times New Roman" w:hAnsi="Times New Roman" w:cs="Times New Roman"/>
        </w:rPr>
        <w:t xml:space="preserve">zajištění dodávky dodavatelem poslední instance. </w:t>
      </w:r>
      <w:bookmarkStart w:id="0" w:name="_Hlk114214510"/>
      <w:r>
        <w:rPr>
          <w:rFonts w:ascii="Times New Roman" w:hAnsi="Times New Roman" w:cs="Times New Roman"/>
        </w:rPr>
        <w:t xml:space="preserve">Vlivem novely energetického zákona zákonem </w:t>
      </w:r>
      <w:r w:rsidRPr="00B72BC3">
        <w:rPr>
          <w:rFonts w:ascii="Times New Roman" w:hAnsi="Times New Roman" w:cs="Times New Roman"/>
        </w:rPr>
        <w:t>č.</w:t>
      </w:r>
      <w:r w:rsidR="00C21374">
        <w:rPr>
          <w:rFonts w:ascii="Times New Roman" w:hAnsi="Times New Roman" w:cs="Times New Roman"/>
        </w:rPr>
        <w:t xml:space="preserve"> 176</w:t>
      </w:r>
      <w:r w:rsidRPr="00B72BC3">
        <w:rPr>
          <w:rFonts w:ascii="Times New Roman" w:hAnsi="Times New Roman" w:cs="Times New Roman"/>
        </w:rPr>
        <w:t>/2022 Sb.</w:t>
      </w:r>
      <w:r>
        <w:rPr>
          <w:rFonts w:ascii="Times New Roman" w:hAnsi="Times New Roman" w:cs="Times New Roman"/>
        </w:rPr>
        <w:t xml:space="preserve"> se mění podmínky pro uplatnění institutu „dodávky poslední instance“. S ohledem na to je nutné zohlednit např. zavedení další podmínky pro umožnění dodávky DPI a to „pozbýt možnost dodávat“, změnu délky trvání režimu DPI u rozdílných </w:t>
      </w:r>
      <w:r>
        <w:rPr>
          <w:rFonts w:ascii="Times New Roman" w:hAnsi="Times New Roman" w:cs="Times New Roman"/>
        </w:rPr>
        <w:lastRenderedPageBreak/>
        <w:t xml:space="preserve">kategorií účastníků trhu, nebo rozšíření účastníků trhu, na které se uplatní režim DPI. Energetický úřad je podle § </w:t>
      </w:r>
      <w:proofErr w:type="gramStart"/>
      <w:r>
        <w:rPr>
          <w:rFonts w:ascii="Times New Roman" w:hAnsi="Times New Roman" w:cs="Times New Roman"/>
        </w:rPr>
        <w:t>98a</w:t>
      </w:r>
      <w:proofErr w:type="gramEnd"/>
      <w:r>
        <w:rPr>
          <w:rFonts w:ascii="Times New Roman" w:hAnsi="Times New Roman" w:cs="Times New Roman"/>
        </w:rPr>
        <w:t xml:space="preserve"> odst</w:t>
      </w:r>
      <w:r w:rsidR="00D224AA">
        <w:rPr>
          <w:rFonts w:ascii="Times New Roman" w:hAnsi="Times New Roman" w:cs="Times New Roman"/>
        </w:rPr>
        <w:t>.</w:t>
      </w:r>
      <w:r>
        <w:rPr>
          <w:rFonts w:ascii="Times New Roman" w:hAnsi="Times New Roman" w:cs="Times New Roman"/>
        </w:rPr>
        <w:t xml:space="preserve"> 1 písm. h) bod 10. povinen postup při zajištění dodávky elektřiny dodavatelem poslední instance v novelizované vyhlášce upravit, přičemž postup musí být vždy v souladu se zákonnou úpravou. Uvedení postupu pro zajištění dodávky elektřiny dodavatelem poslední instance ve vyhlášce o PTE do souladu s energetickým zákonem je tak jediným možným řešením, zásah do této vyhlášky je tedy nezbytný.</w:t>
      </w:r>
    </w:p>
    <w:bookmarkEnd w:id="0"/>
    <w:p w14:paraId="02813A5C" w14:textId="19C4847D" w:rsidR="002551CC" w:rsidRDefault="002551CC" w:rsidP="003425E6">
      <w:pPr>
        <w:pStyle w:val="Odstavecseseznamem"/>
        <w:numPr>
          <w:ilvl w:val="0"/>
          <w:numId w:val="3"/>
        </w:numPr>
        <w:jc w:val="both"/>
        <w:rPr>
          <w:rFonts w:ascii="Times New Roman" w:hAnsi="Times New Roman" w:cs="Times New Roman"/>
        </w:rPr>
      </w:pPr>
      <w:r>
        <w:rPr>
          <w:rFonts w:ascii="Times New Roman" w:hAnsi="Times New Roman" w:cs="Times New Roman"/>
        </w:rPr>
        <w:t xml:space="preserve">obstarávání regulační energie formou agregace různých forem výrobních zdrojů s možností poskytování regulační energie. Konkrétně se upravuje postup pro stanovení množství poskytnuté regulační energie subjektům zúčtování, kteří nesou odpovědnost za odchylku v předávacích místech odběrného místa, ve kterém je rovněž připojen zdroj poskytující podpůrnou službu. Hodnota množství se stanoví s ohledem na směr toku a v souladu s podmínkami pro poskytovatele služeb výkonové rovnováhy, které jsou schvalovány ERÚ v souladu </w:t>
      </w:r>
      <w:proofErr w:type="gramStart"/>
      <w:r>
        <w:rPr>
          <w:rFonts w:ascii="Times New Roman" w:hAnsi="Times New Roman" w:cs="Times New Roman"/>
        </w:rPr>
        <w:t>s</w:t>
      </w:r>
      <w:proofErr w:type="gramEnd"/>
      <w:r w:rsidRPr="001E7D40">
        <w:rPr>
          <w:rFonts w:ascii="Times New Roman" w:hAnsi="Times New Roman" w:cs="Times New Roman"/>
        </w:rPr>
        <w:t xml:space="preserve"> nařízení Evropské komise (EU) 2017/2195 ze dne 23. listopadu 2017, kterým se stanoví rámcový pokyn pro obchodní zajišťování výkonové rovnováhy v elektroenergetice</w:t>
      </w:r>
      <w:r>
        <w:rPr>
          <w:rFonts w:ascii="Times New Roman" w:hAnsi="Times New Roman" w:cs="Times New Roman"/>
        </w:rPr>
        <w:t xml:space="preserve">. Cílem této úprav je umožnit primárně menším vnořeným zdrojům v odběrných místech připojených na hladině vysokého napětí poskytovat službu výkonové rovnováhy. Provozovatel přenosové soustavy bude mít možnost využívat širší portfolio zdrojů, pomocí nichž bude zajištěna stabilita a bezpečnost v soustavě.  </w:t>
      </w:r>
    </w:p>
    <w:p w14:paraId="06B88828" w14:textId="77777777" w:rsidR="002551CC" w:rsidRDefault="002551CC" w:rsidP="00DE33AF">
      <w:pPr>
        <w:pStyle w:val="Odstavecseseznamem"/>
        <w:contextualSpacing w:val="0"/>
        <w:jc w:val="both"/>
        <w:rPr>
          <w:rFonts w:ascii="Times New Roman" w:hAnsi="Times New Roman" w:cs="Times New Roman"/>
        </w:rPr>
      </w:pPr>
      <w:r>
        <w:rPr>
          <w:rFonts w:ascii="Times New Roman" w:hAnsi="Times New Roman" w:cs="Times New Roman"/>
        </w:rPr>
        <w:t xml:space="preserve">V této oblasti rovněž dochází ke zpřesnění rozlišení obstarávané energie pro řešení stavu nerovnováhy a dopad do vyhodnocení odchylky. Energetický regulační úřad je podle § </w:t>
      </w:r>
      <w:proofErr w:type="gramStart"/>
      <w:r>
        <w:rPr>
          <w:rFonts w:ascii="Times New Roman" w:hAnsi="Times New Roman" w:cs="Times New Roman"/>
        </w:rPr>
        <w:t>98a</w:t>
      </w:r>
      <w:proofErr w:type="gramEnd"/>
      <w:r>
        <w:rPr>
          <w:rFonts w:ascii="Times New Roman" w:hAnsi="Times New Roman" w:cs="Times New Roman"/>
        </w:rPr>
        <w:t xml:space="preserve"> odst. 2 písm. h) bod 5 povinen stanovit postup pro zajišťování regulační energie. Smyslem navrhované úpravy je blíže specifikovat formy regulační energie, které provozovatel přenosové soustavy využívá k zajištění stability v přenosové soustavě ve specifických situacích a současně zpřesnit postup způsobu uplatnění obstaraného množstvím energie v rámci vypořádání odchylek. </w:t>
      </w:r>
    </w:p>
    <w:p w14:paraId="704C1A01" w14:textId="77777777" w:rsidR="002551CC" w:rsidRDefault="002551CC" w:rsidP="00DE33AF">
      <w:pPr>
        <w:pStyle w:val="Odstavecseseznamem"/>
        <w:numPr>
          <w:ilvl w:val="0"/>
          <w:numId w:val="3"/>
        </w:numPr>
        <w:ind w:left="714" w:hanging="357"/>
        <w:contextualSpacing w:val="0"/>
        <w:jc w:val="both"/>
        <w:rPr>
          <w:rFonts w:ascii="Times New Roman" w:hAnsi="Times New Roman" w:cs="Times New Roman"/>
        </w:rPr>
      </w:pPr>
      <w:r>
        <w:rPr>
          <w:rFonts w:ascii="Times New Roman" w:hAnsi="Times New Roman" w:cs="Times New Roman"/>
        </w:rPr>
        <w:t>uzavření smlouvy o zajištění služby přenosové nebo distribuční soustavy, kde se rozšiřují podmínky, za kterých může provozovatel přenosové nebo distribuční soustavy odmítnout žádost o uzavření smlouvy o zajištění služby přenosové nebo distribuční soustavy. Konkrétně se doplňují podmínky o případy, kdy v žádosti nejsou uvedeny identifikační údaje o účastníkovi trhu. Tímto se jednak reaguje na dosavadní praxi, která se v nedávných měsících ukázala za nedostatečnou v oblasti přechodu zákazníku z režimu DPI, kdy bylo zjištěno, že obchodníci neaktualizují údaje o svých zákaznících u provozovatelů soustav, čímž docházelo ke značným časovým průtahům při přechodu zákazníků z režimu dodávky DPI do režimu standardní dodávky. Tato navrhovaná úprava je nezbytná k zajištění plynulého fungování trhu a posílení jistoty a postavení zákazníků.</w:t>
      </w:r>
    </w:p>
    <w:p w14:paraId="328E9066" w14:textId="77777777" w:rsidR="002551CC" w:rsidRDefault="002551CC" w:rsidP="003425E6">
      <w:pPr>
        <w:pStyle w:val="Odstavecseseznamem"/>
        <w:numPr>
          <w:ilvl w:val="0"/>
          <w:numId w:val="3"/>
        </w:numPr>
        <w:jc w:val="both"/>
        <w:rPr>
          <w:rFonts w:ascii="Times New Roman" w:hAnsi="Times New Roman" w:cs="Times New Roman"/>
        </w:rPr>
      </w:pPr>
      <w:r>
        <w:rPr>
          <w:rFonts w:ascii="Times New Roman" w:hAnsi="Times New Roman" w:cs="Times New Roman"/>
        </w:rPr>
        <w:t>stanovení podmínek pro podání žádosti o zajištění služby přenosové nebo distribuční soustavy v provozu pro ověření technologie zákazníky, kde dochází ke zkrácení lhůty pro podání této žádosti před termínem zahájení provozu pro ověření technologie. Návrh úpravy vychází ze zjištění účastníků trhu (provozovatelů distribučních soustav), kdy v současnosti uplatňovaný postup je příliš svazující pro žadatele a není nezbytně nutné takovou žádost podávat s takto širokým časovým předstihem. V řádě případů by mohlo docházet ke zpožďování různých projektů na straně žadatelů, proto je cílem postup zjednodušit tím, že se zkrátí doba pro podávání žádosti.</w:t>
      </w:r>
    </w:p>
    <w:p w14:paraId="339CDCA2" w14:textId="77777777" w:rsidR="003C038D" w:rsidRPr="00BF238C" w:rsidRDefault="003C038D" w:rsidP="00BF238C">
      <w:pPr>
        <w:ind w:left="360" w:firstLine="348"/>
        <w:jc w:val="both"/>
        <w:rPr>
          <w:rFonts w:ascii="Times New Roman" w:hAnsi="Times New Roman" w:cs="Times New Roman"/>
        </w:rPr>
      </w:pPr>
      <w:r w:rsidRPr="00BF238C">
        <w:rPr>
          <w:rFonts w:ascii="Times New Roman" w:hAnsi="Times New Roman" w:cs="Times New Roman"/>
        </w:rPr>
        <w:t>Další cíle byly stanoveny na základě průběžného vyhodnocování praktické aplikace pravidel vyhlášky o Pravidlech trhu a vývoje trhu s elektřinou, zejména za účelem:</w:t>
      </w:r>
    </w:p>
    <w:p w14:paraId="23C8F697" w14:textId="77777777" w:rsidR="003C038D" w:rsidRPr="003C038D" w:rsidRDefault="003C038D" w:rsidP="00BF238C">
      <w:pPr>
        <w:pStyle w:val="Odstavecseseznamem"/>
        <w:jc w:val="both"/>
        <w:rPr>
          <w:rFonts w:ascii="Times New Roman" w:hAnsi="Times New Roman" w:cs="Times New Roman"/>
        </w:rPr>
      </w:pPr>
      <w:r w:rsidRPr="003C038D">
        <w:rPr>
          <w:rFonts w:ascii="Times New Roman" w:hAnsi="Times New Roman" w:cs="Times New Roman"/>
        </w:rPr>
        <w:lastRenderedPageBreak/>
        <w:t>- zamezení výkladových nejasností,</w:t>
      </w:r>
    </w:p>
    <w:p w14:paraId="6FA8BA1F" w14:textId="77777777" w:rsidR="003C038D" w:rsidRPr="003C038D" w:rsidRDefault="003C038D" w:rsidP="00DE33AF">
      <w:pPr>
        <w:pStyle w:val="Odstavecseseznamem"/>
        <w:spacing w:after="120"/>
        <w:contextualSpacing w:val="0"/>
        <w:jc w:val="both"/>
        <w:rPr>
          <w:rFonts w:ascii="Times New Roman" w:hAnsi="Times New Roman" w:cs="Times New Roman"/>
        </w:rPr>
      </w:pPr>
      <w:r w:rsidRPr="003C038D">
        <w:rPr>
          <w:rFonts w:ascii="Times New Roman" w:hAnsi="Times New Roman" w:cs="Times New Roman"/>
        </w:rPr>
        <w:t>- sjednocení postupů,</w:t>
      </w:r>
    </w:p>
    <w:p w14:paraId="3AB92C1D" w14:textId="2D84A624" w:rsidR="002551CC" w:rsidRPr="003C038D" w:rsidRDefault="003C038D" w:rsidP="00BF238C">
      <w:pPr>
        <w:pStyle w:val="Odstavecseseznamem"/>
        <w:jc w:val="both"/>
        <w:rPr>
          <w:rFonts w:ascii="Times New Roman" w:hAnsi="Times New Roman" w:cs="Times New Roman"/>
        </w:rPr>
      </w:pPr>
      <w:r w:rsidRPr="003C038D">
        <w:rPr>
          <w:rFonts w:ascii="Times New Roman" w:hAnsi="Times New Roman" w:cs="Times New Roman"/>
        </w:rPr>
        <w:t>tak, aby nedošlo k založení nerovnováhy mezi jednotlivými účastníky trhu s elektřinou.</w:t>
      </w:r>
      <w:r w:rsidRPr="003C038D">
        <w:rPr>
          <w:rFonts w:ascii="Times New Roman" w:hAnsi="Times New Roman" w:cs="Times New Roman"/>
        </w:rPr>
        <w:tab/>
      </w:r>
    </w:p>
    <w:p w14:paraId="115FEDF2" w14:textId="1441F6BE" w:rsidR="00720533" w:rsidRDefault="002551CC" w:rsidP="002551CC">
      <w:pPr>
        <w:ind w:firstLine="360"/>
        <w:jc w:val="both"/>
        <w:rPr>
          <w:rFonts w:ascii="Times New Roman" w:hAnsi="Times New Roman" w:cs="Times New Roman"/>
        </w:rPr>
      </w:pPr>
      <w:r>
        <w:rPr>
          <w:rFonts w:ascii="Times New Roman" w:hAnsi="Times New Roman" w:cs="Times New Roman"/>
        </w:rPr>
        <w:t>Vlivem výše uvedeného se modifikují postupy, které vyhláška stanoví. Konkrétně</w:t>
      </w:r>
      <w:r w:rsidR="002C481C" w:rsidRPr="002C481C">
        <w:rPr>
          <w:rFonts w:ascii="Times New Roman" w:hAnsi="Times New Roman" w:cs="Times New Roman"/>
        </w:rPr>
        <w:t>:</w:t>
      </w:r>
    </w:p>
    <w:p w14:paraId="166AB27E" w14:textId="77777777" w:rsidR="002551CC" w:rsidRPr="00222DC3" w:rsidRDefault="002551CC" w:rsidP="003425E6">
      <w:pPr>
        <w:pStyle w:val="Odstavecseseznamem"/>
        <w:numPr>
          <w:ilvl w:val="0"/>
          <w:numId w:val="2"/>
        </w:numPr>
        <w:jc w:val="both"/>
        <w:rPr>
          <w:rFonts w:ascii="Times New Roman" w:hAnsi="Times New Roman" w:cs="Times New Roman"/>
        </w:rPr>
      </w:pPr>
      <w:r>
        <w:rPr>
          <w:rFonts w:ascii="Times New Roman" w:hAnsi="Times New Roman"/>
        </w:rPr>
        <w:t>postup pro organizaci trhu s regulační energií,</w:t>
      </w:r>
    </w:p>
    <w:p w14:paraId="164E4C4A" w14:textId="77777777" w:rsidR="002551CC" w:rsidRPr="000F462C" w:rsidRDefault="002551CC" w:rsidP="003425E6">
      <w:pPr>
        <w:pStyle w:val="Odstavecseseznamem"/>
        <w:numPr>
          <w:ilvl w:val="0"/>
          <w:numId w:val="2"/>
        </w:numPr>
        <w:jc w:val="both"/>
        <w:rPr>
          <w:rFonts w:ascii="Times New Roman" w:hAnsi="Times New Roman" w:cs="Times New Roman"/>
        </w:rPr>
      </w:pPr>
      <w:r>
        <w:rPr>
          <w:rFonts w:ascii="Times New Roman" w:hAnsi="Times New Roman" w:cs="Times New Roman"/>
        </w:rPr>
        <w:t>postup pro registraci odběrných míst a předávacích míst,</w:t>
      </w:r>
    </w:p>
    <w:p w14:paraId="54D1756B" w14:textId="77777777" w:rsidR="002551CC" w:rsidRDefault="002551CC" w:rsidP="003425E6">
      <w:pPr>
        <w:pStyle w:val="Odstavecseseznamem"/>
        <w:numPr>
          <w:ilvl w:val="0"/>
          <w:numId w:val="2"/>
        </w:numPr>
        <w:jc w:val="both"/>
        <w:rPr>
          <w:rFonts w:ascii="Times New Roman" w:hAnsi="Times New Roman" w:cs="Times New Roman"/>
        </w:rPr>
      </w:pPr>
      <w:r>
        <w:rPr>
          <w:rFonts w:ascii="Times New Roman" w:hAnsi="Times New Roman" w:cs="Times New Roman"/>
        </w:rPr>
        <w:t>postup pro přenesení odpovědnosti za odchylku,</w:t>
      </w:r>
    </w:p>
    <w:p w14:paraId="02926F1A" w14:textId="77777777" w:rsidR="002551CC" w:rsidRDefault="002551CC" w:rsidP="003425E6">
      <w:pPr>
        <w:pStyle w:val="Odstavecseseznamem"/>
        <w:widowControl w:val="0"/>
        <w:numPr>
          <w:ilvl w:val="0"/>
          <w:numId w:val="2"/>
        </w:numPr>
        <w:autoSpaceDE w:val="0"/>
        <w:autoSpaceDN w:val="0"/>
        <w:adjustRightInd w:val="0"/>
        <w:spacing w:after="120" w:line="312" w:lineRule="auto"/>
        <w:jc w:val="both"/>
        <w:rPr>
          <w:rFonts w:ascii="Times New Roman" w:hAnsi="Times New Roman"/>
        </w:rPr>
      </w:pPr>
      <w:r>
        <w:rPr>
          <w:rFonts w:ascii="Times New Roman" w:hAnsi="Times New Roman" w:cs="Times New Roman"/>
        </w:rPr>
        <w:t>postup pro předávání údajů pro vypořádání odchylek,</w:t>
      </w:r>
      <w:r w:rsidRPr="00053CC3">
        <w:rPr>
          <w:rFonts w:ascii="Times New Roman" w:hAnsi="Times New Roman"/>
        </w:rPr>
        <w:t xml:space="preserve"> </w:t>
      </w:r>
    </w:p>
    <w:p w14:paraId="46BCFB22" w14:textId="77777777" w:rsidR="002551CC" w:rsidRPr="00222DC3" w:rsidRDefault="002551CC" w:rsidP="003425E6">
      <w:pPr>
        <w:pStyle w:val="Odstavecseseznamem"/>
        <w:widowControl w:val="0"/>
        <w:numPr>
          <w:ilvl w:val="0"/>
          <w:numId w:val="2"/>
        </w:numPr>
        <w:autoSpaceDE w:val="0"/>
        <w:autoSpaceDN w:val="0"/>
        <w:adjustRightInd w:val="0"/>
        <w:spacing w:after="120" w:line="312" w:lineRule="auto"/>
        <w:jc w:val="both"/>
        <w:rPr>
          <w:rFonts w:ascii="Times New Roman" w:hAnsi="Times New Roman"/>
        </w:rPr>
      </w:pPr>
      <w:r>
        <w:rPr>
          <w:rFonts w:ascii="Times New Roman" w:hAnsi="Times New Roman"/>
        </w:rPr>
        <w:t>postup pro změnu dodavatele,</w:t>
      </w:r>
    </w:p>
    <w:p w14:paraId="5AFB1427" w14:textId="77777777" w:rsidR="002551CC" w:rsidRDefault="002551CC" w:rsidP="003425E6">
      <w:pPr>
        <w:pStyle w:val="Odstavecseseznamem"/>
        <w:numPr>
          <w:ilvl w:val="0"/>
          <w:numId w:val="2"/>
        </w:numPr>
        <w:jc w:val="both"/>
        <w:rPr>
          <w:rFonts w:ascii="Times New Roman" w:hAnsi="Times New Roman" w:cs="Times New Roman"/>
        </w:rPr>
      </w:pPr>
      <w:r>
        <w:rPr>
          <w:rFonts w:ascii="Times New Roman" w:hAnsi="Times New Roman" w:cs="Times New Roman"/>
        </w:rPr>
        <w:t>postup pro předávání údajů pro vyúčtování dodávek elektřiny a souvisejících služeb,</w:t>
      </w:r>
    </w:p>
    <w:p w14:paraId="6D4113FA" w14:textId="77777777" w:rsidR="002551CC" w:rsidRDefault="002551CC" w:rsidP="003425E6">
      <w:pPr>
        <w:pStyle w:val="Odstavecseseznamem"/>
        <w:numPr>
          <w:ilvl w:val="0"/>
          <w:numId w:val="2"/>
        </w:numPr>
        <w:jc w:val="both"/>
        <w:rPr>
          <w:rFonts w:ascii="Times New Roman" w:hAnsi="Times New Roman" w:cs="Times New Roman"/>
        </w:rPr>
      </w:pPr>
      <w:r>
        <w:rPr>
          <w:rFonts w:ascii="Times New Roman" w:hAnsi="Times New Roman" w:cs="Times New Roman"/>
        </w:rPr>
        <w:t>postup pro uzavření smluv o zajištění služby přenosové nebo distribuční soustavy,</w:t>
      </w:r>
    </w:p>
    <w:p w14:paraId="74A848AA" w14:textId="77777777" w:rsidR="002551CC" w:rsidRDefault="002551CC" w:rsidP="003425E6">
      <w:pPr>
        <w:pStyle w:val="Odstavecseseznamem"/>
        <w:numPr>
          <w:ilvl w:val="0"/>
          <w:numId w:val="2"/>
        </w:numPr>
        <w:jc w:val="both"/>
        <w:rPr>
          <w:rFonts w:ascii="Times New Roman" w:hAnsi="Times New Roman" w:cs="Times New Roman"/>
        </w:rPr>
      </w:pPr>
      <w:r>
        <w:rPr>
          <w:rFonts w:ascii="Times New Roman" w:hAnsi="Times New Roman" w:cs="Times New Roman"/>
        </w:rPr>
        <w:t>postup pro předávání údajů mezi účastníky trhu,</w:t>
      </w:r>
    </w:p>
    <w:p w14:paraId="76F8A2DB" w14:textId="77777777" w:rsidR="002551CC" w:rsidRPr="00222DC3" w:rsidRDefault="002551CC" w:rsidP="003425E6">
      <w:pPr>
        <w:pStyle w:val="Odstavecseseznamem"/>
        <w:numPr>
          <w:ilvl w:val="0"/>
          <w:numId w:val="2"/>
        </w:numPr>
        <w:jc w:val="both"/>
      </w:pPr>
      <w:r>
        <w:rPr>
          <w:rFonts w:ascii="Times New Roman" w:hAnsi="Times New Roman" w:cs="Times New Roman"/>
        </w:rPr>
        <w:t>postup při zajištění dodávky dodavatelem poslední instance,</w:t>
      </w:r>
    </w:p>
    <w:p w14:paraId="3B8CAA90" w14:textId="77777777" w:rsidR="002551CC" w:rsidRDefault="002551CC" w:rsidP="003425E6">
      <w:pPr>
        <w:pStyle w:val="Odstavecseseznamem"/>
        <w:numPr>
          <w:ilvl w:val="0"/>
          <w:numId w:val="2"/>
        </w:numPr>
        <w:jc w:val="both"/>
      </w:pPr>
      <w:r w:rsidRPr="00222DC3">
        <w:rPr>
          <w:rFonts w:ascii="Times New Roman" w:hAnsi="Times New Roman" w:cs="Times New Roman"/>
        </w:rPr>
        <w:t>postup pro provoz pro ověření technologie,</w:t>
      </w:r>
    </w:p>
    <w:p w14:paraId="1E782BA8" w14:textId="77777777" w:rsidR="002551CC" w:rsidRDefault="002551CC" w:rsidP="003425E6">
      <w:pPr>
        <w:pStyle w:val="Odstavecseseznamem"/>
        <w:widowControl w:val="0"/>
        <w:numPr>
          <w:ilvl w:val="0"/>
          <w:numId w:val="2"/>
        </w:numPr>
        <w:autoSpaceDE w:val="0"/>
        <w:autoSpaceDN w:val="0"/>
        <w:adjustRightInd w:val="0"/>
        <w:spacing w:after="120" w:line="312" w:lineRule="auto"/>
        <w:jc w:val="both"/>
        <w:rPr>
          <w:rFonts w:ascii="Times New Roman" w:hAnsi="Times New Roman"/>
        </w:rPr>
      </w:pPr>
      <w:r>
        <w:rPr>
          <w:rFonts w:ascii="Times New Roman" w:hAnsi="Times New Roman"/>
        </w:rPr>
        <w:t>způsob vykazování výrobcem elektřiny a provozovatelem lokální distribuční soustavy,</w:t>
      </w:r>
    </w:p>
    <w:p w14:paraId="032FA19A" w14:textId="77777777" w:rsidR="002551CC" w:rsidRDefault="002551CC" w:rsidP="003425E6">
      <w:pPr>
        <w:pStyle w:val="Odstavecseseznamem"/>
        <w:widowControl w:val="0"/>
        <w:numPr>
          <w:ilvl w:val="0"/>
          <w:numId w:val="2"/>
        </w:numPr>
        <w:autoSpaceDE w:val="0"/>
        <w:autoSpaceDN w:val="0"/>
        <w:adjustRightInd w:val="0"/>
        <w:spacing w:after="120" w:line="312" w:lineRule="auto"/>
        <w:jc w:val="both"/>
        <w:rPr>
          <w:rFonts w:ascii="Times New Roman" w:hAnsi="Times New Roman"/>
        </w:rPr>
      </w:pPr>
      <w:r w:rsidRPr="00D90A85">
        <w:rPr>
          <w:rFonts w:ascii="Times New Roman" w:hAnsi="Times New Roman"/>
        </w:rPr>
        <w:t xml:space="preserve">způsob a postup stanovení rozdílu mezi hodinovou cenou a výkupní cenou, referenční výkupní cenou nebo referenční aukční cenou a jeho úhrady operátorovi trhu, </w:t>
      </w:r>
    </w:p>
    <w:p w14:paraId="5557550E" w14:textId="77777777" w:rsidR="002551CC" w:rsidRPr="00337EFA" w:rsidRDefault="002551CC" w:rsidP="003425E6">
      <w:pPr>
        <w:pStyle w:val="Odstavecseseznamem"/>
        <w:widowControl w:val="0"/>
        <w:numPr>
          <w:ilvl w:val="0"/>
          <w:numId w:val="2"/>
        </w:numPr>
        <w:autoSpaceDE w:val="0"/>
        <w:autoSpaceDN w:val="0"/>
        <w:adjustRightInd w:val="0"/>
        <w:spacing w:after="120" w:line="312" w:lineRule="auto"/>
        <w:jc w:val="both"/>
        <w:rPr>
          <w:rFonts w:ascii="Times New Roman" w:hAnsi="Times New Roman"/>
        </w:rPr>
      </w:pPr>
      <w:r w:rsidRPr="00337EFA">
        <w:rPr>
          <w:rFonts w:ascii="Times New Roman" w:hAnsi="Times New Roman"/>
        </w:rPr>
        <w:t>způsob stanovení hodinového zeleného bonusu na elektřinu, aukčního bonusu pro obnovitelné zdroje a ceny za činnost povinně vykupujícího.</w:t>
      </w:r>
    </w:p>
    <w:p w14:paraId="57A38743" w14:textId="522B24E2" w:rsidR="000871C5" w:rsidRDefault="003C038D" w:rsidP="00BF238C">
      <w:pPr>
        <w:ind w:firstLine="360"/>
        <w:jc w:val="both"/>
        <w:rPr>
          <w:rFonts w:ascii="Times New Roman" w:hAnsi="Times New Roman" w:cs="Times New Roman"/>
        </w:rPr>
      </w:pPr>
      <w:r w:rsidRPr="00BF238C">
        <w:rPr>
          <w:rFonts w:ascii="Times New Roman" w:hAnsi="Times New Roman" w:cs="Times New Roman"/>
        </w:rPr>
        <w:t>V ostatních oblastech vyhlášky, u kterých jsou prováděny změny, se jedná o formulační a významové zpřesnění příslušného postupu.</w:t>
      </w:r>
    </w:p>
    <w:p w14:paraId="6A2E54C6" w14:textId="77777777" w:rsidR="003C038D" w:rsidRDefault="003C038D" w:rsidP="005E35B4">
      <w:pPr>
        <w:widowControl w:val="0"/>
        <w:autoSpaceDE w:val="0"/>
        <w:autoSpaceDN w:val="0"/>
        <w:adjustRightInd w:val="0"/>
        <w:spacing w:after="120" w:line="312" w:lineRule="auto"/>
        <w:jc w:val="both"/>
        <w:rPr>
          <w:rFonts w:ascii="Times New Roman" w:hAnsi="Times New Roman"/>
          <w:b/>
        </w:rPr>
      </w:pPr>
    </w:p>
    <w:p w14:paraId="29FA2BCA" w14:textId="1F61134E" w:rsidR="009167AE" w:rsidRPr="0056354D" w:rsidRDefault="005E35B4" w:rsidP="0056354D">
      <w:pPr>
        <w:pStyle w:val="Odstavecseseznamem"/>
        <w:widowControl w:val="0"/>
        <w:numPr>
          <w:ilvl w:val="0"/>
          <w:numId w:val="5"/>
        </w:numPr>
        <w:autoSpaceDE w:val="0"/>
        <w:autoSpaceDN w:val="0"/>
        <w:adjustRightInd w:val="0"/>
        <w:spacing w:after="120" w:line="312" w:lineRule="auto"/>
        <w:jc w:val="both"/>
        <w:rPr>
          <w:rFonts w:ascii="Times New Roman" w:hAnsi="Times New Roman"/>
          <w:b/>
        </w:rPr>
      </w:pPr>
      <w:r w:rsidRPr="0056354D">
        <w:rPr>
          <w:rFonts w:ascii="Times New Roman" w:hAnsi="Times New Roman"/>
          <w:b/>
        </w:rPr>
        <w:t>Zhodnocení souladu navrhované právní úpravy se zákonem, k jehož provedení je vyhláška navržena</w:t>
      </w:r>
      <w:r w:rsidR="004B3422" w:rsidRPr="0056354D">
        <w:rPr>
          <w:rFonts w:ascii="Times New Roman" w:hAnsi="Times New Roman"/>
          <w:b/>
        </w:rPr>
        <w:t>,</w:t>
      </w:r>
      <w:r w:rsidRPr="0056354D">
        <w:rPr>
          <w:rFonts w:ascii="Times New Roman" w:hAnsi="Times New Roman"/>
          <w:b/>
        </w:rPr>
        <w:t xml:space="preserve"> a akty práva Evropské unie</w:t>
      </w:r>
    </w:p>
    <w:p w14:paraId="09CB67F8" w14:textId="056B7525" w:rsidR="003937A5" w:rsidRDefault="0044634F" w:rsidP="009D2DB1">
      <w:pPr>
        <w:widowControl w:val="0"/>
        <w:autoSpaceDE w:val="0"/>
        <w:autoSpaceDN w:val="0"/>
        <w:adjustRightInd w:val="0"/>
        <w:spacing w:after="120" w:line="312" w:lineRule="auto"/>
        <w:jc w:val="both"/>
        <w:rPr>
          <w:rFonts w:ascii="Times New Roman" w:hAnsi="Times New Roman" w:cs="Times New Roman"/>
          <w:b/>
        </w:rPr>
      </w:pPr>
      <w:r>
        <w:rPr>
          <w:rFonts w:ascii="Times New Roman" w:hAnsi="Times New Roman"/>
        </w:rPr>
        <w:tab/>
      </w:r>
      <w:r w:rsidR="009167AE">
        <w:rPr>
          <w:rFonts w:ascii="Times New Roman" w:hAnsi="Times New Roman"/>
        </w:rPr>
        <w:t>Předpokládaný návrh vyhlášky</w:t>
      </w:r>
      <w:r w:rsidR="00A3234C">
        <w:rPr>
          <w:rFonts w:ascii="Times New Roman" w:hAnsi="Times New Roman"/>
        </w:rPr>
        <w:t xml:space="preserve">, kterou se mění vyhláška </w:t>
      </w:r>
      <w:r w:rsidR="009167AE">
        <w:rPr>
          <w:rFonts w:ascii="Times New Roman" w:hAnsi="Times New Roman"/>
        </w:rPr>
        <w:t>o Pravidlech trhu s elektřinou, je v souladu s energetickým zákonem</w:t>
      </w:r>
      <w:r w:rsidR="0076102B">
        <w:rPr>
          <w:rFonts w:ascii="Times New Roman" w:hAnsi="Times New Roman"/>
        </w:rPr>
        <w:t xml:space="preserve"> a zákonem o podporovaných zdrojích energie</w:t>
      </w:r>
      <w:r w:rsidR="009167AE">
        <w:rPr>
          <w:rFonts w:ascii="Times New Roman" w:hAnsi="Times New Roman"/>
        </w:rPr>
        <w:t>.</w:t>
      </w:r>
      <w:r w:rsidR="009D2DB1">
        <w:rPr>
          <w:rFonts w:ascii="Times New Roman" w:hAnsi="Times New Roman"/>
        </w:rPr>
        <w:t xml:space="preserve"> </w:t>
      </w:r>
      <w:r w:rsidR="003937A5">
        <w:rPr>
          <w:rFonts w:ascii="Times New Roman" w:hAnsi="Times New Roman" w:cs="Times New Roman"/>
        </w:rPr>
        <w:t xml:space="preserve">Podle ustanovení § </w:t>
      </w:r>
      <w:proofErr w:type="gramStart"/>
      <w:r w:rsidR="003937A5">
        <w:rPr>
          <w:rFonts w:ascii="Times New Roman" w:hAnsi="Times New Roman" w:cs="Times New Roman"/>
        </w:rPr>
        <w:t>98a</w:t>
      </w:r>
      <w:proofErr w:type="gramEnd"/>
      <w:r w:rsidR="003937A5">
        <w:rPr>
          <w:rFonts w:ascii="Times New Roman" w:hAnsi="Times New Roman" w:cs="Times New Roman"/>
        </w:rPr>
        <w:t xml:space="preserve"> odst. 2 písm. h) zákona č. 458/2000 Sb., energetického zákona</w:t>
      </w:r>
      <w:r w:rsidR="009D2DB1">
        <w:rPr>
          <w:rFonts w:ascii="Times New Roman" w:hAnsi="Times New Roman" w:cs="Times New Roman"/>
        </w:rPr>
        <w:t xml:space="preserve"> </w:t>
      </w:r>
      <w:r w:rsidR="003937A5">
        <w:rPr>
          <w:rFonts w:ascii="Times New Roman" w:hAnsi="Times New Roman" w:cs="Times New Roman"/>
        </w:rPr>
        <w:t xml:space="preserve">je Úřad povinen stanovit vyhláškou </w:t>
      </w:r>
      <w:r w:rsidR="003937A5" w:rsidRPr="00C570F2">
        <w:rPr>
          <w:rFonts w:ascii="Times New Roman" w:hAnsi="Times New Roman" w:cs="Times New Roman"/>
        </w:rPr>
        <w:t>Pravidla trhu s</w:t>
      </w:r>
      <w:r w:rsidR="003937A5">
        <w:rPr>
          <w:rFonts w:ascii="Times New Roman" w:hAnsi="Times New Roman" w:cs="Times New Roman"/>
        </w:rPr>
        <w:t> </w:t>
      </w:r>
      <w:r w:rsidR="003937A5" w:rsidRPr="00C570F2">
        <w:rPr>
          <w:rFonts w:ascii="Times New Roman" w:hAnsi="Times New Roman" w:cs="Times New Roman"/>
        </w:rPr>
        <w:t>elektřinou</w:t>
      </w:r>
      <w:r w:rsidR="003937A5">
        <w:rPr>
          <w:rFonts w:ascii="Times New Roman" w:hAnsi="Times New Roman" w:cs="Times New Roman"/>
        </w:rPr>
        <w:t>.</w:t>
      </w:r>
    </w:p>
    <w:p w14:paraId="386A38D6" w14:textId="702D259F" w:rsidR="00CD4EEF" w:rsidRDefault="0044634F" w:rsidP="00A95786">
      <w:pPr>
        <w:widowControl w:val="0"/>
        <w:autoSpaceDE w:val="0"/>
        <w:autoSpaceDN w:val="0"/>
        <w:adjustRightInd w:val="0"/>
        <w:spacing w:after="120" w:line="312" w:lineRule="auto"/>
        <w:jc w:val="both"/>
        <w:rPr>
          <w:rFonts w:ascii="Times New Roman" w:hAnsi="Times New Roman"/>
        </w:rPr>
      </w:pPr>
      <w:r>
        <w:rPr>
          <w:rFonts w:ascii="Times New Roman" w:hAnsi="Times New Roman"/>
        </w:rPr>
        <w:tab/>
      </w:r>
    </w:p>
    <w:p w14:paraId="7C6DED38" w14:textId="77777777" w:rsidR="00F50FCE" w:rsidRPr="00F50FCE" w:rsidRDefault="00F50FCE" w:rsidP="00F50FCE">
      <w:pPr>
        <w:widowControl w:val="0"/>
        <w:autoSpaceDE w:val="0"/>
        <w:autoSpaceDN w:val="0"/>
        <w:adjustRightInd w:val="0"/>
        <w:spacing w:after="120" w:line="312" w:lineRule="auto"/>
        <w:ind w:firstLine="708"/>
        <w:jc w:val="both"/>
        <w:rPr>
          <w:rFonts w:ascii="Times New Roman" w:hAnsi="Times New Roman"/>
        </w:rPr>
      </w:pPr>
      <w:r w:rsidRPr="00F50FCE">
        <w:rPr>
          <w:rFonts w:ascii="Times New Roman" w:hAnsi="Times New Roman"/>
        </w:rPr>
        <w:t xml:space="preserve">Návrh vyhlášky je rovněž v souladu s právní úpravou EU, a to konkrétně s nařízením Evropského parlamentu a Rady (EU) 2019/943 ze dne 5. června 2019 o vnitřním trhu s elektřinou, jakož i nařízením Evropského parlamentu a Rady (EU) č. 347/2013, kterým se stanoví hlavní směry pro transevropské energetické sítě a kterým se mění nařízení (ES) č. 713/2009, (ES) č. 714/2009 a (ES) č. 715/2009. </w:t>
      </w:r>
    </w:p>
    <w:p w14:paraId="76B76FF4" w14:textId="1C3BF183" w:rsidR="006241A2" w:rsidRDefault="00F50FCE" w:rsidP="00F50FCE">
      <w:pPr>
        <w:widowControl w:val="0"/>
        <w:autoSpaceDE w:val="0"/>
        <w:autoSpaceDN w:val="0"/>
        <w:adjustRightInd w:val="0"/>
        <w:spacing w:after="120" w:line="312" w:lineRule="auto"/>
        <w:ind w:firstLine="708"/>
        <w:jc w:val="both"/>
        <w:rPr>
          <w:rFonts w:ascii="Times New Roman" w:hAnsi="Times New Roman"/>
        </w:rPr>
      </w:pPr>
      <w:r w:rsidRPr="00F50FCE">
        <w:rPr>
          <w:rFonts w:ascii="Times New Roman" w:hAnsi="Times New Roman"/>
        </w:rPr>
        <w:t>Návrh vyhlášky nadále adaptuje právní řád ČR na čl. 19, 45, 46, 47 a 55 Nařízení Komise (EU) 2017/2195 ze dne 23. listopadu 2017, kterým se stanoví rámcový pokyn pro obchodní zajišťování výkonové rovnováhy v elektroenergetice, v platném znění (dále jen „Nařízení Komise (EU) 2017/2195“), jakož i zprostředkovaně, na základě vzniklého rámce podle čl. 19 a vzniklých metodik podle čl. 30 (v rámci příslušné platformy) a čl. 52, na tyto požadavky čl. 19, 30 a 52 Nařízení Komise (EU) 2017/2195</w:t>
      </w:r>
      <w:r w:rsidR="006241A2">
        <w:rPr>
          <w:rFonts w:ascii="Times New Roman" w:hAnsi="Times New Roman"/>
        </w:rPr>
        <w:t xml:space="preserve">. </w:t>
      </w:r>
      <w:r w:rsidRPr="00F50FCE">
        <w:rPr>
          <w:rFonts w:ascii="Times New Roman" w:hAnsi="Times New Roman"/>
        </w:rPr>
        <w:t xml:space="preserve">Změny v návrhu vyhlášky </w:t>
      </w:r>
      <w:r w:rsidR="006241A2">
        <w:rPr>
          <w:rFonts w:ascii="Times New Roman" w:hAnsi="Times New Roman"/>
        </w:rPr>
        <w:t xml:space="preserve">(§ 19 odst. 3 a 4; jakož i přejmenování stávajícího </w:t>
      </w:r>
      <w:r w:rsidR="006241A2">
        <w:rPr>
          <w:rFonts w:ascii="Times New Roman" w:hAnsi="Times New Roman"/>
        </w:rPr>
        <w:lastRenderedPageBreak/>
        <w:t xml:space="preserve">odst. 5 na odst. 6 </w:t>
      </w:r>
      <w:r w:rsidR="005F52A0">
        <w:rPr>
          <w:rFonts w:ascii="Times New Roman" w:hAnsi="Times New Roman"/>
        </w:rPr>
        <w:t xml:space="preserve">a jeho dílčí úpravy) </w:t>
      </w:r>
      <w:r w:rsidRPr="00F50FCE">
        <w:rPr>
          <w:rFonts w:ascii="Times New Roman" w:hAnsi="Times New Roman"/>
        </w:rPr>
        <w:t xml:space="preserve">tak navazují na již implementované změny právní úpravy na národní úrovni (změny formulačně zpřesňující daná pravidla, svým charakterem </w:t>
      </w:r>
      <w:proofErr w:type="spellStart"/>
      <w:r w:rsidRPr="00F50FCE">
        <w:rPr>
          <w:rFonts w:ascii="Times New Roman" w:hAnsi="Times New Roman"/>
        </w:rPr>
        <w:t>reimplementační</w:t>
      </w:r>
      <w:proofErr w:type="spellEnd"/>
      <w:r w:rsidRPr="00F50FCE">
        <w:rPr>
          <w:rFonts w:ascii="Times New Roman" w:hAnsi="Times New Roman"/>
        </w:rPr>
        <w:t>, způsob implementace neměnící, kdy plné implementace bylo dosaženo již původním zněním vyhlášky).</w:t>
      </w:r>
      <w:r w:rsidR="006241A2">
        <w:rPr>
          <w:rFonts w:ascii="Times New Roman" w:hAnsi="Times New Roman"/>
        </w:rPr>
        <w:t xml:space="preserve"> Z hlediska výkaznictví je tak vše zohledněno pouze úpravou příslušné srovnávací tabulky.</w:t>
      </w:r>
      <w:r w:rsidRPr="00F50FCE">
        <w:rPr>
          <w:rFonts w:ascii="Times New Roman" w:hAnsi="Times New Roman"/>
        </w:rPr>
        <w:t xml:space="preserve"> </w:t>
      </w:r>
    </w:p>
    <w:p w14:paraId="20326D97" w14:textId="492AEB84" w:rsidR="00F50FCE" w:rsidRPr="00F50FCE" w:rsidRDefault="006241A2" w:rsidP="00F50FCE">
      <w:pPr>
        <w:widowControl w:val="0"/>
        <w:autoSpaceDE w:val="0"/>
        <w:autoSpaceDN w:val="0"/>
        <w:adjustRightInd w:val="0"/>
        <w:spacing w:after="120" w:line="312" w:lineRule="auto"/>
        <w:ind w:firstLine="708"/>
        <w:jc w:val="both"/>
        <w:rPr>
          <w:rFonts w:ascii="Times New Roman" w:hAnsi="Times New Roman"/>
        </w:rPr>
      </w:pPr>
      <w:r>
        <w:rPr>
          <w:rFonts w:ascii="Times New Roman" w:hAnsi="Times New Roman"/>
        </w:rPr>
        <w:t xml:space="preserve">Pouze nově vložený § 10 odst. 5 vyhlášky rozvíjí vnitrostátní pravidlo § 10 odst. 4, </w:t>
      </w:r>
      <w:r w:rsidR="00237B11">
        <w:rPr>
          <w:rFonts w:ascii="Times New Roman" w:hAnsi="Times New Roman"/>
        </w:rPr>
        <w:t xml:space="preserve">a stejně jako § 10 odst. 4 </w:t>
      </w:r>
      <w:r w:rsidR="007F76CF">
        <w:rPr>
          <w:rFonts w:ascii="Times New Roman" w:hAnsi="Times New Roman"/>
        </w:rPr>
        <w:t xml:space="preserve">adaptuje právní řád ČR na čl. </w:t>
      </w:r>
      <w:r w:rsidR="00E34645">
        <w:rPr>
          <w:rFonts w:ascii="Times New Roman" w:hAnsi="Times New Roman"/>
        </w:rPr>
        <w:t xml:space="preserve">45 </w:t>
      </w:r>
      <w:r w:rsidR="005D7A9F" w:rsidRPr="00F50FCE">
        <w:rPr>
          <w:rFonts w:ascii="Times New Roman" w:hAnsi="Times New Roman"/>
        </w:rPr>
        <w:t>Nařízení Komise (EU) 2017/2195</w:t>
      </w:r>
      <w:r w:rsidR="00EC7DAD">
        <w:rPr>
          <w:rFonts w:ascii="Times New Roman" w:hAnsi="Times New Roman"/>
        </w:rPr>
        <w:t xml:space="preserve">, kdy samotná aplikace je v souladu s přímo aplikovatelným čl. 18 </w:t>
      </w:r>
      <w:r w:rsidR="00EC7DAD" w:rsidRPr="00F50FCE">
        <w:rPr>
          <w:rFonts w:ascii="Times New Roman" w:hAnsi="Times New Roman"/>
        </w:rPr>
        <w:t>Nařízení Komise (EU) 2017/2195</w:t>
      </w:r>
      <w:r w:rsidR="005D7A9F">
        <w:rPr>
          <w:rFonts w:ascii="Times New Roman" w:hAnsi="Times New Roman"/>
        </w:rPr>
        <w:t>.</w:t>
      </w:r>
    </w:p>
    <w:p w14:paraId="489F0B50" w14:textId="49A2F13A" w:rsidR="00F50FCE" w:rsidRPr="00FE4F9F" w:rsidRDefault="00F50FCE" w:rsidP="00F50FCE">
      <w:pPr>
        <w:widowControl w:val="0"/>
        <w:autoSpaceDE w:val="0"/>
        <w:autoSpaceDN w:val="0"/>
        <w:adjustRightInd w:val="0"/>
        <w:spacing w:after="120" w:line="312" w:lineRule="auto"/>
        <w:ind w:firstLine="708"/>
        <w:jc w:val="both"/>
        <w:rPr>
          <w:rFonts w:ascii="Times New Roman" w:hAnsi="Times New Roman"/>
        </w:rPr>
      </w:pPr>
      <w:r w:rsidRPr="00F50FCE">
        <w:rPr>
          <w:rFonts w:ascii="Times New Roman" w:hAnsi="Times New Roman"/>
        </w:rPr>
        <w:t>Návrh vyhlášky není v rozporu s žádným dalším právním předpisem EU upravujícím obchod s elektřinou ani jinými předpisy EU. Návrh vyhlášky není v rozporu s judikaturou Soudního dvora EU ani obecnými právními zásadami práva EU.</w:t>
      </w:r>
    </w:p>
    <w:p w14:paraId="29FA2BD0" w14:textId="77777777" w:rsidR="004F2A85" w:rsidRPr="0056354D" w:rsidRDefault="004F2A85" w:rsidP="0056354D">
      <w:pPr>
        <w:pStyle w:val="Odstavecseseznamem"/>
        <w:widowControl w:val="0"/>
        <w:numPr>
          <w:ilvl w:val="0"/>
          <w:numId w:val="5"/>
        </w:numPr>
        <w:autoSpaceDE w:val="0"/>
        <w:autoSpaceDN w:val="0"/>
        <w:adjustRightInd w:val="0"/>
        <w:spacing w:after="120" w:line="312" w:lineRule="auto"/>
        <w:jc w:val="both"/>
        <w:rPr>
          <w:rFonts w:ascii="Times New Roman" w:hAnsi="Times New Roman"/>
          <w:b/>
        </w:rPr>
      </w:pPr>
      <w:r w:rsidRPr="0056354D">
        <w:rPr>
          <w:rFonts w:ascii="Times New Roman" w:hAnsi="Times New Roman"/>
          <w:b/>
        </w:rPr>
        <w:t>Předpokládaný hospodářský a finanční dosah navrhované právní úpravy na státní rozpočet, ostatní veřejné rozpočty, na podnikatelské prostředí České republiky, sociální dopady a dopady na životní prostředí.</w:t>
      </w:r>
    </w:p>
    <w:p w14:paraId="11F63C76" w14:textId="02967B4B" w:rsidR="00FB31FC" w:rsidRDefault="004F2A85" w:rsidP="005E35B4">
      <w:pPr>
        <w:widowControl w:val="0"/>
        <w:autoSpaceDE w:val="0"/>
        <w:autoSpaceDN w:val="0"/>
        <w:adjustRightInd w:val="0"/>
        <w:spacing w:after="120" w:line="312" w:lineRule="auto"/>
        <w:jc w:val="both"/>
        <w:rPr>
          <w:rFonts w:ascii="Times New Roman" w:hAnsi="Times New Roman"/>
        </w:rPr>
      </w:pPr>
      <w:r>
        <w:rPr>
          <w:rFonts w:ascii="Times New Roman" w:hAnsi="Times New Roman"/>
          <w:b/>
        </w:rPr>
        <w:tab/>
      </w:r>
      <w:r w:rsidR="00FB31FC" w:rsidRPr="00FB31FC">
        <w:rPr>
          <w:rFonts w:ascii="Times New Roman" w:hAnsi="Times New Roman"/>
        </w:rPr>
        <w:t>Návrh vyhlášky nepředpokládá žádné dodatečné nároky na státní rozpočet ani rozpočet Energetického regulačního úřadu, stejně tak v důsledku úpravy vyhlášky nevznikne potřeba navýšení počtu pracovníků. V důsledku navrhované právní úpravy se rovněž nepředpokládá jakýkoli dopad do</w:t>
      </w:r>
      <w:r w:rsidR="00794DCC">
        <w:rPr>
          <w:rFonts w:ascii="Times New Roman" w:hAnsi="Times New Roman"/>
        </w:rPr>
        <w:t> v</w:t>
      </w:r>
      <w:r w:rsidR="00FB31FC" w:rsidRPr="00FB31FC">
        <w:rPr>
          <w:rFonts w:ascii="Times New Roman" w:hAnsi="Times New Roman"/>
        </w:rPr>
        <w:t>eřejných rozpočtů územních samosprávních celků.</w:t>
      </w:r>
    </w:p>
    <w:p w14:paraId="29FA2BD1" w14:textId="7024278E" w:rsidR="00564449" w:rsidRDefault="00FB31FC" w:rsidP="00750247">
      <w:pPr>
        <w:widowControl w:val="0"/>
        <w:autoSpaceDE w:val="0"/>
        <w:autoSpaceDN w:val="0"/>
        <w:adjustRightInd w:val="0"/>
        <w:spacing w:after="120" w:line="312" w:lineRule="auto"/>
        <w:ind w:firstLine="708"/>
        <w:jc w:val="both"/>
        <w:rPr>
          <w:rFonts w:ascii="Times New Roman" w:hAnsi="Times New Roman"/>
        </w:rPr>
      </w:pPr>
      <w:r w:rsidRPr="00FB31FC">
        <w:rPr>
          <w:rFonts w:ascii="Times New Roman" w:hAnsi="Times New Roman"/>
        </w:rPr>
        <w:t>V důsledku úpravy vyhlášky se nepředpoklá</w:t>
      </w:r>
      <w:r>
        <w:rPr>
          <w:rFonts w:ascii="Times New Roman" w:hAnsi="Times New Roman"/>
        </w:rPr>
        <w:t>dají negativní sociální dopady.</w:t>
      </w:r>
      <w:r w:rsidR="009408E5">
        <w:rPr>
          <w:rFonts w:ascii="Times New Roman" w:hAnsi="Times New Roman"/>
        </w:rPr>
        <w:t xml:space="preserve"> </w:t>
      </w:r>
      <w:r w:rsidR="0021065B">
        <w:rPr>
          <w:rFonts w:ascii="Times New Roman" w:hAnsi="Times New Roman"/>
        </w:rPr>
        <w:t xml:space="preserve">Vydání vyhlášky nevyvolá </w:t>
      </w:r>
      <w:r w:rsidR="009408E5">
        <w:rPr>
          <w:rFonts w:ascii="Times New Roman" w:hAnsi="Times New Roman"/>
        </w:rPr>
        <w:t>dodatečné náklady odběratelů</w:t>
      </w:r>
      <w:r w:rsidR="00EB0DBA">
        <w:rPr>
          <w:rFonts w:ascii="Times New Roman" w:hAnsi="Times New Roman"/>
        </w:rPr>
        <w:t>m</w:t>
      </w:r>
      <w:r w:rsidR="00107FD0">
        <w:rPr>
          <w:rFonts w:ascii="Times New Roman" w:hAnsi="Times New Roman"/>
        </w:rPr>
        <w:t xml:space="preserve"> elektřiny</w:t>
      </w:r>
      <w:r w:rsidR="009408E5">
        <w:rPr>
          <w:rFonts w:ascii="Times New Roman" w:hAnsi="Times New Roman"/>
        </w:rPr>
        <w:t xml:space="preserve"> </w:t>
      </w:r>
      <w:r w:rsidR="00EB0DBA">
        <w:rPr>
          <w:rFonts w:ascii="Times New Roman" w:hAnsi="Times New Roman"/>
        </w:rPr>
        <w:t>a</w:t>
      </w:r>
      <w:r w:rsidR="009408E5">
        <w:rPr>
          <w:rFonts w:ascii="Times New Roman" w:hAnsi="Times New Roman"/>
        </w:rPr>
        <w:t xml:space="preserve"> </w:t>
      </w:r>
      <w:r w:rsidR="0021065B">
        <w:rPr>
          <w:rFonts w:ascii="Times New Roman" w:hAnsi="Times New Roman"/>
        </w:rPr>
        <w:t>nepovede</w:t>
      </w:r>
      <w:r w:rsidR="009408E5">
        <w:rPr>
          <w:rFonts w:ascii="Times New Roman" w:hAnsi="Times New Roman"/>
        </w:rPr>
        <w:t xml:space="preserve"> ke znevýhodnění</w:t>
      </w:r>
      <w:r w:rsidR="008D6BA1">
        <w:rPr>
          <w:rFonts w:ascii="Times New Roman" w:hAnsi="Times New Roman"/>
        </w:rPr>
        <w:t xml:space="preserve"> postavení</w:t>
      </w:r>
      <w:r w:rsidR="009408E5">
        <w:rPr>
          <w:rFonts w:ascii="Times New Roman" w:hAnsi="Times New Roman"/>
        </w:rPr>
        <w:t xml:space="preserve"> odběratelů</w:t>
      </w:r>
      <w:r w:rsidR="0021065B">
        <w:rPr>
          <w:rFonts w:ascii="Times New Roman" w:hAnsi="Times New Roman"/>
        </w:rPr>
        <w:t>.</w:t>
      </w:r>
    </w:p>
    <w:p w14:paraId="29FA2BD2" w14:textId="0F092C8A" w:rsidR="004F2A85" w:rsidRDefault="00890EF4" w:rsidP="00494A63">
      <w:pPr>
        <w:widowControl w:val="0"/>
        <w:autoSpaceDE w:val="0"/>
        <w:autoSpaceDN w:val="0"/>
        <w:adjustRightInd w:val="0"/>
        <w:spacing w:after="120" w:line="312" w:lineRule="auto"/>
        <w:ind w:firstLine="708"/>
        <w:jc w:val="both"/>
        <w:rPr>
          <w:rFonts w:ascii="Times New Roman" w:hAnsi="Times New Roman"/>
        </w:rPr>
      </w:pPr>
      <w:r w:rsidRPr="00890EF4">
        <w:rPr>
          <w:rFonts w:ascii="Times New Roman" w:hAnsi="Times New Roman"/>
        </w:rPr>
        <w:t>Návrh novely vyhlášky může pro určitou skupinu dotčených držitelů licenc</w:t>
      </w:r>
      <w:r>
        <w:rPr>
          <w:rFonts w:ascii="Times New Roman" w:hAnsi="Times New Roman"/>
        </w:rPr>
        <w:t xml:space="preserve">e </w:t>
      </w:r>
      <w:r w:rsidRPr="00890EF4">
        <w:rPr>
          <w:rFonts w:ascii="Times New Roman" w:hAnsi="Times New Roman"/>
        </w:rPr>
        <w:t xml:space="preserve">znamenat nutnost nezbytné úpravy relevantních modulů </w:t>
      </w:r>
      <w:r w:rsidR="00087B0B">
        <w:rPr>
          <w:rFonts w:ascii="Times New Roman" w:hAnsi="Times New Roman"/>
        </w:rPr>
        <w:t xml:space="preserve">jejich </w:t>
      </w:r>
      <w:r w:rsidRPr="00890EF4">
        <w:rPr>
          <w:rFonts w:ascii="Times New Roman" w:hAnsi="Times New Roman"/>
        </w:rPr>
        <w:t>informačních systémů</w:t>
      </w:r>
      <w:r w:rsidR="00087B0B">
        <w:rPr>
          <w:rFonts w:ascii="Times New Roman" w:hAnsi="Times New Roman"/>
        </w:rPr>
        <w:t xml:space="preserve">, přičemž </w:t>
      </w:r>
      <w:r w:rsidRPr="00890EF4">
        <w:rPr>
          <w:rFonts w:ascii="Times New Roman" w:hAnsi="Times New Roman"/>
        </w:rPr>
        <w:t xml:space="preserve">tato skutečnost může současně znamenat pro tyto subjekty novou finanční zátěž. Vzhledem k tomu, že úprava vyhlášky nepředpokládá vytvoření nových, ale pouze doplnění existujících informačních systémů, </w:t>
      </w:r>
      <w:r w:rsidR="00C55824">
        <w:rPr>
          <w:rFonts w:ascii="Times New Roman" w:hAnsi="Times New Roman"/>
        </w:rPr>
        <w:t xml:space="preserve">je tím </w:t>
      </w:r>
      <w:r w:rsidR="00FF430C">
        <w:rPr>
          <w:rFonts w:ascii="Times New Roman" w:hAnsi="Times New Roman"/>
        </w:rPr>
        <w:t xml:space="preserve">rozsah </w:t>
      </w:r>
      <w:r w:rsidR="00C55824">
        <w:rPr>
          <w:rFonts w:ascii="Times New Roman" w:hAnsi="Times New Roman"/>
        </w:rPr>
        <w:t>finanční</w:t>
      </w:r>
      <w:r w:rsidR="00FF430C">
        <w:rPr>
          <w:rFonts w:ascii="Times New Roman" w:hAnsi="Times New Roman"/>
        </w:rPr>
        <w:t>ho</w:t>
      </w:r>
      <w:r w:rsidR="00C55824">
        <w:rPr>
          <w:rFonts w:ascii="Times New Roman" w:hAnsi="Times New Roman"/>
        </w:rPr>
        <w:t xml:space="preserve"> d</w:t>
      </w:r>
      <w:r w:rsidR="005B778D">
        <w:rPr>
          <w:rFonts w:ascii="Times New Roman" w:hAnsi="Times New Roman"/>
        </w:rPr>
        <w:t>opad</w:t>
      </w:r>
      <w:r w:rsidR="00FF430C">
        <w:rPr>
          <w:rFonts w:ascii="Times New Roman" w:hAnsi="Times New Roman"/>
        </w:rPr>
        <w:t>u</w:t>
      </w:r>
      <w:r w:rsidR="005B778D">
        <w:rPr>
          <w:rFonts w:ascii="Times New Roman" w:hAnsi="Times New Roman"/>
        </w:rPr>
        <w:t xml:space="preserve"> </w:t>
      </w:r>
      <w:r w:rsidR="00CE67C4">
        <w:rPr>
          <w:rFonts w:ascii="Times New Roman" w:hAnsi="Times New Roman"/>
        </w:rPr>
        <w:t>v</w:t>
      </w:r>
      <w:r w:rsidR="000E0789">
        <w:rPr>
          <w:rFonts w:ascii="Times New Roman" w:hAnsi="Times New Roman"/>
        </w:rPr>
        <w:t>e významné</w:t>
      </w:r>
      <w:r w:rsidR="00CE67C4">
        <w:rPr>
          <w:rFonts w:ascii="Times New Roman" w:hAnsi="Times New Roman"/>
        </w:rPr>
        <w:t xml:space="preserve"> míře </w:t>
      </w:r>
      <w:r w:rsidR="00FF430C">
        <w:rPr>
          <w:rFonts w:ascii="Times New Roman" w:hAnsi="Times New Roman"/>
        </w:rPr>
        <w:t>minimalizován</w:t>
      </w:r>
      <w:r w:rsidRPr="00890EF4">
        <w:rPr>
          <w:rFonts w:ascii="Times New Roman" w:hAnsi="Times New Roman"/>
        </w:rPr>
        <w:t>.</w:t>
      </w:r>
    </w:p>
    <w:p w14:paraId="38FBF158" w14:textId="19856BB9" w:rsidR="00890EF4" w:rsidRDefault="00890EF4" w:rsidP="00494A63">
      <w:pPr>
        <w:widowControl w:val="0"/>
        <w:autoSpaceDE w:val="0"/>
        <w:autoSpaceDN w:val="0"/>
        <w:adjustRightInd w:val="0"/>
        <w:spacing w:after="120" w:line="312" w:lineRule="auto"/>
        <w:ind w:firstLine="708"/>
        <w:jc w:val="both"/>
        <w:rPr>
          <w:rFonts w:ascii="Times New Roman" w:hAnsi="Times New Roman"/>
        </w:rPr>
      </w:pPr>
      <w:r>
        <w:rPr>
          <w:rFonts w:ascii="Times New Roman" w:hAnsi="Times New Roman"/>
        </w:rPr>
        <w:t>Aplikace navrhovaných úprav současně povede ke zpřesnění a zjednodušení postupu a umožní účastníkům trhu lépe a efektivněji optimalizovat své interní procesy, finanční toky a využití lidského kapitálu.</w:t>
      </w:r>
    </w:p>
    <w:p w14:paraId="29FA2BD3" w14:textId="18E6D4F6" w:rsidR="002104BE" w:rsidRPr="002104BE" w:rsidRDefault="00820C52" w:rsidP="002104BE">
      <w:pPr>
        <w:widowControl w:val="0"/>
        <w:autoSpaceDE w:val="0"/>
        <w:autoSpaceDN w:val="0"/>
        <w:adjustRightInd w:val="0"/>
        <w:spacing w:after="120" w:line="312" w:lineRule="auto"/>
        <w:jc w:val="both"/>
        <w:rPr>
          <w:rFonts w:ascii="Times New Roman" w:hAnsi="Times New Roman"/>
        </w:rPr>
      </w:pPr>
      <w:r>
        <w:rPr>
          <w:rFonts w:ascii="Times New Roman" w:hAnsi="Times New Roman"/>
        </w:rPr>
        <w:tab/>
      </w:r>
      <w:r w:rsidR="002944AC" w:rsidRPr="002944AC">
        <w:t xml:space="preserve"> </w:t>
      </w:r>
      <w:r w:rsidR="002944AC" w:rsidRPr="002944AC">
        <w:rPr>
          <w:rFonts w:ascii="Times New Roman" w:hAnsi="Times New Roman"/>
        </w:rPr>
        <w:t xml:space="preserve">Návrh novely vyhlášky nemá dopad na životní prostředí. </w:t>
      </w:r>
      <w:r w:rsidR="009408E5">
        <w:rPr>
          <w:rFonts w:ascii="Times New Roman" w:hAnsi="Times New Roman"/>
        </w:rPr>
        <w:t xml:space="preserve"> </w:t>
      </w:r>
    </w:p>
    <w:p w14:paraId="29FA2BD4" w14:textId="77777777" w:rsidR="00005DA3" w:rsidRPr="0056354D" w:rsidRDefault="00005DA3" w:rsidP="0056354D">
      <w:pPr>
        <w:pStyle w:val="Odstavecseseznamem"/>
        <w:keepNext/>
        <w:numPr>
          <w:ilvl w:val="0"/>
          <w:numId w:val="5"/>
        </w:numPr>
        <w:spacing w:before="240"/>
        <w:jc w:val="both"/>
        <w:rPr>
          <w:rFonts w:ascii="Times New Roman" w:hAnsi="Times New Roman"/>
          <w:b/>
        </w:rPr>
      </w:pPr>
      <w:r w:rsidRPr="0056354D">
        <w:rPr>
          <w:rFonts w:ascii="Times New Roman" w:hAnsi="Times New Roman"/>
          <w:b/>
        </w:rPr>
        <w:lastRenderedPageBreak/>
        <w:t>Zhodnocení dopadů navrhovaného řešení ve vztahu k ochraně soukromí a osobních údajů</w:t>
      </w:r>
    </w:p>
    <w:p w14:paraId="29FA2BD5" w14:textId="3C8074CC" w:rsidR="00005DA3" w:rsidRPr="00005DA3" w:rsidRDefault="00323542" w:rsidP="005F623E">
      <w:pPr>
        <w:keepNext/>
        <w:spacing w:before="240"/>
        <w:ind w:firstLine="708"/>
        <w:jc w:val="both"/>
        <w:rPr>
          <w:rFonts w:ascii="Times New Roman" w:hAnsi="Times New Roman"/>
        </w:rPr>
      </w:pPr>
      <w:r w:rsidRPr="00905D26">
        <w:rPr>
          <w:rFonts w:ascii="Times New Roman" w:hAnsi="Times New Roman" w:cs="Times New Roman"/>
        </w:rPr>
        <w:t>Návrh vyhlášky respektuje principy právní úpravy ochrany soukromí osob a jejich osobních údajů tak, jak jsou zakotveny zejména zákonem č. 110/2019 Sb., o zpracování osobních údajů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005DA3" w:rsidRPr="00005DA3">
        <w:rPr>
          <w:rFonts w:ascii="Times New Roman" w:hAnsi="Times New Roman"/>
        </w:rPr>
        <w:t xml:space="preserve"> Návrh tak nepřináší negativní dopady ve vztahu k ochraně soukromí ani k ochraně osobních údajů.</w:t>
      </w:r>
      <w:r w:rsidR="00794DCC">
        <w:rPr>
          <w:rFonts w:ascii="Times New Roman" w:hAnsi="Times New Roman"/>
        </w:rPr>
        <w:t xml:space="preserve"> Právní titul pro předávání údajů zůstává stávající.</w:t>
      </w:r>
    </w:p>
    <w:p w14:paraId="29FA2BD6" w14:textId="77777777" w:rsidR="00005DA3" w:rsidRPr="0056354D" w:rsidRDefault="00005DA3" w:rsidP="0056354D">
      <w:pPr>
        <w:pStyle w:val="Odstavecseseznamem"/>
        <w:keepNext/>
        <w:numPr>
          <w:ilvl w:val="0"/>
          <w:numId w:val="5"/>
        </w:numPr>
        <w:spacing w:before="240"/>
        <w:jc w:val="both"/>
        <w:rPr>
          <w:rFonts w:ascii="Times New Roman" w:hAnsi="Times New Roman"/>
          <w:b/>
        </w:rPr>
      </w:pPr>
      <w:r w:rsidRPr="0056354D">
        <w:rPr>
          <w:rFonts w:ascii="Times New Roman" w:hAnsi="Times New Roman"/>
          <w:b/>
        </w:rPr>
        <w:t>Zhodnocení současného stavu a dopadů navrhovaného řešení ve vztahu k zákazu diskriminace a ve vztahu k rovnosti mužů a žen</w:t>
      </w:r>
    </w:p>
    <w:p w14:paraId="47ED5356" w14:textId="5EB1E7F7" w:rsidR="00A3050E" w:rsidRPr="00FE4F9F" w:rsidRDefault="00005DA3" w:rsidP="00FE4F9F">
      <w:pPr>
        <w:keepNext/>
        <w:spacing w:before="240"/>
        <w:ind w:firstLine="708"/>
        <w:jc w:val="both"/>
        <w:rPr>
          <w:rFonts w:ascii="Times New Roman" w:hAnsi="Times New Roman"/>
        </w:rPr>
      </w:pPr>
      <w:r w:rsidRPr="00005DA3">
        <w:rPr>
          <w:rFonts w:ascii="Times New Roman" w:hAnsi="Times New Roman"/>
        </w:rPr>
        <w:t>Jde o návrh, který se výhradně dotýká podnikatelských</w:t>
      </w:r>
      <w:r w:rsidR="005F623E">
        <w:rPr>
          <w:rFonts w:ascii="Times New Roman" w:hAnsi="Times New Roman"/>
        </w:rPr>
        <w:t>,</w:t>
      </w:r>
      <w:r w:rsidRPr="00005DA3">
        <w:rPr>
          <w:rFonts w:ascii="Times New Roman" w:hAnsi="Times New Roman"/>
        </w:rPr>
        <w:t xml:space="preserve"> resp. smluvních vztahů mezi účastníky trhu s elektřinou ve</w:t>
      </w:r>
      <w:r>
        <w:rPr>
          <w:rFonts w:ascii="Times New Roman" w:hAnsi="Times New Roman"/>
        </w:rPr>
        <w:t xml:space="preserve"> smyslu energetického zákona a </w:t>
      </w:r>
      <w:r w:rsidRPr="00005DA3">
        <w:rPr>
          <w:rFonts w:ascii="Times New Roman" w:hAnsi="Times New Roman"/>
        </w:rPr>
        <w:t>nelze předpokládat, že by důsledkem přijetí předkládaného materiálu mohla být přímá či nepřímá diskriminace nebo narušení rovnosti mužů a žen. Návrh vyhlášky nemá vliv na postavení specifických skupin obyvatel včetně sociálně slabých, osob se zdravotním postižením a národnostních menšin.</w:t>
      </w:r>
    </w:p>
    <w:p w14:paraId="29FA2BD8" w14:textId="57648FCB" w:rsidR="00501964" w:rsidRPr="0056354D" w:rsidRDefault="00501964" w:rsidP="0056354D">
      <w:pPr>
        <w:pStyle w:val="Odstavecseseznamem"/>
        <w:keepNext/>
        <w:numPr>
          <w:ilvl w:val="0"/>
          <w:numId w:val="5"/>
        </w:numPr>
        <w:spacing w:before="240"/>
        <w:jc w:val="both"/>
        <w:rPr>
          <w:rFonts w:ascii="Times New Roman" w:hAnsi="Times New Roman"/>
          <w:b/>
        </w:rPr>
      </w:pPr>
      <w:r w:rsidRPr="0056354D">
        <w:rPr>
          <w:rFonts w:ascii="Times New Roman" w:hAnsi="Times New Roman"/>
          <w:b/>
        </w:rPr>
        <w:t>Zhodnocení korupčních rizik</w:t>
      </w:r>
    </w:p>
    <w:p w14:paraId="29FA2BD9" w14:textId="42A5A4C5" w:rsidR="00005DA3" w:rsidRDefault="00557936" w:rsidP="00C40734">
      <w:pPr>
        <w:widowControl w:val="0"/>
        <w:autoSpaceDE w:val="0"/>
        <w:autoSpaceDN w:val="0"/>
        <w:adjustRightInd w:val="0"/>
        <w:spacing w:after="120" w:line="312" w:lineRule="auto"/>
        <w:ind w:firstLine="708"/>
        <w:jc w:val="both"/>
        <w:rPr>
          <w:rFonts w:ascii="Times New Roman" w:hAnsi="Times New Roman" w:cs="Times New Roman"/>
        </w:rPr>
      </w:pPr>
      <w:r>
        <w:rPr>
          <w:rFonts w:ascii="Times New Roman" w:hAnsi="Times New Roman" w:cs="Times New Roman"/>
        </w:rPr>
        <w:t>Z</w:t>
      </w:r>
      <w:r w:rsidR="004F55F2" w:rsidRPr="001607E8">
        <w:rPr>
          <w:rFonts w:ascii="Times New Roman" w:hAnsi="Times New Roman" w:cs="Times New Roman"/>
        </w:rPr>
        <w:t xml:space="preserve">hodnocení korupčních rizik </w:t>
      </w:r>
      <w:r>
        <w:rPr>
          <w:rFonts w:ascii="Times New Roman" w:hAnsi="Times New Roman" w:cs="Times New Roman"/>
        </w:rPr>
        <w:t>bylo provedeno v souladu s Legislativními pravidly</w:t>
      </w:r>
      <w:r w:rsidR="004F55F2" w:rsidRPr="001607E8">
        <w:rPr>
          <w:rFonts w:ascii="Times New Roman" w:hAnsi="Times New Roman" w:cs="Times New Roman"/>
        </w:rPr>
        <w:t xml:space="preserve"> vlády, a</w:t>
      </w:r>
      <w:r w:rsidR="004F55F2">
        <w:rPr>
          <w:rFonts w:ascii="Times New Roman" w:hAnsi="Times New Roman" w:cs="Times New Roman"/>
        </w:rPr>
        <w:t> </w:t>
      </w:r>
      <w:r w:rsidR="004F55F2" w:rsidRPr="001607E8">
        <w:rPr>
          <w:rFonts w:ascii="Times New Roman" w:hAnsi="Times New Roman" w:cs="Times New Roman"/>
        </w:rPr>
        <w:t>to podle Metodiky CIA (</w:t>
      </w:r>
      <w:proofErr w:type="spellStart"/>
      <w:r w:rsidR="004F55F2" w:rsidRPr="001607E8">
        <w:rPr>
          <w:rFonts w:ascii="Times New Roman" w:hAnsi="Times New Roman" w:cs="Times New Roman"/>
        </w:rPr>
        <w:t>Corruption</w:t>
      </w:r>
      <w:proofErr w:type="spellEnd"/>
      <w:r w:rsidR="004F55F2" w:rsidRPr="001607E8">
        <w:rPr>
          <w:rFonts w:ascii="Times New Roman" w:hAnsi="Times New Roman" w:cs="Times New Roman"/>
        </w:rPr>
        <w:t xml:space="preserve"> </w:t>
      </w:r>
      <w:proofErr w:type="spellStart"/>
      <w:r w:rsidR="004F55F2" w:rsidRPr="001607E8">
        <w:rPr>
          <w:rFonts w:ascii="Times New Roman" w:hAnsi="Times New Roman" w:cs="Times New Roman"/>
        </w:rPr>
        <w:t>Impact</w:t>
      </w:r>
      <w:proofErr w:type="spellEnd"/>
      <w:r w:rsidR="004F55F2" w:rsidRPr="001607E8">
        <w:rPr>
          <w:rFonts w:ascii="Times New Roman" w:hAnsi="Times New Roman" w:cs="Times New Roman"/>
        </w:rPr>
        <w:t xml:space="preserve"> </w:t>
      </w:r>
      <w:proofErr w:type="spellStart"/>
      <w:r w:rsidR="004F55F2" w:rsidRPr="001607E8">
        <w:rPr>
          <w:rFonts w:ascii="Times New Roman" w:hAnsi="Times New Roman" w:cs="Times New Roman"/>
        </w:rPr>
        <w:t>Assessment</w:t>
      </w:r>
      <w:proofErr w:type="spellEnd"/>
      <w:r w:rsidR="004F55F2" w:rsidRPr="001607E8">
        <w:rPr>
          <w:rFonts w:ascii="Times New Roman" w:hAnsi="Times New Roman" w:cs="Times New Roman"/>
        </w:rPr>
        <w:t>; Metodika hodnocení korupčních rizik</w:t>
      </w:r>
      <w:r w:rsidR="00087B0B">
        <w:rPr>
          <w:rFonts w:ascii="Times New Roman" w:hAnsi="Times New Roman" w:cs="Times New Roman"/>
        </w:rPr>
        <w:t xml:space="preserve"> je uvedena</w:t>
      </w:r>
      <w:r w:rsidR="004F55F2" w:rsidRPr="001607E8">
        <w:rPr>
          <w:rFonts w:ascii="Times New Roman" w:hAnsi="Times New Roman" w:cs="Times New Roman"/>
        </w:rPr>
        <w:t xml:space="preserve"> na webové stránce </w:t>
      </w:r>
      <w:hyperlink r:id="rId11" w:history="1">
        <w:r w:rsidRPr="00BE58C0">
          <w:rPr>
            <w:rStyle w:val="Hypertextovodkaz"/>
            <w:rFonts w:ascii="Times New Roman" w:hAnsi="Times New Roman" w:cs="Times New Roman"/>
          </w:rPr>
          <w:t>www.korupce.cz</w:t>
        </w:r>
      </w:hyperlink>
      <w:r w:rsidR="003C038D">
        <w:rPr>
          <w:rStyle w:val="Znakapoznpodarou"/>
          <w:rFonts w:ascii="Times New Roman" w:hAnsi="Times New Roman" w:cs="Times New Roman"/>
          <w:color w:val="0000FF" w:themeColor="hyperlink"/>
          <w:u w:val="single"/>
        </w:rPr>
        <w:footnoteReference w:id="2"/>
      </w:r>
      <w:r w:rsidR="00F055BB">
        <w:rPr>
          <w:rStyle w:val="Hypertextovodkaz"/>
          <w:rFonts w:ascii="Times New Roman" w:hAnsi="Times New Roman" w:cs="Times New Roman"/>
          <w:color w:val="auto"/>
          <w:u w:val="none"/>
        </w:rPr>
        <w:t>)</w:t>
      </w:r>
      <w:r w:rsidR="004F55F2" w:rsidRPr="001607E8">
        <w:rPr>
          <w:rFonts w:ascii="Times New Roman" w:hAnsi="Times New Roman" w:cs="Times New Roman"/>
        </w:rPr>
        <w:t>.</w:t>
      </w:r>
      <w:r>
        <w:rPr>
          <w:rFonts w:ascii="Times New Roman" w:hAnsi="Times New Roman" w:cs="Times New Roman"/>
        </w:rPr>
        <w:t xml:space="preserve"> Hodnotící kritéria jsou pouze demonstrativní a slouží jako pomůcka umožňující zhodnotit korupční rizika, která mohou vzniknout návrhem právní úpravy. Tato kritéria mohou být dále rozšířena v závislosti na potřebě a rozsahu provedených právních úprav.</w:t>
      </w:r>
    </w:p>
    <w:p w14:paraId="7C476F28" w14:textId="04491AED" w:rsidR="007B59A3" w:rsidRDefault="00087B0B" w:rsidP="004F55F2">
      <w:pPr>
        <w:widowControl w:val="0"/>
        <w:autoSpaceDE w:val="0"/>
        <w:autoSpaceDN w:val="0"/>
        <w:adjustRightInd w:val="0"/>
        <w:spacing w:after="120" w:line="312" w:lineRule="auto"/>
        <w:ind w:firstLine="708"/>
        <w:jc w:val="both"/>
        <w:rPr>
          <w:rFonts w:ascii="Times New Roman" w:hAnsi="Times New Roman"/>
        </w:rPr>
      </w:pPr>
      <w:r>
        <w:rPr>
          <w:rFonts w:ascii="Times New Roman" w:hAnsi="Times New Roman"/>
        </w:rPr>
        <w:t>Dovolujeme si</w:t>
      </w:r>
      <w:r w:rsidR="004F55F2" w:rsidRPr="004F55F2">
        <w:rPr>
          <w:rFonts w:ascii="Times New Roman" w:hAnsi="Times New Roman"/>
        </w:rPr>
        <w:t xml:space="preserve"> konstatovat, že smyslem navrhované právní úpravy</w:t>
      </w:r>
      <w:r w:rsidR="00557936">
        <w:rPr>
          <w:rFonts w:ascii="Times New Roman" w:hAnsi="Times New Roman"/>
        </w:rPr>
        <w:t xml:space="preserve"> není vytvářet prostře</w:t>
      </w:r>
      <w:r w:rsidR="007B59A3">
        <w:rPr>
          <w:rFonts w:ascii="Times New Roman" w:hAnsi="Times New Roman"/>
        </w:rPr>
        <w:t>dí, ve</w:t>
      </w:r>
      <w:r w:rsidR="00F055BB">
        <w:rPr>
          <w:rFonts w:ascii="Times New Roman" w:hAnsi="Times New Roman"/>
        </w:rPr>
        <w:t> </w:t>
      </w:r>
      <w:r w:rsidR="007B59A3">
        <w:rPr>
          <w:rFonts w:ascii="Times New Roman" w:hAnsi="Times New Roman"/>
        </w:rPr>
        <w:t>kterém budou vznikat korupční rizika, ale smyslem navrhované právní úpravy</w:t>
      </w:r>
      <w:r w:rsidR="004F55F2" w:rsidRPr="004F55F2">
        <w:rPr>
          <w:rFonts w:ascii="Times New Roman" w:hAnsi="Times New Roman"/>
        </w:rPr>
        <w:t xml:space="preserve"> je kromě jiného</w:t>
      </w:r>
      <w:r w:rsidR="007B59A3">
        <w:rPr>
          <w:rFonts w:ascii="Times New Roman" w:hAnsi="Times New Roman"/>
        </w:rPr>
        <w:t xml:space="preserve"> </w:t>
      </w:r>
      <w:r w:rsidR="00F055BB">
        <w:rPr>
          <w:rFonts w:ascii="Times New Roman" w:hAnsi="Times New Roman"/>
        </w:rPr>
        <w:t>vzniku případných korupčních rizik zabránit</w:t>
      </w:r>
      <w:r w:rsidR="007B59A3" w:rsidRPr="004F55F2">
        <w:rPr>
          <w:rFonts w:ascii="Times New Roman" w:hAnsi="Times New Roman"/>
        </w:rPr>
        <w:t xml:space="preserve"> </w:t>
      </w:r>
      <w:r w:rsidR="004F55F2" w:rsidRPr="004F55F2">
        <w:rPr>
          <w:rFonts w:ascii="Times New Roman" w:hAnsi="Times New Roman"/>
        </w:rPr>
        <w:t>tím, že budou upřesněny povinnosti a postupy, které stanoví energetický zákon</w:t>
      </w:r>
      <w:r w:rsidR="00BF238C">
        <w:rPr>
          <w:rFonts w:ascii="Times New Roman" w:hAnsi="Times New Roman"/>
        </w:rPr>
        <w:t>, případně jiná evropská právní úprava</w:t>
      </w:r>
      <w:r w:rsidR="004F55F2">
        <w:rPr>
          <w:rFonts w:ascii="Times New Roman" w:hAnsi="Times New Roman"/>
        </w:rPr>
        <w:t>, potažmo na základě zákonného zmocnění předkládaný návrh vyhlášky</w:t>
      </w:r>
      <w:r w:rsidR="004F55F2" w:rsidRPr="004F55F2">
        <w:rPr>
          <w:rFonts w:ascii="Times New Roman" w:hAnsi="Times New Roman"/>
        </w:rPr>
        <w:t xml:space="preserve">. </w:t>
      </w:r>
    </w:p>
    <w:p w14:paraId="335E7D6E" w14:textId="5FCFB96B" w:rsidR="00557936" w:rsidRDefault="007B59A3" w:rsidP="004F55F2">
      <w:pPr>
        <w:widowControl w:val="0"/>
        <w:autoSpaceDE w:val="0"/>
        <w:autoSpaceDN w:val="0"/>
        <w:adjustRightInd w:val="0"/>
        <w:spacing w:after="120" w:line="312" w:lineRule="auto"/>
        <w:ind w:firstLine="708"/>
        <w:jc w:val="both"/>
        <w:rPr>
          <w:rFonts w:ascii="Times New Roman" w:hAnsi="Times New Roman"/>
        </w:rPr>
      </w:pPr>
      <w:r>
        <w:rPr>
          <w:rFonts w:ascii="Times New Roman" w:hAnsi="Times New Roman"/>
        </w:rPr>
        <w:t>Na základě provedeného zhodnocení</w:t>
      </w:r>
      <w:r w:rsidR="004F55F2" w:rsidRPr="004F55F2">
        <w:rPr>
          <w:rFonts w:ascii="Times New Roman" w:hAnsi="Times New Roman"/>
        </w:rPr>
        <w:t xml:space="preserve"> v oblast</w:t>
      </w:r>
      <w:r>
        <w:rPr>
          <w:rFonts w:ascii="Times New Roman" w:hAnsi="Times New Roman"/>
        </w:rPr>
        <w:t>ech</w:t>
      </w:r>
      <w:r w:rsidR="004F55F2" w:rsidRPr="004F55F2">
        <w:rPr>
          <w:rFonts w:ascii="Times New Roman" w:hAnsi="Times New Roman"/>
        </w:rPr>
        <w:t xml:space="preserve"> upraven</w:t>
      </w:r>
      <w:r>
        <w:rPr>
          <w:rFonts w:ascii="Times New Roman" w:hAnsi="Times New Roman"/>
        </w:rPr>
        <w:t>ých</w:t>
      </w:r>
      <w:r w:rsidR="004F55F2" w:rsidRPr="004F55F2">
        <w:rPr>
          <w:rFonts w:ascii="Times New Roman" w:hAnsi="Times New Roman"/>
        </w:rPr>
        <w:t xml:space="preserve"> návrhem</w:t>
      </w:r>
      <w:r>
        <w:rPr>
          <w:rFonts w:ascii="Times New Roman" w:hAnsi="Times New Roman"/>
        </w:rPr>
        <w:t xml:space="preserve"> vyhlášky nebyl shledán</w:t>
      </w:r>
      <w:r w:rsidR="004F55F2" w:rsidRPr="004F55F2">
        <w:rPr>
          <w:rFonts w:ascii="Times New Roman" w:hAnsi="Times New Roman"/>
        </w:rPr>
        <w:t xml:space="preserve"> prostor ke korupčnímu jednání dotčených subjektů (provozovatel přenosové soustavy, provozovatelé distribučních soustav</w:t>
      </w:r>
      <w:r w:rsidR="004F55F2">
        <w:rPr>
          <w:rFonts w:ascii="Times New Roman" w:hAnsi="Times New Roman"/>
        </w:rPr>
        <w:t>, obchodníci, výrobci nebo operátor trhu</w:t>
      </w:r>
      <w:r w:rsidR="004F55F2" w:rsidRPr="004F55F2">
        <w:rPr>
          <w:rFonts w:ascii="Times New Roman" w:hAnsi="Times New Roman"/>
        </w:rPr>
        <w:t>), ani orgánu provádějícího kontrolu dodržování příslušných ustanovení energetického zákona (návrhem vyhlášky nedochází k zásahu do</w:t>
      </w:r>
      <w:r w:rsidR="00F055BB">
        <w:rPr>
          <w:rFonts w:ascii="Times New Roman" w:hAnsi="Times New Roman"/>
        </w:rPr>
        <w:t> </w:t>
      </w:r>
      <w:r w:rsidR="004F55F2" w:rsidRPr="004F55F2">
        <w:rPr>
          <w:rFonts w:ascii="Times New Roman" w:hAnsi="Times New Roman"/>
        </w:rPr>
        <w:t>kompetencí Energetického regulačního úřadu).</w:t>
      </w:r>
      <w:r w:rsidR="00557936" w:rsidRPr="00557936">
        <w:rPr>
          <w:rFonts w:ascii="Times New Roman" w:hAnsi="Times New Roman"/>
        </w:rPr>
        <w:t xml:space="preserve"> </w:t>
      </w:r>
    </w:p>
    <w:p w14:paraId="01D15989" w14:textId="77777777" w:rsidR="00A3050E" w:rsidRDefault="00A3050E">
      <w:pPr>
        <w:rPr>
          <w:rFonts w:ascii="Times New Roman" w:eastAsia="SimSun" w:hAnsi="Times New Roman" w:cs="Times New Roman"/>
          <w:kern w:val="3"/>
          <w:sz w:val="24"/>
          <w:szCs w:val="24"/>
          <w:lang w:eastAsia="zh-CN" w:bidi="hi-IN"/>
        </w:rPr>
      </w:pPr>
      <w:r>
        <w:rPr>
          <w:rFonts w:ascii="Times New Roman" w:hAnsi="Times New Roman" w:cs="Times New Roman"/>
        </w:rPr>
        <w:br w:type="page"/>
      </w:r>
    </w:p>
    <w:p w14:paraId="77ACB456" w14:textId="3FBAF18C" w:rsidR="00301E14" w:rsidRPr="001607E8" w:rsidRDefault="00301E14" w:rsidP="00191BCD">
      <w:pPr>
        <w:pStyle w:val="Standard"/>
        <w:rPr>
          <w:rFonts w:ascii="Times New Roman" w:hAnsi="Times New Roman" w:cs="Times New Roman"/>
        </w:rPr>
      </w:pPr>
      <w:r w:rsidRPr="001607E8">
        <w:rPr>
          <w:rFonts w:ascii="Times New Roman" w:hAnsi="Times New Roman" w:cs="Times New Roman"/>
        </w:rPr>
        <w:lastRenderedPageBreak/>
        <w:t>Tabulka</w:t>
      </w:r>
      <w:r w:rsidR="007B59A3">
        <w:rPr>
          <w:rFonts w:ascii="Times New Roman" w:hAnsi="Times New Roman" w:cs="Times New Roman"/>
        </w:rPr>
        <w:t xml:space="preserve"> č. 1</w:t>
      </w:r>
      <w:r w:rsidRPr="001607E8">
        <w:rPr>
          <w:rFonts w:ascii="Times New Roman" w:hAnsi="Times New Roman" w:cs="Times New Roman"/>
        </w:rPr>
        <w:t>: Zhodnocení korupčních rizik dle Metodiky CIA</w:t>
      </w:r>
    </w:p>
    <w:tbl>
      <w:tblPr>
        <w:tblpPr w:leftFromText="141" w:rightFromText="141" w:vertAnchor="text" w:horzAnchor="margin" w:tblpY="141"/>
        <w:tblW w:w="9062" w:type="dxa"/>
        <w:tblLayout w:type="fixed"/>
        <w:tblCellMar>
          <w:left w:w="10" w:type="dxa"/>
          <w:right w:w="10" w:type="dxa"/>
        </w:tblCellMar>
        <w:tblLook w:val="04A0" w:firstRow="1" w:lastRow="0" w:firstColumn="1" w:lastColumn="0" w:noHBand="0" w:noVBand="1"/>
      </w:tblPr>
      <w:tblGrid>
        <w:gridCol w:w="2542"/>
        <w:gridCol w:w="3402"/>
        <w:gridCol w:w="3118"/>
      </w:tblGrid>
      <w:tr w:rsidR="00191BCD" w:rsidRPr="001607E8" w14:paraId="7EEE372D" w14:textId="77777777" w:rsidTr="00191BCD">
        <w:tc>
          <w:tcPr>
            <w:tcW w:w="25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325AFFE2" w14:textId="77777777" w:rsidR="00191BCD" w:rsidRPr="007965EB" w:rsidRDefault="00191BCD" w:rsidP="007B59A3">
            <w:pPr>
              <w:pStyle w:val="Standard"/>
              <w:jc w:val="center"/>
              <w:rPr>
                <w:rFonts w:ascii="Times New Roman" w:hAnsi="Times New Roman" w:cs="Times New Roman"/>
                <w:b/>
                <w:sz w:val="20"/>
                <w:szCs w:val="20"/>
              </w:rPr>
            </w:pPr>
            <w:r w:rsidRPr="007965EB">
              <w:rPr>
                <w:rFonts w:ascii="Times New Roman" w:hAnsi="Times New Roman" w:cs="Times New Roman"/>
                <w:b/>
                <w:sz w:val="20"/>
                <w:szCs w:val="20"/>
              </w:rPr>
              <w:t>Kritérium</w:t>
            </w:r>
          </w:p>
        </w:tc>
        <w:tc>
          <w:tcPr>
            <w:tcW w:w="340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681759AA" w14:textId="77777777" w:rsidR="00191BCD" w:rsidRPr="007965EB" w:rsidRDefault="00191BCD" w:rsidP="007B59A3">
            <w:pPr>
              <w:pStyle w:val="Standard"/>
              <w:jc w:val="center"/>
              <w:rPr>
                <w:rFonts w:ascii="Times New Roman" w:hAnsi="Times New Roman" w:cs="Times New Roman"/>
                <w:b/>
                <w:sz w:val="20"/>
                <w:szCs w:val="20"/>
              </w:rPr>
            </w:pPr>
            <w:r w:rsidRPr="007965EB">
              <w:rPr>
                <w:rFonts w:ascii="Times New Roman" w:hAnsi="Times New Roman" w:cs="Times New Roman"/>
                <w:b/>
                <w:sz w:val="20"/>
                <w:szCs w:val="20"/>
              </w:rPr>
              <w:t>Zhodnocení naplnění kritéria definovaného v Metodice CIA</w:t>
            </w:r>
          </w:p>
          <w:p w14:paraId="62D7C36B" w14:textId="77777777" w:rsidR="00191BCD" w:rsidRPr="007965EB" w:rsidRDefault="00191BCD" w:rsidP="007B59A3">
            <w:pPr>
              <w:pStyle w:val="Standard"/>
              <w:jc w:val="center"/>
              <w:rPr>
                <w:rFonts w:ascii="Times New Roman" w:hAnsi="Times New Roman" w:cs="Times New Roman"/>
                <w:sz w:val="20"/>
                <w:szCs w:val="20"/>
              </w:rPr>
            </w:pPr>
            <w:r w:rsidRPr="007965EB">
              <w:rPr>
                <w:rFonts w:ascii="Times New Roman" w:hAnsi="Times New Roman" w:cs="Times New Roman"/>
                <w:b/>
                <w:sz w:val="20"/>
                <w:szCs w:val="20"/>
              </w:rPr>
              <w:t>ve vztahu k návrhu právního předpisu</w:t>
            </w:r>
          </w:p>
        </w:tc>
        <w:tc>
          <w:tcPr>
            <w:tcW w:w="3118"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0A70D8F5" w14:textId="49DD46AF" w:rsidR="00191BCD" w:rsidRPr="007965EB" w:rsidRDefault="00191BCD" w:rsidP="00DA7837">
            <w:pPr>
              <w:pStyle w:val="Standard"/>
              <w:jc w:val="center"/>
              <w:rPr>
                <w:rFonts w:ascii="Times New Roman" w:hAnsi="Times New Roman" w:cs="Times New Roman"/>
                <w:b/>
                <w:sz w:val="20"/>
                <w:szCs w:val="20"/>
              </w:rPr>
            </w:pPr>
            <w:r w:rsidRPr="007965EB">
              <w:rPr>
                <w:rFonts w:ascii="Times New Roman" w:hAnsi="Times New Roman" w:cs="Times New Roman"/>
                <w:b/>
                <w:sz w:val="20"/>
                <w:szCs w:val="20"/>
              </w:rPr>
              <w:t xml:space="preserve">Poznámka </w:t>
            </w:r>
            <w:r w:rsidR="00DA7837" w:rsidRPr="007965EB">
              <w:rPr>
                <w:rFonts w:ascii="Times New Roman" w:hAnsi="Times New Roman" w:cs="Times New Roman"/>
                <w:b/>
                <w:sz w:val="20"/>
                <w:szCs w:val="20"/>
              </w:rPr>
              <w:t xml:space="preserve">nebo </w:t>
            </w:r>
            <w:r w:rsidRPr="007965EB">
              <w:rPr>
                <w:rFonts w:ascii="Times New Roman" w:hAnsi="Times New Roman" w:cs="Times New Roman"/>
                <w:b/>
                <w:sz w:val="20"/>
                <w:szCs w:val="20"/>
              </w:rPr>
              <w:t>vysvětlení</w:t>
            </w:r>
          </w:p>
          <w:p w14:paraId="263FF6DD" w14:textId="77777777" w:rsidR="00191BCD" w:rsidRPr="007965EB" w:rsidRDefault="00191BCD" w:rsidP="00DA7837">
            <w:pPr>
              <w:pStyle w:val="Standard"/>
              <w:jc w:val="center"/>
              <w:rPr>
                <w:rFonts w:ascii="Times New Roman" w:hAnsi="Times New Roman" w:cs="Times New Roman"/>
                <w:sz w:val="20"/>
                <w:szCs w:val="20"/>
              </w:rPr>
            </w:pPr>
            <w:r w:rsidRPr="007965EB">
              <w:rPr>
                <w:rFonts w:ascii="Times New Roman" w:hAnsi="Times New Roman" w:cs="Times New Roman"/>
                <w:b/>
                <w:sz w:val="20"/>
                <w:szCs w:val="20"/>
              </w:rPr>
              <w:t>ke zhodnocení naplnění kritéria</w:t>
            </w:r>
          </w:p>
        </w:tc>
      </w:tr>
      <w:tr w:rsidR="00191BCD" w:rsidRPr="001607E8" w14:paraId="47539079" w14:textId="77777777" w:rsidTr="00191BCD">
        <w:tc>
          <w:tcPr>
            <w:tcW w:w="25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152A2313" w14:textId="5CD5EBBB" w:rsidR="007B59A3" w:rsidRPr="007965EB" w:rsidRDefault="00DA260D" w:rsidP="00DA260D">
            <w:pPr>
              <w:pStyle w:val="Standard"/>
              <w:rPr>
                <w:rFonts w:ascii="Times New Roman" w:hAnsi="Times New Roman" w:cs="Times New Roman"/>
                <w:b/>
                <w:sz w:val="16"/>
                <w:szCs w:val="16"/>
              </w:rPr>
            </w:pPr>
            <w:r w:rsidRPr="007965EB">
              <w:rPr>
                <w:rFonts w:ascii="Times New Roman" w:hAnsi="Times New Roman" w:cs="Times New Roman"/>
                <w:b/>
                <w:sz w:val="16"/>
                <w:szCs w:val="16"/>
              </w:rPr>
              <w:t>Povaha právní úpravy:</w:t>
            </w:r>
          </w:p>
          <w:p w14:paraId="1436A045" w14:textId="77777777" w:rsidR="007B59A3" w:rsidRPr="007965EB" w:rsidRDefault="007B59A3" w:rsidP="007B59A3">
            <w:pPr>
              <w:pStyle w:val="Standard"/>
              <w:jc w:val="center"/>
              <w:rPr>
                <w:rFonts w:ascii="Times New Roman" w:hAnsi="Times New Roman" w:cs="Times New Roman"/>
                <w:b/>
                <w:sz w:val="20"/>
                <w:szCs w:val="20"/>
              </w:rPr>
            </w:pPr>
          </w:p>
          <w:p w14:paraId="5A4CDCD7" w14:textId="77777777" w:rsidR="00DA260D" w:rsidRPr="007965EB" w:rsidRDefault="00DA260D" w:rsidP="007B59A3">
            <w:pPr>
              <w:pStyle w:val="Standard"/>
              <w:jc w:val="center"/>
              <w:rPr>
                <w:rFonts w:ascii="Times New Roman" w:hAnsi="Times New Roman" w:cs="Times New Roman"/>
                <w:b/>
                <w:sz w:val="20"/>
                <w:szCs w:val="20"/>
              </w:rPr>
            </w:pPr>
          </w:p>
          <w:p w14:paraId="75A6E9E4" w14:textId="77777777" w:rsidR="00DA260D" w:rsidRPr="007965EB" w:rsidRDefault="00DA260D" w:rsidP="007B59A3">
            <w:pPr>
              <w:pStyle w:val="Standard"/>
              <w:jc w:val="center"/>
              <w:rPr>
                <w:rFonts w:ascii="Times New Roman" w:hAnsi="Times New Roman" w:cs="Times New Roman"/>
                <w:b/>
                <w:sz w:val="20"/>
                <w:szCs w:val="20"/>
              </w:rPr>
            </w:pPr>
          </w:p>
          <w:p w14:paraId="13C7B0B6" w14:textId="63A45061" w:rsidR="00191BCD" w:rsidRPr="007965EB" w:rsidRDefault="00DA260D" w:rsidP="00CC22DF">
            <w:pPr>
              <w:pStyle w:val="Standard"/>
              <w:rPr>
                <w:rFonts w:ascii="Times New Roman" w:hAnsi="Times New Roman" w:cs="Times New Roman"/>
              </w:rPr>
            </w:pPr>
            <w:r w:rsidRPr="007965EB">
              <w:rPr>
                <w:rFonts w:ascii="Times New Roman" w:hAnsi="Times New Roman" w:cs="Times New Roman"/>
                <w:b/>
              </w:rPr>
              <w:t>P</w:t>
            </w:r>
            <w:r w:rsidR="00191BCD" w:rsidRPr="007965EB">
              <w:rPr>
                <w:rFonts w:ascii="Times New Roman" w:hAnsi="Times New Roman" w:cs="Times New Roman"/>
                <w:b/>
              </w:rPr>
              <w:t>řiměřenost</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ED2F73A" w14:textId="7A686697" w:rsidR="00191BCD" w:rsidRPr="007965EB" w:rsidRDefault="007B59A3" w:rsidP="00DA7837">
            <w:pPr>
              <w:pStyle w:val="Standard"/>
              <w:jc w:val="both"/>
              <w:rPr>
                <w:rFonts w:ascii="Times New Roman" w:hAnsi="Times New Roman" w:cs="Times New Roman"/>
                <w:sz w:val="20"/>
                <w:szCs w:val="20"/>
              </w:rPr>
            </w:pPr>
            <w:r w:rsidRPr="007965EB">
              <w:rPr>
                <w:rFonts w:ascii="Times New Roman" w:hAnsi="Times New Roman" w:cs="Times New Roman"/>
                <w:sz w:val="20"/>
                <w:szCs w:val="20"/>
              </w:rPr>
              <w:t>- N</w:t>
            </w:r>
            <w:r w:rsidR="00191BCD" w:rsidRPr="007965EB">
              <w:rPr>
                <w:rFonts w:ascii="Times New Roman" w:hAnsi="Times New Roman" w:cs="Times New Roman"/>
                <w:sz w:val="20"/>
                <w:szCs w:val="20"/>
              </w:rPr>
              <w:t>ávrh vyhlášky</w:t>
            </w:r>
            <w:r w:rsidRPr="007965EB">
              <w:rPr>
                <w:rFonts w:ascii="Times New Roman" w:hAnsi="Times New Roman" w:cs="Times New Roman"/>
                <w:sz w:val="20"/>
                <w:szCs w:val="20"/>
              </w:rPr>
              <w:t xml:space="preserve"> nepředstavuje</w:t>
            </w:r>
            <w:r w:rsidR="00191BCD" w:rsidRPr="007965EB">
              <w:rPr>
                <w:rFonts w:ascii="Times New Roman" w:hAnsi="Times New Roman" w:cs="Times New Roman"/>
                <w:sz w:val="20"/>
                <w:szCs w:val="20"/>
              </w:rPr>
              <w:t xml:space="preserve"> </w:t>
            </w:r>
            <w:r w:rsidRPr="007965EB">
              <w:rPr>
                <w:rFonts w:ascii="Times New Roman" w:hAnsi="Times New Roman" w:cs="Times New Roman"/>
                <w:sz w:val="20"/>
                <w:szCs w:val="20"/>
              </w:rPr>
              <w:t xml:space="preserve">excesivní přesah kompetencí správního úřadu, resp. </w:t>
            </w:r>
            <w:r w:rsidR="00191BCD" w:rsidRPr="007965EB">
              <w:rPr>
                <w:rFonts w:ascii="Times New Roman" w:hAnsi="Times New Roman" w:cs="Times New Roman"/>
                <w:sz w:val="20"/>
                <w:szCs w:val="20"/>
              </w:rPr>
              <w:t>nerozšiřuje kompetence orgánů veřejné správy</w:t>
            </w:r>
            <w:r w:rsidRPr="007965EB">
              <w:rPr>
                <w:rFonts w:ascii="Times New Roman" w:hAnsi="Times New Roman" w:cs="Times New Roman"/>
                <w:sz w:val="20"/>
                <w:szCs w:val="20"/>
              </w:rPr>
              <w:t>.</w:t>
            </w:r>
          </w:p>
          <w:p w14:paraId="412C63A8" w14:textId="77777777" w:rsidR="00191BCD" w:rsidRPr="007965EB" w:rsidRDefault="007B59A3" w:rsidP="00DA7837">
            <w:pPr>
              <w:pStyle w:val="Standard"/>
              <w:jc w:val="both"/>
              <w:rPr>
                <w:rFonts w:ascii="Times New Roman" w:hAnsi="Times New Roman" w:cs="Times New Roman"/>
                <w:sz w:val="20"/>
                <w:szCs w:val="20"/>
              </w:rPr>
            </w:pPr>
            <w:r w:rsidRPr="007965EB">
              <w:rPr>
                <w:rFonts w:ascii="Times New Roman" w:hAnsi="Times New Roman" w:cs="Times New Roman"/>
                <w:sz w:val="20"/>
                <w:szCs w:val="20"/>
              </w:rPr>
              <w:t>- Předpis je přiměřený a nepředstavuje nadměrnou zátěž pro adresáty právního předpisu.</w:t>
            </w:r>
          </w:p>
          <w:p w14:paraId="2E63665B" w14:textId="0F8DB162" w:rsidR="007B59A3" w:rsidRPr="007965EB" w:rsidRDefault="007B59A3" w:rsidP="00DA7837">
            <w:pPr>
              <w:pStyle w:val="Standard"/>
              <w:jc w:val="both"/>
              <w:rPr>
                <w:rFonts w:ascii="Times New Roman" w:hAnsi="Times New Roman" w:cs="Times New Roman"/>
                <w:sz w:val="20"/>
                <w:szCs w:val="20"/>
              </w:rPr>
            </w:pPr>
            <w:r w:rsidRPr="007965EB">
              <w:rPr>
                <w:rFonts w:ascii="Times New Roman" w:hAnsi="Times New Roman" w:cs="Times New Roman"/>
                <w:sz w:val="20"/>
                <w:szCs w:val="20"/>
              </w:rPr>
              <w:t>-</w:t>
            </w:r>
            <w:r w:rsidR="00CC22DF">
              <w:rPr>
                <w:rFonts w:ascii="Times New Roman" w:hAnsi="Times New Roman" w:cs="Times New Roman"/>
                <w:sz w:val="20"/>
                <w:szCs w:val="20"/>
              </w:rPr>
              <w:t xml:space="preserve"> </w:t>
            </w:r>
            <w:r w:rsidRPr="007965EB">
              <w:rPr>
                <w:rFonts w:ascii="Times New Roman" w:hAnsi="Times New Roman" w:cs="Times New Roman"/>
                <w:sz w:val="20"/>
                <w:szCs w:val="20"/>
              </w:rPr>
              <w:t>Předpis nevyžaduje vynaložení nepřiměřených nákladů na přizpůsobení.</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65A7552" w14:textId="77777777" w:rsidR="00191BCD" w:rsidRPr="007965EB" w:rsidRDefault="00191BCD" w:rsidP="00191BCD">
            <w:pPr>
              <w:pStyle w:val="Standard"/>
              <w:rPr>
                <w:rFonts w:ascii="Times New Roman" w:hAnsi="Times New Roman" w:cs="Times New Roman"/>
                <w:sz w:val="20"/>
                <w:szCs w:val="20"/>
              </w:rPr>
            </w:pPr>
          </w:p>
        </w:tc>
      </w:tr>
      <w:tr w:rsidR="00191BCD" w:rsidRPr="001607E8" w14:paraId="08782EE2" w14:textId="77777777" w:rsidTr="00191BCD">
        <w:tc>
          <w:tcPr>
            <w:tcW w:w="25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51C93519" w14:textId="4B6CADFD" w:rsidR="00DA260D" w:rsidRPr="007965EB" w:rsidRDefault="00DA260D" w:rsidP="00DA260D">
            <w:pPr>
              <w:pStyle w:val="Standard"/>
              <w:rPr>
                <w:rFonts w:ascii="Times New Roman" w:hAnsi="Times New Roman" w:cs="Times New Roman"/>
                <w:b/>
                <w:sz w:val="16"/>
                <w:szCs w:val="16"/>
              </w:rPr>
            </w:pPr>
          </w:p>
          <w:p w14:paraId="707E8DFC" w14:textId="77777777" w:rsidR="007B59A3" w:rsidRPr="007965EB" w:rsidRDefault="007B59A3" w:rsidP="007B59A3">
            <w:pPr>
              <w:pStyle w:val="Standard"/>
              <w:jc w:val="center"/>
              <w:rPr>
                <w:rFonts w:ascii="Times New Roman" w:hAnsi="Times New Roman" w:cs="Times New Roman"/>
                <w:b/>
                <w:sz w:val="20"/>
                <w:szCs w:val="20"/>
              </w:rPr>
            </w:pPr>
          </w:p>
          <w:p w14:paraId="45275519" w14:textId="77777777" w:rsidR="00DA260D" w:rsidRPr="007965EB" w:rsidRDefault="00DA260D" w:rsidP="007965EB">
            <w:pPr>
              <w:pStyle w:val="Standard"/>
              <w:rPr>
                <w:rFonts w:ascii="Times New Roman" w:hAnsi="Times New Roman" w:cs="Times New Roman"/>
                <w:b/>
                <w:sz w:val="20"/>
                <w:szCs w:val="20"/>
              </w:rPr>
            </w:pPr>
          </w:p>
          <w:p w14:paraId="292A903C" w14:textId="77777777" w:rsidR="00DA260D" w:rsidRPr="007965EB" w:rsidRDefault="00DA260D" w:rsidP="007B59A3">
            <w:pPr>
              <w:pStyle w:val="Standard"/>
              <w:jc w:val="center"/>
              <w:rPr>
                <w:rFonts w:ascii="Times New Roman" w:hAnsi="Times New Roman" w:cs="Times New Roman"/>
                <w:b/>
                <w:sz w:val="20"/>
                <w:szCs w:val="20"/>
              </w:rPr>
            </w:pPr>
          </w:p>
          <w:p w14:paraId="6BDA48F2" w14:textId="10F8859D" w:rsidR="00191BCD" w:rsidRPr="007965EB" w:rsidRDefault="00DA260D" w:rsidP="00CC22DF">
            <w:pPr>
              <w:pStyle w:val="Standard"/>
              <w:rPr>
                <w:rFonts w:ascii="Times New Roman" w:hAnsi="Times New Roman" w:cs="Times New Roman"/>
              </w:rPr>
            </w:pPr>
            <w:r w:rsidRPr="007965EB">
              <w:rPr>
                <w:rFonts w:ascii="Times New Roman" w:hAnsi="Times New Roman" w:cs="Times New Roman"/>
                <w:b/>
              </w:rPr>
              <w:t>J</w:t>
            </w:r>
            <w:r w:rsidR="007B59A3" w:rsidRPr="007965EB">
              <w:rPr>
                <w:rFonts w:ascii="Times New Roman" w:hAnsi="Times New Roman" w:cs="Times New Roman"/>
                <w:b/>
              </w:rPr>
              <w:t>ednoznačnost</w:t>
            </w:r>
            <w:r w:rsidRPr="007965EB">
              <w:rPr>
                <w:rFonts w:ascii="Times New Roman" w:hAnsi="Times New Roman" w:cs="Times New Roman"/>
                <w:b/>
              </w:rPr>
              <w:t xml:space="preserve"> a efektivita</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5A15C3C" w14:textId="263207AF" w:rsidR="00191BCD" w:rsidRPr="007965EB" w:rsidRDefault="00DA7837" w:rsidP="00DA7837">
            <w:pPr>
              <w:pStyle w:val="Standard"/>
              <w:jc w:val="both"/>
              <w:rPr>
                <w:rFonts w:ascii="Times New Roman" w:hAnsi="Times New Roman" w:cs="Times New Roman"/>
                <w:sz w:val="20"/>
                <w:szCs w:val="20"/>
              </w:rPr>
            </w:pPr>
            <w:r w:rsidRPr="007965EB">
              <w:rPr>
                <w:rFonts w:ascii="Times New Roman" w:hAnsi="Times New Roman" w:cs="Times New Roman"/>
                <w:sz w:val="20"/>
                <w:szCs w:val="20"/>
              </w:rPr>
              <w:t>- Úpravy provedené v předkládaném právním předpise cílí na zajištění jednoznačnosti stanovených postupů a k tomu, aby byla zachována právní jistota a kontrola v aplikační praxi.</w:t>
            </w:r>
          </w:p>
          <w:p w14:paraId="302D67B2" w14:textId="13B7BA21" w:rsidR="00DA7837" w:rsidRPr="007965EB" w:rsidRDefault="00DA7837" w:rsidP="00DA7837">
            <w:pPr>
              <w:pStyle w:val="Standard"/>
              <w:jc w:val="both"/>
              <w:rPr>
                <w:rFonts w:ascii="Times New Roman" w:hAnsi="Times New Roman" w:cs="Times New Roman"/>
                <w:sz w:val="20"/>
                <w:szCs w:val="20"/>
              </w:rPr>
            </w:pPr>
            <w:r w:rsidRPr="007965EB">
              <w:rPr>
                <w:rFonts w:ascii="Times New Roman" w:hAnsi="Times New Roman" w:cs="Times New Roman"/>
                <w:sz w:val="20"/>
                <w:szCs w:val="20"/>
              </w:rPr>
              <w:t>- Práva a povinnosti účastníků trhu jsou zřetelně vymezeny, jakož i stanovené postupy.</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EFF433" w14:textId="49DAA330" w:rsidR="00191BCD" w:rsidRPr="007965EB" w:rsidRDefault="00DA7837" w:rsidP="00DA7837">
            <w:pPr>
              <w:pStyle w:val="Standard"/>
              <w:jc w:val="both"/>
              <w:rPr>
                <w:rFonts w:ascii="Times New Roman" w:hAnsi="Times New Roman" w:cs="Times New Roman"/>
                <w:sz w:val="20"/>
                <w:szCs w:val="20"/>
              </w:rPr>
            </w:pPr>
            <w:r w:rsidRPr="007965EB">
              <w:rPr>
                <w:rFonts w:ascii="Times New Roman" w:hAnsi="Times New Roman" w:cs="Times New Roman"/>
                <w:sz w:val="20"/>
                <w:szCs w:val="20"/>
              </w:rPr>
              <w:t>Na navrhované úpravy je nutné nahlížet tak, že jsou vždy nastaveny v závislosti na vývoji trhu v daném okamžiku, a proto je nutné stanovit postupy tak</w:t>
            </w:r>
            <w:r w:rsidR="00CC22DF">
              <w:rPr>
                <w:rFonts w:ascii="Times New Roman" w:hAnsi="Times New Roman" w:cs="Times New Roman"/>
                <w:sz w:val="20"/>
                <w:szCs w:val="20"/>
              </w:rPr>
              <w:t>,</w:t>
            </w:r>
            <w:r w:rsidRPr="007965EB">
              <w:rPr>
                <w:rFonts w:ascii="Times New Roman" w:hAnsi="Times New Roman" w:cs="Times New Roman"/>
                <w:sz w:val="20"/>
                <w:szCs w:val="20"/>
              </w:rPr>
              <w:t xml:space="preserve"> ab</w:t>
            </w:r>
            <w:r w:rsidR="007965EB">
              <w:rPr>
                <w:rFonts w:ascii="Times New Roman" w:hAnsi="Times New Roman" w:cs="Times New Roman"/>
                <w:sz w:val="20"/>
                <w:szCs w:val="20"/>
              </w:rPr>
              <w:t>y</w:t>
            </w:r>
            <w:r w:rsidRPr="007965EB">
              <w:rPr>
                <w:rFonts w:ascii="Times New Roman" w:hAnsi="Times New Roman" w:cs="Times New Roman"/>
                <w:sz w:val="20"/>
                <w:szCs w:val="20"/>
              </w:rPr>
              <w:t xml:space="preserve"> byly obecně použitelné pro co nejširší skupinu účastníků trhu. Nutno připustit, že ne vždy musí zachytit veškeré</w:t>
            </w:r>
            <w:r w:rsidR="007965EB">
              <w:rPr>
                <w:rFonts w:ascii="Times New Roman" w:hAnsi="Times New Roman" w:cs="Times New Roman"/>
                <w:sz w:val="20"/>
                <w:szCs w:val="20"/>
              </w:rPr>
              <w:t>, často velmi specifické,</w:t>
            </w:r>
            <w:r w:rsidRPr="007965EB">
              <w:rPr>
                <w:rFonts w:ascii="Times New Roman" w:hAnsi="Times New Roman" w:cs="Times New Roman"/>
                <w:sz w:val="20"/>
                <w:szCs w:val="20"/>
              </w:rPr>
              <w:t xml:space="preserve"> situace, které mohou vzniknout v závislosti na dynamice vývoje daného prostředí. </w:t>
            </w:r>
            <w:r w:rsidR="00191BCD" w:rsidRPr="007965EB">
              <w:rPr>
                <w:rFonts w:ascii="Times New Roman" w:hAnsi="Times New Roman" w:cs="Times New Roman"/>
                <w:sz w:val="20"/>
                <w:szCs w:val="20"/>
              </w:rPr>
              <w:t xml:space="preserve"> </w:t>
            </w:r>
          </w:p>
        </w:tc>
      </w:tr>
      <w:tr w:rsidR="00191BCD" w:rsidRPr="001607E8" w14:paraId="7DE8AE0F" w14:textId="77777777" w:rsidTr="00191BCD">
        <w:tc>
          <w:tcPr>
            <w:tcW w:w="25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023100F8" w14:textId="5D6B6D19" w:rsidR="00DA260D" w:rsidRDefault="00DA260D" w:rsidP="007965EB">
            <w:pPr>
              <w:pStyle w:val="Standard"/>
              <w:rPr>
                <w:rFonts w:ascii="Times New Roman" w:hAnsi="Times New Roman" w:cs="Times New Roman"/>
                <w:b/>
                <w:sz w:val="20"/>
                <w:szCs w:val="20"/>
              </w:rPr>
            </w:pPr>
          </w:p>
          <w:p w14:paraId="7D4538E3" w14:textId="77777777" w:rsidR="007965EB" w:rsidRPr="007965EB" w:rsidRDefault="007965EB" w:rsidP="007965EB">
            <w:pPr>
              <w:pStyle w:val="Standard"/>
              <w:rPr>
                <w:rFonts w:ascii="Times New Roman" w:hAnsi="Times New Roman" w:cs="Times New Roman"/>
                <w:b/>
                <w:sz w:val="20"/>
                <w:szCs w:val="20"/>
              </w:rPr>
            </w:pPr>
          </w:p>
          <w:p w14:paraId="488F9B53" w14:textId="77777777" w:rsidR="00DA260D" w:rsidRPr="007965EB" w:rsidRDefault="00DA260D" w:rsidP="007B59A3">
            <w:pPr>
              <w:pStyle w:val="Standard"/>
              <w:jc w:val="center"/>
              <w:rPr>
                <w:rFonts w:ascii="Times New Roman" w:hAnsi="Times New Roman" w:cs="Times New Roman"/>
                <w:b/>
                <w:sz w:val="20"/>
                <w:szCs w:val="20"/>
              </w:rPr>
            </w:pPr>
          </w:p>
          <w:p w14:paraId="05AB4C3A" w14:textId="2CFEDDCC" w:rsidR="00191BCD" w:rsidRPr="007965EB" w:rsidRDefault="00DA260D" w:rsidP="00CC22DF">
            <w:pPr>
              <w:pStyle w:val="Standard"/>
              <w:rPr>
                <w:rFonts w:ascii="Times New Roman" w:hAnsi="Times New Roman" w:cs="Times New Roman"/>
              </w:rPr>
            </w:pPr>
            <w:r w:rsidRPr="007965EB">
              <w:rPr>
                <w:rFonts w:ascii="Times New Roman" w:hAnsi="Times New Roman" w:cs="Times New Roman"/>
                <w:b/>
              </w:rPr>
              <w:t>Odpovědnos</w:t>
            </w:r>
            <w:r w:rsidR="00191BCD" w:rsidRPr="007965EB">
              <w:rPr>
                <w:rFonts w:ascii="Times New Roman" w:hAnsi="Times New Roman" w:cs="Times New Roman"/>
                <w:b/>
              </w:rPr>
              <w:t>t</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A48CFC9" w14:textId="77777777" w:rsidR="00191BCD" w:rsidRPr="007965EB" w:rsidRDefault="00DA260D" w:rsidP="00DA260D">
            <w:pPr>
              <w:pStyle w:val="Standard"/>
              <w:jc w:val="both"/>
              <w:rPr>
                <w:rFonts w:ascii="Times New Roman" w:hAnsi="Times New Roman" w:cs="Times New Roman"/>
                <w:sz w:val="20"/>
                <w:szCs w:val="20"/>
              </w:rPr>
            </w:pPr>
            <w:r w:rsidRPr="007965EB">
              <w:rPr>
                <w:rFonts w:ascii="Times New Roman" w:hAnsi="Times New Roman" w:cs="Times New Roman"/>
                <w:sz w:val="20"/>
                <w:szCs w:val="20"/>
              </w:rPr>
              <w:t xml:space="preserve">- Navrhované úpravy nezakládají na nových odpovědnostech pro účastníky trhu. Tyto zůstávají zachovány. </w:t>
            </w:r>
          </w:p>
          <w:p w14:paraId="1798026C" w14:textId="2EFC9633" w:rsidR="00DA260D" w:rsidRPr="007965EB" w:rsidRDefault="00DA260D" w:rsidP="00DA260D">
            <w:pPr>
              <w:pStyle w:val="Standard"/>
              <w:jc w:val="both"/>
              <w:rPr>
                <w:rFonts w:ascii="Times New Roman" w:hAnsi="Times New Roman" w:cs="Times New Roman"/>
                <w:sz w:val="20"/>
                <w:szCs w:val="20"/>
              </w:rPr>
            </w:pPr>
            <w:r w:rsidRPr="007965EB">
              <w:rPr>
                <w:rFonts w:ascii="Times New Roman" w:hAnsi="Times New Roman" w:cs="Times New Roman"/>
                <w:sz w:val="20"/>
                <w:szCs w:val="20"/>
              </w:rPr>
              <w:t>- Navrhované úpravy pouze upravují již zavedené odpovědnosti v souladu s platnou právní úpravou, aby bylo možné tyto odpovědnosti kontrolovat</w:t>
            </w:r>
            <w:r w:rsidR="00247301">
              <w:rPr>
                <w:rFonts w:ascii="Times New Roman" w:hAnsi="Times New Roman" w:cs="Times New Roman"/>
                <w:sz w:val="20"/>
                <w:szCs w:val="20"/>
              </w:rPr>
              <w:t xml:space="preserve">, </w:t>
            </w:r>
            <w:r w:rsidRPr="007965EB">
              <w:rPr>
                <w:rFonts w:ascii="Times New Roman" w:hAnsi="Times New Roman" w:cs="Times New Roman"/>
                <w:sz w:val="20"/>
                <w:szCs w:val="20"/>
              </w:rPr>
              <w:t>rozhodovat</w:t>
            </w:r>
            <w:r w:rsidR="00247301">
              <w:rPr>
                <w:rFonts w:ascii="Times New Roman" w:hAnsi="Times New Roman" w:cs="Times New Roman"/>
                <w:sz w:val="20"/>
                <w:szCs w:val="20"/>
              </w:rPr>
              <w:t xml:space="preserve"> o nich</w:t>
            </w:r>
            <w:r w:rsidRPr="007965EB">
              <w:rPr>
                <w:rFonts w:ascii="Times New Roman" w:hAnsi="Times New Roman" w:cs="Times New Roman"/>
                <w:sz w:val="20"/>
                <w:szCs w:val="20"/>
              </w:rPr>
              <w:t xml:space="preserve"> v mezích daných zákonem</w:t>
            </w:r>
            <w:r w:rsidR="00247301">
              <w:rPr>
                <w:rFonts w:ascii="Times New Roman" w:hAnsi="Times New Roman" w:cs="Times New Roman"/>
                <w:sz w:val="20"/>
                <w:szCs w:val="20"/>
              </w:rPr>
              <w:t xml:space="preserve"> a umožnit účastníkům trhu efektivně využívat své zákonné pravomoci.</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DA1A94C" w14:textId="002CACD5" w:rsidR="00191BCD" w:rsidRPr="007965EB" w:rsidRDefault="00191BCD" w:rsidP="00191BCD">
            <w:pPr>
              <w:pStyle w:val="Standard"/>
              <w:rPr>
                <w:rFonts w:ascii="Times New Roman" w:hAnsi="Times New Roman" w:cs="Times New Roman"/>
                <w:sz w:val="20"/>
                <w:szCs w:val="20"/>
              </w:rPr>
            </w:pPr>
          </w:p>
        </w:tc>
      </w:tr>
      <w:tr w:rsidR="00191BCD" w:rsidRPr="001607E8" w14:paraId="462603AB" w14:textId="77777777" w:rsidTr="00191BCD">
        <w:tc>
          <w:tcPr>
            <w:tcW w:w="25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3A849693" w14:textId="77777777" w:rsidR="00936FD3" w:rsidRPr="007965EB" w:rsidRDefault="00936FD3" w:rsidP="00936FD3">
            <w:pPr>
              <w:pStyle w:val="Standard"/>
              <w:rPr>
                <w:rFonts w:ascii="Times New Roman" w:hAnsi="Times New Roman" w:cs="Times New Roman"/>
                <w:b/>
                <w:sz w:val="16"/>
                <w:szCs w:val="16"/>
              </w:rPr>
            </w:pPr>
            <w:r w:rsidRPr="007965EB">
              <w:rPr>
                <w:rFonts w:ascii="Times New Roman" w:hAnsi="Times New Roman" w:cs="Times New Roman"/>
                <w:b/>
                <w:sz w:val="16"/>
                <w:szCs w:val="16"/>
              </w:rPr>
              <w:t>Rozhodování:</w:t>
            </w:r>
          </w:p>
          <w:p w14:paraId="4FBAFE0D" w14:textId="77777777" w:rsidR="007B59A3" w:rsidRPr="007965EB" w:rsidRDefault="007B59A3" w:rsidP="007B59A3">
            <w:pPr>
              <w:pStyle w:val="Standard"/>
              <w:jc w:val="center"/>
              <w:rPr>
                <w:rFonts w:ascii="Times New Roman" w:hAnsi="Times New Roman" w:cs="Times New Roman"/>
                <w:b/>
                <w:sz w:val="20"/>
                <w:szCs w:val="20"/>
              </w:rPr>
            </w:pPr>
          </w:p>
          <w:p w14:paraId="626A7367" w14:textId="6061DD54" w:rsidR="00191BCD" w:rsidRPr="007965EB" w:rsidRDefault="00936FD3" w:rsidP="00CC22DF">
            <w:pPr>
              <w:pStyle w:val="Standard"/>
              <w:rPr>
                <w:rFonts w:ascii="Times New Roman" w:hAnsi="Times New Roman" w:cs="Times New Roman"/>
              </w:rPr>
            </w:pPr>
            <w:r w:rsidRPr="007965EB">
              <w:rPr>
                <w:rFonts w:ascii="Times New Roman" w:hAnsi="Times New Roman" w:cs="Times New Roman"/>
                <w:b/>
              </w:rPr>
              <w:t>O</w:t>
            </w:r>
            <w:r w:rsidR="00191BCD" w:rsidRPr="007965EB">
              <w:rPr>
                <w:rFonts w:ascii="Times New Roman" w:hAnsi="Times New Roman" w:cs="Times New Roman"/>
                <w:b/>
              </w:rPr>
              <w:t>pravné prostředky</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8DA1D4C" w14:textId="2EE793D6" w:rsidR="00191BCD" w:rsidRPr="007965EB" w:rsidRDefault="00936FD3" w:rsidP="00936FD3">
            <w:pPr>
              <w:pStyle w:val="Standard"/>
              <w:jc w:val="both"/>
              <w:rPr>
                <w:rFonts w:ascii="Times New Roman" w:hAnsi="Times New Roman" w:cs="Times New Roman"/>
                <w:sz w:val="20"/>
                <w:szCs w:val="20"/>
              </w:rPr>
            </w:pPr>
            <w:r w:rsidRPr="007965EB">
              <w:rPr>
                <w:rFonts w:ascii="Times New Roman" w:hAnsi="Times New Roman" w:cs="Times New Roman"/>
                <w:sz w:val="20"/>
                <w:szCs w:val="20"/>
              </w:rPr>
              <w:t>- H</w:t>
            </w:r>
            <w:r w:rsidR="00191BCD" w:rsidRPr="007965EB">
              <w:rPr>
                <w:rFonts w:ascii="Times New Roman" w:hAnsi="Times New Roman" w:cs="Times New Roman"/>
                <w:sz w:val="20"/>
                <w:szCs w:val="20"/>
              </w:rPr>
              <w:t>odnocení tohoto kritéria není relevantní</w:t>
            </w:r>
            <w:r w:rsidRPr="007965EB">
              <w:rPr>
                <w:rFonts w:ascii="Times New Roman" w:hAnsi="Times New Roman" w:cs="Times New Roman"/>
                <w:sz w:val="20"/>
                <w:szCs w:val="20"/>
              </w:rPr>
              <w:t>, jelikož návrh podzákonného právního předpisu nemění možnosti obrany proti nesprávnému postupu orgánu veřejné správy.</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2A2AF25" w14:textId="5867A532" w:rsidR="00191BCD" w:rsidRPr="007965EB" w:rsidRDefault="00191BCD" w:rsidP="00936FD3">
            <w:pPr>
              <w:pStyle w:val="Standard"/>
              <w:jc w:val="both"/>
              <w:rPr>
                <w:rFonts w:ascii="Times New Roman" w:hAnsi="Times New Roman" w:cs="Times New Roman"/>
                <w:sz w:val="20"/>
                <w:szCs w:val="20"/>
              </w:rPr>
            </w:pPr>
          </w:p>
        </w:tc>
      </w:tr>
      <w:tr w:rsidR="00936FD3" w:rsidRPr="001607E8" w14:paraId="5A9878A7" w14:textId="77777777" w:rsidTr="00191BCD">
        <w:tc>
          <w:tcPr>
            <w:tcW w:w="25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5398CC11" w14:textId="4743B24A" w:rsidR="00936FD3" w:rsidRPr="007965EB" w:rsidRDefault="00936FD3" w:rsidP="00936FD3">
            <w:pPr>
              <w:pStyle w:val="Standard"/>
              <w:rPr>
                <w:rFonts w:ascii="Times New Roman" w:hAnsi="Times New Roman" w:cs="Times New Roman"/>
                <w:b/>
                <w:sz w:val="16"/>
                <w:szCs w:val="16"/>
              </w:rPr>
            </w:pPr>
            <w:r w:rsidRPr="007965EB">
              <w:rPr>
                <w:rFonts w:ascii="Times New Roman" w:hAnsi="Times New Roman" w:cs="Times New Roman"/>
                <w:b/>
                <w:sz w:val="16"/>
                <w:szCs w:val="16"/>
              </w:rPr>
              <w:t>Transparentnost:</w:t>
            </w:r>
          </w:p>
          <w:p w14:paraId="52154197" w14:textId="77777777" w:rsidR="00936FD3" w:rsidRPr="007965EB" w:rsidRDefault="00936FD3" w:rsidP="007965EB">
            <w:pPr>
              <w:pStyle w:val="Standard"/>
              <w:rPr>
                <w:rFonts w:ascii="Times New Roman" w:hAnsi="Times New Roman" w:cs="Times New Roman"/>
                <w:b/>
                <w:sz w:val="20"/>
                <w:szCs w:val="20"/>
              </w:rPr>
            </w:pPr>
          </w:p>
          <w:p w14:paraId="0324C0EB" w14:textId="20E025C2" w:rsidR="00936FD3" w:rsidRPr="007965EB" w:rsidRDefault="00936FD3" w:rsidP="00CC22DF">
            <w:pPr>
              <w:pStyle w:val="Standard"/>
              <w:rPr>
                <w:rFonts w:ascii="Times New Roman" w:hAnsi="Times New Roman" w:cs="Times New Roman"/>
                <w:b/>
              </w:rPr>
            </w:pPr>
            <w:r w:rsidRPr="007965EB">
              <w:rPr>
                <w:rFonts w:ascii="Times New Roman" w:hAnsi="Times New Roman" w:cs="Times New Roman"/>
                <w:b/>
              </w:rPr>
              <w:t>Svobodný přístup k informacím a kontrolní mechanizmy</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E3CC2DE" w14:textId="77777777" w:rsidR="00936FD3" w:rsidRPr="007965EB" w:rsidRDefault="00936FD3" w:rsidP="00936FD3">
            <w:pPr>
              <w:pStyle w:val="Standard"/>
              <w:jc w:val="both"/>
              <w:rPr>
                <w:rFonts w:ascii="Times New Roman" w:hAnsi="Times New Roman" w:cs="Times New Roman"/>
                <w:sz w:val="20"/>
                <w:szCs w:val="20"/>
              </w:rPr>
            </w:pPr>
            <w:r w:rsidRPr="007965EB">
              <w:rPr>
                <w:rFonts w:ascii="Times New Roman" w:hAnsi="Times New Roman" w:cs="Times New Roman"/>
                <w:sz w:val="20"/>
                <w:szCs w:val="20"/>
              </w:rPr>
              <w:t>- Navrhované úpravy nepředpokládají bariéry při svobodném přístupu k informacím, relevantním dané regulované oblasti.</w:t>
            </w:r>
          </w:p>
          <w:p w14:paraId="34099AD0" w14:textId="1EC3AB76" w:rsidR="00936FD3" w:rsidRPr="007965EB" w:rsidRDefault="00936FD3" w:rsidP="00936FD3">
            <w:pPr>
              <w:pStyle w:val="Standard"/>
              <w:jc w:val="both"/>
              <w:rPr>
                <w:rFonts w:ascii="Times New Roman" w:hAnsi="Times New Roman" w:cs="Times New Roman"/>
                <w:sz w:val="20"/>
                <w:szCs w:val="20"/>
              </w:rPr>
            </w:pPr>
            <w:r w:rsidRPr="007965EB">
              <w:rPr>
                <w:rFonts w:ascii="Times New Roman" w:hAnsi="Times New Roman" w:cs="Times New Roman"/>
                <w:sz w:val="20"/>
                <w:szCs w:val="20"/>
              </w:rPr>
              <w:t>- Navrhovaná úprava podzákonného právního předpisu nerozšiřuje kontrolní mechanizmy nad rámec již existujících a funkčně zakotvených.</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F84F42E" w14:textId="77777777" w:rsidR="00936FD3" w:rsidRPr="007965EB" w:rsidRDefault="00936FD3" w:rsidP="00936FD3">
            <w:pPr>
              <w:pStyle w:val="Standard"/>
              <w:jc w:val="both"/>
              <w:rPr>
                <w:rFonts w:ascii="Times New Roman" w:hAnsi="Times New Roman" w:cs="Times New Roman"/>
                <w:sz w:val="20"/>
                <w:szCs w:val="20"/>
              </w:rPr>
            </w:pPr>
          </w:p>
        </w:tc>
      </w:tr>
    </w:tbl>
    <w:p w14:paraId="75707E5D" w14:textId="77777777" w:rsidR="00301E14" w:rsidRPr="00005DA3" w:rsidRDefault="00301E14" w:rsidP="004F55F2">
      <w:pPr>
        <w:widowControl w:val="0"/>
        <w:autoSpaceDE w:val="0"/>
        <w:autoSpaceDN w:val="0"/>
        <w:adjustRightInd w:val="0"/>
        <w:spacing w:after="120" w:line="312" w:lineRule="auto"/>
        <w:ind w:firstLine="708"/>
        <w:jc w:val="both"/>
        <w:rPr>
          <w:rFonts w:ascii="Times New Roman" w:hAnsi="Times New Roman"/>
        </w:rPr>
      </w:pPr>
    </w:p>
    <w:p w14:paraId="29FA2BDA" w14:textId="77777777" w:rsidR="00005DA3" w:rsidRPr="0056354D" w:rsidRDefault="00005DA3" w:rsidP="0056354D">
      <w:pPr>
        <w:pStyle w:val="Odstavecseseznamem"/>
        <w:widowControl w:val="0"/>
        <w:numPr>
          <w:ilvl w:val="0"/>
          <w:numId w:val="5"/>
        </w:numPr>
        <w:autoSpaceDE w:val="0"/>
        <w:autoSpaceDN w:val="0"/>
        <w:adjustRightInd w:val="0"/>
        <w:spacing w:after="120" w:line="312" w:lineRule="auto"/>
        <w:jc w:val="both"/>
        <w:rPr>
          <w:rFonts w:ascii="Times New Roman" w:hAnsi="Times New Roman"/>
        </w:rPr>
      </w:pPr>
      <w:r w:rsidRPr="0056354D">
        <w:rPr>
          <w:rFonts w:ascii="Times New Roman" w:hAnsi="Times New Roman"/>
          <w:b/>
        </w:rPr>
        <w:t>Zhodnocení dopadů na bezpečnost a obranu státu</w:t>
      </w:r>
    </w:p>
    <w:p w14:paraId="29FA2BDB" w14:textId="2FB51706" w:rsidR="007F7DFF" w:rsidRDefault="00005DA3" w:rsidP="00005DA3">
      <w:pPr>
        <w:widowControl w:val="0"/>
        <w:autoSpaceDE w:val="0"/>
        <w:autoSpaceDN w:val="0"/>
        <w:adjustRightInd w:val="0"/>
        <w:spacing w:after="120" w:line="312" w:lineRule="auto"/>
        <w:jc w:val="both"/>
        <w:rPr>
          <w:rFonts w:ascii="Times New Roman" w:hAnsi="Times New Roman"/>
          <w:b/>
          <w:u w:val="single"/>
        </w:rPr>
      </w:pPr>
      <w:r w:rsidRPr="00005DA3">
        <w:rPr>
          <w:rFonts w:ascii="Times New Roman" w:hAnsi="Times New Roman"/>
        </w:rPr>
        <w:t>Předložený návrh vyhlášky nemá dopad na bezpečnost a obranu státu.</w:t>
      </w:r>
      <w:r w:rsidR="00135FCD">
        <w:rPr>
          <w:rFonts w:ascii="Times New Roman" w:hAnsi="Times New Roman"/>
        </w:rPr>
        <w:t xml:space="preserve"> </w:t>
      </w:r>
      <w:r w:rsidR="007F7DFF">
        <w:rPr>
          <w:rFonts w:ascii="Times New Roman" w:hAnsi="Times New Roman"/>
          <w:b/>
          <w:u w:val="single"/>
        </w:rPr>
        <w:br w:type="page"/>
      </w:r>
    </w:p>
    <w:p w14:paraId="5140FAE0" w14:textId="3C6DBA0E" w:rsidR="00CA10B5" w:rsidRPr="00CA10B5" w:rsidRDefault="00CA10B5" w:rsidP="00CA10B5">
      <w:pPr>
        <w:pStyle w:val="Odstavecseseznamem"/>
        <w:widowControl w:val="0"/>
        <w:numPr>
          <w:ilvl w:val="0"/>
          <w:numId w:val="5"/>
        </w:numPr>
        <w:autoSpaceDE w:val="0"/>
        <w:autoSpaceDN w:val="0"/>
        <w:adjustRightInd w:val="0"/>
        <w:spacing w:after="120" w:line="312" w:lineRule="auto"/>
        <w:jc w:val="both"/>
        <w:rPr>
          <w:rFonts w:ascii="Times New Roman" w:hAnsi="Times New Roman"/>
          <w:b/>
        </w:rPr>
      </w:pPr>
      <w:r w:rsidRPr="00CA10B5">
        <w:rPr>
          <w:rFonts w:ascii="Times New Roman" w:hAnsi="Times New Roman"/>
          <w:b/>
        </w:rPr>
        <w:lastRenderedPageBreak/>
        <w:t>Zhodnocení souladu se zásadami pro tvorbu digitálně přívětivé legislativy</w:t>
      </w:r>
    </w:p>
    <w:p w14:paraId="5887756A" w14:textId="7BE59F18" w:rsidR="00CA10B5" w:rsidRDefault="000131F6" w:rsidP="00005DA3">
      <w:pPr>
        <w:widowControl w:val="0"/>
        <w:autoSpaceDE w:val="0"/>
        <w:autoSpaceDN w:val="0"/>
        <w:adjustRightInd w:val="0"/>
        <w:spacing w:after="120" w:line="312" w:lineRule="auto"/>
        <w:jc w:val="both"/>
        <w:rPr>
          <w:rFonts w:ascii="Times New Roman" w:hAnsi="Times New Roman"/>
        </w:rPr>
      </w:pPr>
      <w:r>
        <w:rPr>
          <w:rFonts w:ascii="Times New Roman" w:hAnsi="Times New Roman"/>
        </w:rPr>
        <w:t>Předmětný návrh vyhlášky se této oblasti nedotýká.</w:t>
      </w:r>
    </w:p>
    <w:p w14:paraId="7BD029EF" w14:textId="77777777" w:rsidR="000131F6" w:rsidRPr="000131F6" w:rsidRDefault="000131F6" w:rsidP="00005DA3">
      <w:pPr>
        <w:widowControl w:val="0"/>
        <w:autoSpaceDE w:val="0"/>
        <w:autoSpaceDN w:val="0"/>
        <w:adjustRightInd w:val="0"/>
        <w:spacing w:after="120" w:line="312" w:lineRule="auto"/>
        <w:jc w:val="both"/>
        <w:rPr>
          <w:rFonts w:ascii="Times New Roman" w:hAnsi="Times New Roman"/>
        </w:rPr>
      </w:pPr>
    </w:p>
    <w:p w14:paraId="29FA2BDC" w14:textId="77777777" w:rsidR="005B7CDC" w:rsidRPr="00287FC5" w:rsidRDefault="005B7CDC" w:rsidP="005E35B4">
      <w:pPr>
        <w:widowControl w:val="0"/>
        <w:autoSpaceDE w:val="0"/>
        <w:autoSpaceDN w:val="0"/>
        <w:adjustRightInd w:val="0"/>
        <w:spacing w:after="120" w:line="312" w:lineRule="auto"/>
        <w:jc w:val="both"/>
        <w:rPr>
          <w:rFonts w:ascii="Times New Roman" w:hAnsi="Times New Roman"/>
          <w:b/>
          <w:u w:val="single"/>
        </w:rPr>
      </w:pPr>
      <w:r w:rsidRPr="00287FC5">
        <w:rPr>
          <w:rFonts w:ascii="Times New Roman" w:hAnsi="Times New Roman"/>
          <w:b/>
          <w:u w:val="single"/>
        </w:rPr>
        <w:t>Zvláštní část</w:t>
      </w:r>
    </w:p>
    <w:p w14:paraId="29FA2BDE" w14:textId="77777777" w:rsidR="00C85586" w:rsidRPr="00C85586" w:rsidRDefault="00C85586" w:rsidP="00C85586">
      <w:pPr>
        <w:spacing w:before="120" w:after="120"/>
        <w:jc w:val="both"/>
        <w:rPr>
          <w:rFonts w:ascii="Times New Roman" w:hAnsi="Times New Roman"/>
          <w:b/>
        </w:rPr>
      </w:pPr>
      <w:r w:rsidRPr="00C85586">
        <w:rPr>
          <w:rFonts w:ascii="Times New Roman" w:hAnsi="Times New Roman"/>
          <w:b/>
        </w:rPr>
        <w:t>Čl. I</w:t>
      </w:r>
    </w:p>
    <w:p w14:paraId="29FA2BDF" w14:textId="77777777" w:rsidR="00C85586" w:rsidRDefault="00C85586" w:rsidP="00C85586">
      <w:pPr>
        <w:widowControl w:val="0"/>
        <w:autoSpaceDE w:val="0"/>
        <w:autoSpaceDN w:val="0"/>
        <w:adjustRightInd w:val="0"/>
        <w:spacing w:after="120" w:line="312" w:lineRule="auto"/>
        <w:jc w:val="both"/>
        <w:rPr>
          <w:rFonts w:ascii="Times New Roman" w:hAnsi="Times New Roman"/>
          <w:b/>
        </w:rPr>
      </w:pPr>
      <w:r w:rsidRPr="00C85586">
        <w:rPr>
          <w:rFonts w:ascii="Times New Roman" w:hAnsi="Times New Roman"/>
          <w:b/>
        </w:rPr>
        <w:t>K bodu 1</w:t>
      </w:r>
    </w:p>
    <w:p w14:paraId="29FA2C9D" w14:textId="31B90ADC" w:rsidR="004B0AF0" w:rsidRPr="004B0AF0" w:rsidRDefault="000822B6"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 xml:space="preserve">Navrhovaná úprava </w:t>
      </w:r>
      <w:r w:rsidR="002E2435">
        <w:rPr>
          <w:rFonts w:ascii="Times New Roman" w:hAnsi="Times New Roman"/>
        </w:rPr>
        <w:t xml:space="preserve">§ </w:t>
      </w:r>
      <w:r w:rsidR="00BF238C">
        <w:rPr>
          <w:rFonts w:ascii="Times New Roman" w:hAnsi="Times New Roman"/>
        </w:rPr>
        <w:t>1 odst. 1</w:t>
      </w:r>
      <w:r w:rsidR="002E2435">
        <w:rPr>
          <w:rFonts w:ascii="Times New Roman" w:hAnsi="Times New Roman"/>
        </w:rPr>
        <w:t xml:space="preserve"> </w:t>
      </w:r>
      <w:r>
        <w:rPr>
          <w:rFonts w:ascii="Times New Roman" w:hAnsi="Times New Roman"/>
        </w:rPr>
        <w:t>je legislativně technickou úpravou.</w:t>
      </w:r>
    </w:p>
    <w:p w14:paraId="224BB01E" w14:textId="1F9BC696" w:rsidR="00637139" w:rsidRDefault="00637139" w:rsidP="00637139">
      <w:pPr>
        <w:widowControl w:val="0"/>
        <w:autoSpaceDE w:val="0"/>
        <w:autoSpaceDN w:val="0"/>
        <w:adjustRightInd w:val="0"/>
        <w:spacing w:after="120" w:line="312" w:lineRule="auto"/>
        <w:jc w:val="both"/>
        <w:rPr>
          <w:rFonts w:ascii="Times New Roman" w:hAnsi="Times New Roman"/>
          <w:b/>
        </w:rPr>
      </w:pPr>
      <w:r w:rsidRPr="00C85586">
        <w:rPr>
          <w:rFonts w:ascii="Times New Roman" w:hAnsi="Times New Roman"/>
          <w:b/>
        </w:rPr>
        <w:t xml:space="preserve">K bodu </w:t>
      </w:r>
      <w:r>
        <w:rPr>
          <w:rFonts w:ascii="Times New Roman" w:hAnsi="Times New Roman"/>
          <w:b/>
        </w:rPr>
        <w:t>2</w:t>
      </w:r>
    </w:p>
    <w:p w14:paraId="2D6E81D2" w14:textId="7CDB76A7" w:rsidR="00E46637" w:rsidRDefault="00BF238C"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Navrhovaná úprava § 1 odst. 1 písm. h) je legislativně technickou úpravou.</w:t>
      </w:r>
    </w:p>
    <w:p w14:paraId="0A63E27A" w14:textId="75CB2BA8" w:rsidR="00BF238C" w:rsidRDefault="00BF238C" w:rsidP="00422605">
      <w:pPr>
        <w:widowControl w:val="0"/>
        <w:autoSpaceDE w:val="0"/>
        <w:autoSpaceDN w:val="0"/>
        <w:adjustRightInd w:val="0"/>
        <w:spacing w:after="120" w:line="312" w:lineRule="auto"/>
        <w:jc w:val="both"/>
        <w:rPr>
          <w:rFonts w:ascii="Times New Roman" w:hAnsi="Times New Roman"/>
          <w:b/>
        </w:rPr>
      </w:pPr>
      <w:r w:rsidRPr="00BF238C">
        <w:rPr>
          <w:rFonts w:ascii="Times New Roman" w:hAnsi="Times New Roman"/>
          <w:b/>
        </w:rPr>
        <w:t>K bodu 3</w:t>
      </w:r>
    </w:p>
    <w:p w14:paraId="0E56BC34" w14:textId="7908B350" w:rsidR="00BF238C" w:rsidRPr="00BF238C" w:rsidRDefault="00BF238C" w:rsidP="00422605">
      <w:pPr>
        <w:widowControl w:val="0"/>
        <w:autoSpaceDE w:val="0"/>
        <w:autoSpaceDN w:val="0"/>
        <w:adjustRightInd w:val="0"/>
        <w:spacing w:after="120" w:line="312" w:lineRule="auto"/>
        <w:jc w:val="both"/>
        <w:rPr>
          <w:rFonts w:ascii="Times New Roman" w:hAnsi="Times New Roman"/>
        </w:rPr>
      </w:pPr>
      <w:r w:rsidRPr="00BF238C">
        <w:rPr>
          <w:rFonts w:ascii="Times New Roman" w:hAnsi="Times New Roman"/>
        </w:rPr>
        <w:t>Navrhovaná úprava § 1 odst. 1</w:t>
      </w:r>
      <w:r w:rsidR="004E2FC2">
        <w:rPr>
          <w:rFonts w:ascii="Times New Roman" w:hAnsi="Times New Roman"/>
        </w:rPr>
        <w:t xml:space="preserve"> písm. o)</w:t>
      </w:r>
      <w:r w:rsidRPr="00BF238C">
        <w:rPr>
          <w:rFonts w:ascii="Times New Roman" w:hAnsi="Times New Roman"/>
        </w:rPr>
        <w:t xml:space="preserve"> je legislativně technickou úpravou</w:t>
      </w:r>
      <w:r w:rsidR="004E2FC2">
        <w:rPr>
          <w:rFonts w:ascii="Times New Roman" w:hAnsi="Times New Roman"/>
        </w:rPr>
        <w:t xml:space="preserve"> vyplývající z rozšíření zákonného zmocnění</w:t>
      </w:r>
      <w:r w:rsidRPr="00BF238C">
        <w:rPr>
          <w:rFonts w:ascii="Times New Roman" w:hAnsi="Times New Roman"/>
        </w:rPr>
        <w:t>.</w:t>
      </w:r>
    </w:p>
    <w:p w14:paraId="44D2212C" w14:textId="44E3091D" w:rsidR="00BF238C" w:rsidRDefault="00BF238C" w:rsidP="00422605">
      <w:pPr>
        <w:widowControl w:val="0"/>
        <w:autoSpaceDE w:val="0"/>
        <w:autoSpaceDN w:val="0"/>
        <w:adjustRightInd w:val="0"/>
        <w:spacing w:after="120" w:line="312" w:lineRule="auto"/>
        <w:jc w:val="both"/>
        <w:rPr>
          <w:rFonts w:ascii="Times New Roman" w:hAnsi="Times New Roman"/>
          <w:b/>
        </w:rPr>
      </w:pPr>
      <w:r>
        <w:rPr>
          <w:rFonts w:ascii="Times New Roman" w:hAnsi="Times New Roman"/>
          <w:b/>
        </w:rPr>
        <w:t>K bodu 4</w:t>
      </w:r>
    </w:p>
    <w:p w14:paraId="54E17008" w14:textId="297335DF" w:rsidR="00BF238C" w:rsidRPr="006E007A" w:rsidRDefault="00BF238C" w:rsidP="00422605">
      <w:pPr>
        <w:widowControl w:val="0"/>
        <w:autoSpaceDE w:val="0"/>
        <w:autoSpaceDN w:val="0"/>
        <w:adjustRightInd w:val="0"/>
        <w:spacing w:after="120" w:line="312" w:lineRule="auto"/>
        <w:jc w:val="both"/>
        <w:rPr>
          <w:rFonts w:ascii="Times New Roman" w:hAnsi="Times New Roman" w:cs="Times New Roman"/>
        </w:rPr>
      </w:pPr>
      <w:r>
        <w:rPr>
          <w:rFonts w:ascii="Times New Roman" w:hAnsi="Times New Roman"/>
        </w:rPr>
        <w:t xml:space="preserve">Navrhovaná úprava </w:t>
      </w:r>
      <w:r w:rsidRPr="006E007A">
        <w:rPr>
          <w:rFonts w:ascii="Times New Roman" w:hAnsi="Times New Roman" w:cs="Times New Roman"/>
        </w:rPr>
        <w:t>§ 2 písm. x), § 16c odst. 1, § 18 odst. 1, 2, 3, 5 a 6, § 47 odst. 1,</w:t>
      </w:r>
      <w:r w:rsidR="004A7A3C">
        <w:rPr>
          <w:rFonts w:ascii="Times New Roman" w:hAnsi="Times New Roman" w:cs="Times New Roman"/>
        </w:rPr>
        <w:t xml:space="preserve"> </w:t>
      </w:r>
      <w:r w:rsidRPr="006E007A">
        <w:rPr>
          <w:rFonts w:ascii="Times New Roman" w:hAnsi="Times New Roman" w:cs="Times New Roman"/>
        </w:rPr>
        <w:t>2</w:t>
      </w:r>
      <w:r w:rsidR="00F372A9">
        <w:rPr>
          <w:rFonts w:ascii="Times New Roman" w:hAnsi="Times New Roman" w:cs="Times New Roman"/>
        </w:rPr>
        <w:t xml:space="preserve"> písm. e) a písm. g)</w:t>
      </w:r>
      <w:r w:rsidRPr="006E007A">
        <w:rPr>
          <w:rFonts w:ascii="Times New Roman" w:hAnsi="Times New Roman" w:cs="Times New Roman"/>
        </w:rPr>
        <w:t>, 5 a 6</w:t>
      </w:r>
      <w:r w:rsidR="00DC37A3" w:rsidRPr="006E007A">
        <w:rPr>
          <w:rFonts w:ascii="Times New Roman" w:hAnsi="Times New Roman" w:cs="Times New Roman"/>
        </w:rPr>
        <w:t xml:space="preserve"> je legislativně technickou úpravou</w:t>
      </w:r>
      <w:r w:rsidR="004A7A3C">
        <w:rPr>
          <w:rFonts w:ascii="Times New Roman" w:hAnsi="Times New Roman" w:cs="Times New Roman"/>
        </w:rPr>
        <w:t xml:space="preserve"> spočívající v</w:t>
      </w:r>
      <w:r w:rsidR="006E007A">
        <w:rPr>
          <w:rFonts w:ascii="Times New Roman" w:hAnsi="Times New Roman" w:cs="Times New Roman"/>
        </w:rPr>
        <w:t xml:space="preserve"> </w:t>
      </w:r>
      <w:r w:rsidR="004A7A3C">
        <w:rPr>
          <w:rFonts w:ascii="Times New Roman" w:hAnsi="Times New Roman" w:cs="Times New Roman"/>
        </w:rPr>
        <w:t>u</w:t>
      </w:r>
      <w:r w:rsidR="00DC37A3" w:rsidRPr="006E007A">
        <w:rPr>
          <w:rFonts w:ascii="Times New Roman" w:hAnsi="Times New Roman" w:cs="Times New Roman"/>
        </w:rPr>
        <w:t xml:space="preserve">vedení </w:t>
      </w:r>
      <w:r w:rsidR="004A7A3C">
        <w:rPr>
          <w:rFonts w:ascii="Times New Roman" w:hAnsi="Times New Roman" w:cs="Times New Roman"/>
        </w:rPr>
        <w:t xml:space="preserve">daných ustanovení </w:t>
      </w:r>
      <w:r w:rsidR="00DC37A3" w:rsidRPr="006E007A">
        <w:rPr>
          <w:rFonts w:ascii="Times New Roman" w:hAnsi="Times New Roman" w:cs="Times New Roman"/>
        </w:rPr>
        <w:t>do souladu s platnou právní úpravou energetického zákona.</w:t>
      </w:r>
    </w:p>
    <w:p w14:paraId="731A3899" w14:textId="11613B5A" w:rsidR="00DC37A3" w:rsidRPr="00DC37A3" w:rsidRDefault="00DC37A3" w:rsidP="00422605">
      <w:pPr>
        <w:widowControl w:val="0"/>
        <w:autoSpaceDE w:val="0"/>
        <w:autoSpaceDN w:val="0"/>
        <w:adjustRightInd w:val="0"/>
        <w:spacing w:after="120" w:line="312" w:lineRule="auto"/>
        <w:jc w:val="both"/>
        <w:rPr>
          <w:rFonts w:ascii="Times New Roman" w:hAnsi="Times New Roman"/>
          <w:b/>
        </w:rPr>
      </w:pPr>
      <w:r w:rsidRPr="00DC37A3">
        <w:rPr>
          <w:rFonts w:ascii="Times New Roman" w:hAnsi="Times New Roman"/>
          <w:b/>
        </w:rPr>
        <w:t>K bodu 5</w:t>
      </w:r>
    </w:p>
    <w:p w14:paraId="5A2EAE61" w14:textId="3461BB14" w:rsidR="00DC37A3" w:rsidRDefault="00DC37A3"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 xml:space="preserve">Navrhovaná úprava § 10 odst. 1 zpřesňuje způsoby obstarávání regulační energie provozovatelem přenosové soustavy pro řešení stavu nerovnováhy. Provozovatel přenosové soustavy nakupuje regulační energii i od zahraničních účastníků trhu a rovněž obstarává energie prostřednictvím aktivace postupů plánu obrany soustavy nebo prostřednictvím </w:t>
      </w:r>
      <w:proofErr w:type="spellStart"/>
      <w:r>
        <w:rPr>
          <w:rFonts w:ascii="Times New Roman" w:hAnsi="Times New Roman"/>
        </w:rPr>
        <w:t>redispečinku</w:t>
      </w:r>
      <w:proofErr w:type="spellEnd"/>
      <w:r>
        <w:rPr>
          <w:rFonts w:ascii="Times New Roman" w:hAnsi="Times New Roman"/>
        </w:rPr>
        <w:t>.</w:t>
      </w:r>
    </w:p>
    <w:p w14:paraId="2452C615" w14:textId="0479CD6D" w:rsidR="00DC37A3" w:rsidRPr="00DC37A3" w:rsidRDefault="00DC37A3" w:rsidP="00422605">
      <w:pPr>
        <w:widowControl w:val="0"/>
        <w:autoSpaceDE w:val="0"/>
        <w:autoSpaceDN w:val="0"/>
        <w:adjustRightInd w:val="0"/>
        <w:spacing w:after="120" w:line="312" w:lineRule="auto"/>
        <w:jc w:val="both"/>
        <w:rPr>
          <w:rFonts w:ascii="Times New Roman" w:hAnsi="Times New Roman"/>
          <w:b/>
        </w:rPr>
      </w:pPr>
      <w:r w:rsidRPr="00DC37A3">
        <w:rPr>
          <w:rFonts w:ascii="Times New Roman" w:hAnsi="Times New Roman"/>
          <w:b/>
        </w:rPr>
        <w:t>K bodu 6</w:t>
      </w:r>
    </w:p>
    <w:p w14:paraId="2A476E07" w14:textId="2E4B42A2" w:rsidR="00DC37A3" w:rsidRDefault="00DC37A3"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 xml:space="preserve">Navrhovaná úprava § 10 odst. 3 písm. d) je legislativně technickou úpravou. Příslušný odkaz se nahrazuje konkrétním textem odkazující se na uplatnění plánů obrany soustavy a </w:t>
      </w:r>
      <w:proofErr w:type="spellStart"/>
      <w:r>
        <w:rPr>
          <w:rFonts w:ascii="Times New Roman" w:hAnsi="Times New Roman"/>
        </w:rPr>
        <w:t>redispečinku</w:t>
      </w:r>
      <w:proofErr w:type="spellEnd"/>
      <w:r w:rsidR="00E94268">
        <w:rPr>
          <w:rFonts w:ascii="Times New Roman" w:hAnsi="Times New Roman"/>
        </w:rPr>
        <w:t>, jelikož se původní odstavec 6 bez náhrady ruší.</w:t>
      </w:r>
    </w:p>
    <w:p w14:paraId="5FEA8FD5" w14:textId="2866311B" w:rsidR="00DC37A3" w:rsidRDefault="00DC37A3" w:rsidP="00422605">
      <w:pPr>
        <w:widowControl w:val="0"/>
        <w:autoSpaceDE w:val="0"/>
        <w:autoSpaceDN w:val="0"/>
        <w:adjustRightInd w:val="0"/>
        <w:spacing w:after="120" w:line="312" w:lineRule="auto"/>
        <w:jc w:val="both"/>
        <w:rPr>
          <w:rFonts w:ascii="Times New Roman" w:hAnsi="Times New Roman"/>
          <w:b/>
        </w:rPr>
      </w:pPr>
      <w:r w:rsidRPr="00DC37A3">
        <w:rPr>
          <w:rFonts w:ascii="Times New Roman" w:hAnsi="Times New Roman"/>
          <w:b/>
        </w:rPr>
        <w:t>K bodu 7</w:t>
      </w:r>
    </w:p>
    <w:p w14:paraId="737694E6" w14:textId="2A33B1B8" w:rsidR="00DC37A3" w:rsidRDefault="00DC37A3" w:rsidP="00422605">
      <w:pPr>
        <w:widowControl w:val="0"/>
        <w:autoSpaceDE w:val="0"/>
        <w:autoSpaceDN w:val="0"/>
        <w:adjustRightInd w:val="0"/>
        <w:spacing w:after="120" w:line="312" w:lineRule="auto"/>
        <w:jc w:val="both"/>
        <w:rPr>
          <w:rFonts w:ascii="Times New Roman" w:hAnsi="Times New Roman"/>
        </w:rPr>
      </w:pPr>
      <w:r w:rsidRPr="00DC37A3">
        <w:rPr>
          <w:rFonts w:ascii="Times New Roman" w:hAnsi="Times New Roman"/>
        </w:rPr>
        <w:t>Navrhovaná úprava § 10 odst. 4 vyplývá z provedených úprav § 10 jako celku a doplněním dalších způsobů obstaráváním energie pro řešení stavu nerovnováhy.</w:t>
      </w:r>
      <w:r w:rsidR="00BA129C">
        <w:rPr>
          <w:rFonts w:ascii="Times New Roman" w:hAnsi="Times New Roman"/>
        </w:rPr>
        <w:t xml:space="preserve"> Energie obstaraná prostřednictvím aktivace plánů obrany soustavy musí být rovněž vykázána, v příslušném členění, provozovatelem přenosové soustavy u operátora trhu, za účelem zúčtování odchylek.</w:t>
      </w:r>
    </w:p>
    <w:p w14:paraId="1C35B2CB" w14:textId="78C7D6F4" w:rsidR="00BA129C" w:rsidRPr="00913A72" w:rsidRDefault="00BA129C" w:rsidP="00422605">
      <w:pPr>
        <w:widowControl w:val="0"/>
        <w:autoSpaceDE w:val="0"/>
        <w:autoSpaceDN w:val="0"/>
        <w:adjustRightInd w:val="0"/>
        <w:spacing w:after="120" w:line="312" w:lineRule="auto"/>
        <w:jc w:val="both"/>
        <w:rPr>
          <w:rFonts w:ascii="Times New Roman" w:hAnsi="Times New Roman"/>
          <w:b/>
        </w:rPr>
      </w:pPr>
      <w:r w:rsidRPr="00913A72">
        <w:rPr>
          <w:rFonts w:ascii="Times New Roman" w:hAnsi="Times New Roman"/>
          <w:b/>
        </w:rPr>
        <w:t>K bodu 8</w:t>
      </w:r>
    </w:p>
    <w:p w14:paraId="5E97A025" w14:textId="2AA62042" w:rsidR="00BA129C" w:rsidRDefault="00BA129C" w:rsidP="00422605">
      <w:pPr>
        <w:widowControl w:val="0"/>
        <w:autoSpaceDE w:val="0"/>
        <w:autoSpaceDN w:val="0"/>
        <w:adjustRightInd w:val="0"/>
        <w:spacing w:after="120" w:line="312" w:lineRule="auto"/>
        <w:jc w:val="both"/>
        <w:rPr>
          <w:rFonts w:ascii="Times New Roman" w:hAnsi="Times New Roman"/>
          <w:u w:val="single"/>
        </w:rPr>
      </w:pPr>
      <w:r w:rsidRPr="00080E28">
        <w:rPr>
          <w:rFonts w:ascii="Times New Roman" w:hAnsi="Times New Roman"/>
          <w:u w:val="single"/>
        </w:rPr>
        <w:t xml:space="preserve">Navrhovanou úpravou v § 10 se vkládá nový odstavec 5, který upravuje postu pro zajištění regulační energie pro řešení stavu nerovnováhy pomocí agregace zdrojů. Konkrétně se touto úpravou umožní zajišťování regulační energie i u výroben elektřiny, které jsou vnořeny v odběrných místech. Jedná se převážně o menší výrobní jednotky, ovšem s výkonem vyšším než 1 MW. Navrhovanou úpravou se </w:t>
      </w:r>
      <w:r w:rsidRPr="00080E28">
        <w:rPr>
          <w:rFonts w:ascii="Times New Roman" w:hAnsi="Times New Roman"/>
          <w:u w:val="single"/>
        </w:rPr>
        <w:lastRenderedPageBreak/>
        <w:t>zajistí stanovení správného salda toků elektřiny v odběrném místě, kde je více než jeden subjekt zúčtování.</w:t>
      </w:r>
    </w:p>
    <w:p w14:paraId="42304BD5" w14:textId="5A55D836" w:rsidR="00080E28" w:rsidRPr="00DC06AF" w:rsidRDefault="00154A4A" w:rsidP="00422605">
      <w:pPr>
        <w:widowControl w:val="0"/>
        <w:autoSpaceDE w:val="0"/>
        <w:autoSpaceDN w:val="0"/>
        <w:adjustRightInd w:val="0"/>
        <w:spacing w:after="120" w:line="312" w:lineRule="auto"/>
        <w:jc w:val="both"/>
        <w:rPr>
          <w:rFonts w:ascii="Times New Roman" w:hAnsi="Times New Roman"/>
        </w:rPr>
      </w:pPr>
      <w:r w:rsidRPr="00154A4A">
        <w:rPr>
          <w:rFonts w:ascii="Times New Roman" w:hAnsi="Times New Roman"/>
        </w:rPr>
        <w:t>CELEX</w:t>
      </w:r>
      <w:r w:rsidR="00913A72">
        <w:rPr>
          <w:rFonts w:ascii="Times New Roman" w:hAnsi="Times New Roman"/>
        </w:rPr>
        <w:t xml:space="preserve"> </w:t>
      </w:r>
      <w:r w:rsidR="00DC06AF" w:rsidRPr="00DC06AF">
        <w:rPr>
          <w:rFonts w:ascii="Times New Roman" w:hAnsi="Times New Roman"/>
        </w:rPr>
        <w:t>32017R2195</w:t>
      </w:r>
    </w:p>
    <w:p w14:paraId="1B558452" w14:textId="464D9CD9" w:rsidR="00BA129C" w:rsidRPr="00BA129C" w:rsidRDefault="00BA129C" w:rsidP="00422605">
      <w:pPr>
        <w:widowControl w:val="0"/>
        <w:autoSpaceDE w:val="0"/>
        <w:autoSpaceDN w:val="0"/>
        <w:adjustRightInd w:val="0"/>
        <w:spacing w:after="120" w:line="312" w:lineRule="auto"/>
        <w:jc w:val="both"/>
        <w:rPr>
          <w:rFonts w:ascii="Times New Roman" w:hAnsi="Times New Roman"/>
          <w:b/>
        </w:rPr>
      </w:pPr>
      <w:r w:rsidRPr="00BA129C">
        <w:rPr>
          <w:rFonts w:ascii="Times New Roman" w:hAnsi="Times New Roman"/>
          <w:b/>
        </w:rPr>
        <w:t>K bodu 9</w:t>
      </w:r>
    </w:p>
    <w:p w14:paraId="7A36B78D" w14:textId="52751327" w:rsidR="00BA129C" w:rsidRDefault="00EA1EE3" w:rsidP="00422605">
      <w:pPr>
        <w:widowControl w:val="0"/>
        <w:autoSpaceDE w:val="0"/>
        <w:autoSpaceDN w:val="0"/>
        <w:adjustRightInd w:val="0"/>
        <w:spacing w:after="120" w:line="312" w:lineRule="auto"/>
        <w:jc w:val="both"/>
        <w:rPr>
          <w:rFonts w:ascii="Times New Roman" w:hAnsi="Times New Roman"/>
        </w:rPr>
      </w:pPr>
      <w:r w:rsidRPr="00DC37A3">
        <w:rPr>
          <w:rFonts w:ascii="Times New Roman" w:hAnsi="Times New Roman"/>
        </w:rPr>
        <w:t xml:space="preserve">Navrhovaná úprava § 10 </w:t>
      </w:r>
      <w:r w:rsidR="00DE2C83">
        <w:rPr>
          <w:rFonts w:ascii="Times New Roman" w:hAnsi="Times New Roman"/>
        </w:rPr>
        <w:t xml:space="preserve">nový </w:t>
      </w:r>
      <w:r w:rsidRPr="00DC37A3">
        <w:rPr>
          <w:rFonts w:ascii="Times New Roman" w:hAnsi="Times New Roman"/>
        </w:rPr>
        <w:t xml:space="preserve">odst. </w:t>
      </w:r>
      <w:r>
        <w:rPr>
          <w:rFonts w:ascii="Times New Roman" w:hAnsi="Times New Roman"/>
        </w:rPr>
        <w:t>6</w:t>
      </w:r>
      <w:r w:rsidRPr="00DC37A3">
        <w:rPr>
          <w:rFonts w:ascii="Times New Roman" w:hAnsi="Times New Roman"/>
        </w:rPr>
        <w:t xml:space="preserve"> vyplývá z provedených úprav § 10 jako celku a doplněním dalších způsobů obstaráváním energie pro řešení stavu nerovnováhy</w:t>
      </w:r>
      <w:r w:rsidR="00DE2C83">
        <w:rPr>
          <w:rFonts w:ascii="Times New Roman" w:hAnsi="Times New Roman"/>
        </w:rPr>
        <w:t xml:space="preserve">. </w:t>
      </w:r>
    </w:p>
    <w:p w14:paraId="706CA0CC" w14:textId="63C60CD5" w:rsidR="00DE2C83" w:rsidRDefault="00DE2C83" w:rsidP="00422605">
      <w:pPr>
        <w:widowControl w:val="0"/>
        <w:autoSpaceDE w:val="0"/>
        <w:autoSpaceDN w:val="0"/>
        <w:adjustRightInd w:val="0"/>
        <w:spacing w:after="120" w:line="312" w:lineRule="auto"/>
        <w:jc w:val="both"/>
        <w:rPr>
          <w:rFonts w:ascii="Times New Roman" w:hAnsi="Times New Roman"/>
          <w:b/>
        </w:rPr>
      </w:pPr>
      <w:r>
        <w:rPr>
          <w:rFonts w:ascii="Times New Roman" w:hAnsi="Times New Roman"/>
          <w:b/>
        </w:rPr>
        <w:t>K bodu 10</w:t>
      </w:r>
    </w:p>
    <w:p w14:paraId="3FE731DA" w14:textId="53CE07D4" w:rsidR="00DE2C83" w:rsidRDefault="00DE2C83"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Navrhovaná úprava § 10 odst. 7 je legislativně technická úprava.</w:t>
      </w:r>
    </w:p>
    <w:p w14:paraId="220F315A" w14:textId="3BFC34BB" w:rsidR="00DE2C83" w:rsidRPr="005C2D2E" w:rsidRDefault="00DE2C83" w:rsidP="00422605">
      <w:pPr>
        <w:widowControl w:val="0"/>
        <w:autoSpaceDE w:val="0"/>
        <w:autoSpaceDN w:val="0"/>
        <w:adjustRightInd w:val="0"/>
        <w:spacing w:after="120" w:line="312" w:lineRule="auto"/>
        <w:jc w:val="both"/>
        <w:rPr>
          <w:rFonts w:ascii="Times New Roman" w:hAnsi="Times New Roman"/>
          <w:b/>
        </w:rPr>
      </w:pPr>
      <w:r w:rsidRPr="005C2D2E">
        <w:rPr>
          <w:rFonts w:ascii="Times New Roman" w:hAnsi="Times New Roman"/>
          <w:b/>
        </w:rPr>
        <w:t>K bodu 11</w:t>
      </w:r>
    </w:p>
    <w:p w14:paraId="6AAD9104" w14:textId="7F20797E" w:rsidR="00BA129C" w:rsidRDefault="00750EEB"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 xml:space="preserve">Navrhovaná úprava </w:t>
      </w:r>
      <w:r w:rsidR="00305395">
        <w:rPr>
          <w:rFonts w:ascii="Times New Roman" w:hAnsi="Times New Roman"/>
        </w:rPr>
        <w:t xml:space="preserve">§ 15 odst. 4 zavádí nový postup pro </w:t>
      </w:r>
      <w:r w:rsidR="003E21C6">
        <w:rPr>
          <w:rFonts w:ascii="Times New Roman" w:hAnsi="Times New Roman"/>
        </w:rPr>
        <w:t xml:space="preserve">registraci příznaku </w:t>
      </w:r>
      <w:r w:rsidR="00916D90">
        <w:rPr>
          <w:rFonts w:ascii="Times New Roman" w:hAnsi="Times New Roman"/>
        </w:rPr>
        <w:t xml:space="preserve">odběrného místa v rámci společenství v bytovém domě. Dle uvedeného postupu se u odběrného místa registruje příznak „vůdčí“ a „přidružené“, přičemž informace o provedení registrace podávají společně zákazníci a </w:t>
      </w:r>
      <w:r w:rsidR="007F1D14">
        <w:rPr>
          <w:rFonts w:ascii="Times New Roman" w:hAnsi="Times New Roman"/>
        </w:rPr>
        <w:t>zákazník s připojenou výrobou</w:t>
      </w:r>
      <w:r w:rsidR="00916D90">
        <w:rPr>
          <w:rFonts w:ascii="Times New Roman" w:hAnsi="Times New Roman"/>
        </w:rPr>
        <w:t xml:space="preserve"> elektřiny (</w:t>
      </w:r>
      <w:r w:rsidR="00832890">
        <w:rPr>
          <w:rFonts w:ascii="Times New Roman" w:hAnsi="Times New Roman"/>
        </w:rPr>
        <w:t xml:space="preserve">zákazníci s odběrnými místy v rámci </w:t>
      </w:r>
      <w:r w:rsidR="007F1D14">
        <w:rPr>
          <w:rFonts w:ascii="Times New Roman" w:hAnsi="Times New Roman"/>
        </w:rPr>
        <w:t>bytového domu). Informace o zákaznících a o zákazníkovi s připojenou výrobnou se předávají postupem a ve struktuře podle nové přílohy 25.</w:t>
      </w:r>
    </w:p>
    <w:p w14:paraId="2A12128D" w14:textId="363DF6BB" w:rsidR="007F1D14" w:rsidRPr="007F1D14" w:rsidRDefault="007F1D14" w:rsidP="00422605">
      <w:pPr>
        <w:widowControl w:val="0"/>
        <w:autoSpaceDE w:val="0"/>
        <w:autoSpaceDN w:val="0"/>
        <w:adjustRightInd w:val="0"/>
        <w:spacing w:after="120" w:line="312" w:lineRule="auto"/>
        <w:jc w:val="both"/>
        <w:rPr>
          <w:rFonts w:ascii="Times New Roman" w:hAnsi="Times New Roman"/>
          <w:b/>
        </w:rPr>
      </w:pPr>
      <w:r w:rsidRPr="007F1D14">
        <w:rPr>
          <w:rFonts w:ascii="Times New Roman" w:hAnsi="Times New Roman"/>
          <w:b/>
        </w:rPr>
        <w:t>K bodu 12</w:t>
      </w:r>
    </w:p>
    <w:p w14:paraId="2B47C10B" w14:textId="08822B59" w:rsidR="007F1D14" w:rsidRDefault="007F1D14"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Navrhovaná úprava § 16 odst. 2 upřesňuje identifikaci zákazníka s odběrným místem, ve kterém je připojena výrobna elektřiny provozována v souladu s ustanovením § 28 odst. 5 energetického zákona. Pro účely vyhlášky lze registrovat předávací místa výroben elektřiny, s výjimkou výroben elektřiny připojených v odběrném místě zákazníka podle § 28 odst. 5 energetického zákona</w:t>
      </w:r>
      <w:r w:rsidR="00C21BEE">
        <w:rPr>
          <w:rFonts w:ascii="Times New Roman" w:hAnsi="Times New Roman"/>
        </w:rPr>
        <w:t>,</w:t>
      </w:r>
      <w:r>
        <w:rPr>
          <w:rFonts w:ascii="Times New Roman" w:hAnsi="Times New Roman"/>
        </w:rPr>
        <w:t xml:space="preserve"> u nichž je ve smlouvě o připojení sjednán nulový rezervovaný výkon.</w:t>
      </w:r>
    </w:p>
    <w:p w14:paraId="6764DD7D" w14:textId="20C8393B" w:rsidR="007F1D14" w:rsidRPr="007F1D14" w:rsidRDefault="007F1D14" w:rsidP="00422605">
      <w:pPr>
        <w:widowControl w:val="0"/>
        <w:autoSpaceDE w:val="0"/>
        <w:autoSpaceDN w:val="0"/>
        <w:adjustRightInd w:val="0"/>
        <w:spacing w:after="120" w:line="312" w:lineRule="auto"/>
        <w:jc w:val="both"/>
        <w:rPr>
          <w:rFonts w:ascii="Times New Roman" w:hAnsi="Times New Roman"/>
          <w:b/>
        </w:rPr>
      </w:pPr>
      <w:r w:rsidRPr="007F1D14">
        <w:rPr>
          <w:rFonts w:ascii="Times New Roman" w:hAnsi="Times New Roman"/>
          <w:b/>
        </w:rPr>
        <w:t xml:space="preserve">K bodu 13 </w:t>
      </w:r>
    </w:p>
    <w:p w14:paraId="08040010" w14:textId="69145854" w:rsidR="005F650D" w:rsidRDefault="007F1D14"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Navrhovan</w:t>
      </w:r>
      <w:r w:rsidR="005F650D">
        <w:rPr>
          <w:rFonts w:ascii="Times New Roman" w:hAnsi="Times New Roman"/>
        </w:rPr>
        <w:t>ou</w:t>
      </w:r>
      <w:r>
        <w:rPr>
          <w:rFonts w:ascii="Times New Roman" w:hAnsi="Times New Roman"/>
        </w:rPr>
        <w:t xml:space="preserve"> úprav</w:t>
      </w:r>
      <w:r w:rsidR="005F650D">
        <w:rPr>
          <w:rFonts w:ascii="Times New Roman" w:hAnsi="Times New Roman"/>
        </w:rPr>
        <w:t>ou</w:t>
      </w:r>
      <w:r>
        <w:rPr>
          <w:rFonts w:ascii="Times New Roman" w:hAnsi="Times New Roman"/>
        </w:rPr>
        <w:t xml:space="preserve"> § 16 </w:t>
      </w:r>
      <w:r w:rsidR="005F650D">
        <w:rPr>
          <w:rFonts w:ascii="Times New Roman" w:hAnsi="Times New Roman"/>
        </w:rPr>
        <w:t>odst. 4 se zavádí termín, kterým se vymezuje doba, do kdy je provozovatel soustavy povinen zaslat, na žádost zákazníka, číselné kódy jeho odběrných míst a předávacích míst. Tento termín nebyl vyhláškou doposud stanoven, přičemž praktická aplikace prokázala, že provozovatelé soustav v takovém případě nepostupují zcela jednotně, a proto je v zájmu zachování stabilního a předvídatelného prostředí na elektroenergetickém trhu, aby byl termín harmonizován a ve vyhlášce doplněn.</w:t>
      </w:r>
    </w:p>
    <w:p w14:paraId="0D6C2580" w14:textId="21BA9580" w:rsidR="005F650D" w:rsidRPr="005F650D" w:rsidRDefault="005F650D" w:rsidP="00422605">
      <w:pPr>
        <w:widowControl w:val="0"/>
        <w:autoSpaceDE w:val="0"/>
        <w:autoSpaceDN w:val="0"/>
        <w:adjustRightInd w:val="0"/>
        <w:spacing w:after="120" w:line="312" w:lineRule="auto"/>
        <w:jc w:val="both"/>
        <w:rPr>
          <w:rFonts w:ascii="Times New Roman" w:hAnsi="Times New Roman"/>
          <w:b/>
        </w:rPr>
      </w:pPr>
      <w:r w:rsidRPr="005F650D">
        <w:rPr>
          <w:rFonts w:ascii="Times New Roman" w:hAnsi="Times New Roman"/>
          <w:b/>
        </w:rPr>
        <w:t>K bodu 14</w:t>
      </w:r>
    </w:p>
    <w:p w14:paraId="3BBDF076" w14:textId="1BE1DE79" w:rsidR="00931964" w:rsidRDefault="005F650D"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Navrhovanou úpravou § 16 nový odstavec 6</w:t>
      </w:r>
      <w:r w:rsidR="00DB1D25">
        <w:rPr>
          <w:rFonts w:ascii="Times New Roman" w:hAnsi="Times New Roman"/>
        </w:rPr>
        <w:t xml:space="preserve"> </w:t>
      </w:r>
      <w:r>
        <w:rPr>
          <w:rFonts w:ascii="Times New Roman" w:hAnsi="Times New Roman"/>
        </w:rPr>
        <w:t>se zavádí postup pro registraci příznaku „poskytování podpůrných služeb“</w:t>
      </w:r>
      <w:r w:rsidR="00DB1D25">
        <w:rPr>
          <w:rFonts w:ascii="Times New Roman" w:hAnsi="Times New Roman"/>
        </w:rPr>
        <w:t>.</w:t>
      </w:r>
      <w:r>
        <w:rPr>
          <w:rFonts w:ascii="Times New Roman" w:hAnsi="Times New Roman"/>
        </w:rPr>
        <w:t xml:space="preserve"> </w:t>
      </w:r>
      <w:r w:rsidR="00DB1D25">
        <w:rPr>
          <w:rFonts w:ascii="Times New Roman" w:hAnsi="Times New Roman"/>
        </w:rPr>
        <w:t>V </w:t>
      </w:r>
      <w:r w:rsidR="00DB1D25">
        <w:rPr>
          <w:rFonts w:ascii="Times New Roman" w:hAnsi="Times New Roman"/>
        </w:rPr>
        <w:t>tomto</w:t>
      </w:r>
      <w:r w:rsidR="00DB1D25">
        <w:rPr>
          <w:rFonts w:ascii="Times New Roman" w:hAnsi="Times New Roman"/>
        </w:rPr>
        <w:t xml:space="preserve"> případě je nutné identifikovat v systému operátora trhu subjekt s jeho předávacím místem (připojený do distribuční soustavy prostřednictvím odběrného místa a poskytující službu výkonové rovnováhy), na které se přiřazují data o poskytnutém množství regulační energie, přičemž informaci o poskytnutém množství poskytuje provozovatel přenosové soustavy. Provozovatel distribuční soustavy registruje příznak u konkrétních provozovatelem přenosové soustavy označených předávacích míst.</w:t>
      </w:r>
      <w:r w:rsidR="00931964" w:rsidRPr="00931964">
        <w:rPr>
          <w:rFonts w:ascii="Times New Roman" w:hAnsi="Times New Roman"/>
        </w:rPr>
        <w:t xml:space="preserve"> </w:t>
      </w:r>
    </w:p>
    <w:p w14:paraId="46C8C065" w14:textId="474FF554" w:rsidR="00DB1D25" w:rsidRDefault="00931964"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 xml:space="preserve">Navrhovaným doplněním by mělo dojít ke zlepšení evidenční činnosti u operátora trhu o tocích </w:t>
      </w:r>
      <w:r>
        <w:rPr>
          <w:rFonts w:ascii="Times New Roman" w:hAnsi="Times New Roman"/>
        </w:rPr>
        <w:lastRenderedPageBreak/>
        <w:t>elektřiny poskytovaných pro účely výkonové rovnováhy.</w:t>
      </w:r>
    </w:p>
    <w:p w14:paraId="23241553" w14:textId="3E5A37A2" w:rsidR="00DB1D25" w:rsidRPr="00DB1D25" w:rsidRDefault="00DB1D25" w:rsidP="00422605">
      <w:pPr>
        <w:widowControl w:val="0"/>
        <w:autoSpaceDE w:val="0"/>
        <w:autoSpaceDN w:val="0"/>
        <w:adjustRightInd w:val="0"/>
        <w:spacing w:after="120" w:line="312" w:lineRule="auto"/>
        <w:jc w:val="both"/>
        <w:rPr>
          <w:rFonts w:ascii="Times New Roman" w:hAnsi="Times New Roman"/>
          <w:b/>
        </w:rPr>
      </w:pPr>
      <w:r w:rsidRPr="00DB1D25">
        <w:rPr>
          <w:rFonts w:ascii="Times New Roman" w:hAnsi="Times New Roman"/>
          <w:b/>
        </w:rPr>
        <w:t>K bodu 15</w:t>
      </w:r>
    </w:p>
    <w:p w14:paraId="24E88CEE" w14:textId="77777777" w:rsidR="00931964" w:rsidRDefault="00DB1D25" w:rsidP="00931964">
      <w:pPr>
        <w:widowControl w:val="0"/>
        <w:autoSpaceDE w:val="0"/>
        <w:autoSpaceDN w:val="0"/>
        <w:adjustRightInd w:val="0"/>
        <w:spacing w:after="120" w:line="312" w:lineRule="auto"/>
        <w:jc w:val="both"/>
        <w:rPr>
          <w:rFonts w:ascii="Times New Roman" w:hAnsi="Times New Roman"/>
        </w:rPr>
      </w:pPr>
      <w:r>
        <w:rPr>
          <w:rFonts w:ascii="Times New Roman" w:hAnsi="Times New Roman"/>
        </w:rPr>
        <w:t>Navrhovanou úpravou § 16 nový odstavec 6 se zavádí postup</w:t>
      </w:r>
      <w:r>
        <w:rPr>
          <w:rFonts w:ascii="Times New Roman" w:hAnsi="Times New Roman"/>
        </w:rPr>
        <w:t xml:space="preserve"> pro</w:t>
      </w:r>
      <w:r w:rsidR="005F650D">
        <w:rPr>
          <w:rFonts w:ascii="Times New Roman" w:hAnsi="Times New Roman"/>
        </w:rPr>
        <w:t xml:space="preserve"> registraci předávacích míst v informačním systému operátora trhu, </w:t>
      </w:r>
      <w:r>
        <w:rPr>
          <w:rFonts w:ascii="Times New Roman" w:hAnsi="Times New Roman"/>
        </w:rPr>
        <w:t>na</w:t>
      </w:r>
      <w:r w:rsidR="002075B0">
        <w:rPr>
          <w:rFonts w:ascii="Times New Roman" w:hAnsi="Times New Roman"/>
        </w:rPr>
        <w:t xml:space="preserve"> kterých </w:t>
      </w:r>
      <w:r>
        <w:rPr>
          <w:rFonts w:ascii="Times New Roman" w:hAnsi="Times New Roman"/>
        </w:rPr>
        <w:t>se přihlašuje</w:t>
      </w:r>
      <w:r w:rsidR="002075B0">
        <w:rPr>
          <w:rFonts w:ascii="Times New Roman" w:hAnsi="Times New Roman"/>
        </w:rPr>
        <w:t xml:space="preserve"> subjekt zúčtování</w:t>
      </w:r>
      <w:r>
        <w:rPr>
          <w:rFonts w:ascii="Times New Roman" w:hAnsi="Times New Roman"/>
        </w:rPr>
        <w:t>, který je</w:t>
      </w:r>
      <w:r w:rsidR="002075B0">
        <w:rPr>
          <w:rFonts w:ascii="Times New Roman" w:hAnsi="Times New Roman"/>
        </w:rPr>
        <w:t xml:space="preserve"> </w:t>
      </w:r>
      <w:r w:rsidR="002075B0" w:rsidRPr="002075B0">
        <w:rPr>
          <w:rFonts w:ascii="Times New Roman" w:hAnsi="Times New Roman"/>
        </w:rPr>
        <w:t>subjekt</w:t>
      </w:r>
      <w:r>
        <w:rPr>
          <w:rFonts w:ascii="Times New Roman" w:hAnsi="Times New Roman"/>
        </w:rPr>
        <w:t>em</w:t>
      </w:r>
      <w:r w:rsidR="002075B0" w:rsidRPr="002075B0">
        <w:rPr>
          <w:rFonts w:ascii="Times New Roman" w:hAnsi="Times New Roman"/>
        </w:rPr>
        <w:t xml:space="preserve"> zúčtování poskytovatele </w:t>
      </w:r>
      <w:proofErr w:type="spellStart"/>
      <w:r w:rsidR="002075B0" w:rsidRPr="002075B0">
        <w:rPr>
          <w:rFonts w:ascii="Times New Roman" w:hAnsi="Times New Roman"/>
        </w:rPr>
        <w:t>redispečinku</w:t>
      </w:r>
      <w:proofErr w:type="spellEnd"/>
      <w:r w:rsidR="002075B0" w:rsidRPr="002075B0">
        <w:rPr>
          <w:rFonts w:ascii="Times New Roman" w:hAnsi="Times New Roman"/>
        </w:rPr>
        <w:t xml:space="preserve"> nebo poskytovatele opatření aktivovaných postupy podle plánu obrany soustavy</w:t>
      </w:r>
      <w:r w:rsidR="002075B0">
        <w:rPr>
          <w:rFonts w:ascii="Times New Roman" w:hAnsi="Times New Roman"/>
        </w:rPr>
        <w:t>.</w:t>
      </w:r>
      <w:r w:rsidR="005F650D">
        <w:rPr>
          <w:rFonts w:ascii="Times New Roman" w:hAnsi="Times New Roman"/>
        </w:rPr>
        <w:t xml:space="preserve"> </w:t>
      </w:r>
      <w:r w:rsidR="00931964">
        <w:rPr>
          <w:rFonts w:ascii="Times New Roman" w:hAnsi="Times New Roman"/>
        </w:rPr>
        <w:t xml:space="preserve">Ve tomto případě se jedná o registraci předávacích míst u operátora trhu, u kterých se eviduje množství poskytnuté energie v rámci </w:t>
      </w:r>
      <w:proofErr w:type="spellStart"/>
      <w:r w:rsidR="00931964">
        <w:rPr>
          <w:rFonts w:ascii="Times New Roman" w:hAnsi="Times New Roman"/>
        </w:rPr>
        <w:t>redispečinku</w:t>
      </w:r>
      <w:proofErr w:type="spellEnd"/>
      <w:r w:rsidR="00931964">
        <w:rPr>
          <w:rFonts w:ascii="Times New Roman" w:hAnsi="Times New Roman"/>
        </w:rPr>
        <w:t xml:space="preserve"> nebo v rámci aktivace plánů obrany a obnovy soustavy. </w:t>
      </w:r>
    </w:p>
    <w:p w14:paraId="1FA8B6C0" w14:textId="020E8CBE" w:rsidR="003B3308" w:rsidRDefault="00DB1D25"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Navrhovaným doplněním by mělo dojít ke zlepšení evidenční činnosti u operátora trhu o tocích elektřiny poskytovaných pro účely výkonové rovnováhy.</w:t>
      </w:r>
      <w:r w:rsidR="00931964" w:rsidRPr="00931964">
        <w:rPr>
          <w:rFonts w:ascii="Times New Roman" w:hAnsi="Times New Roman"/>
        </w:rPr>
        <w:t xml:space="preserve"> </w:t>
      </w:r>
      <w:r w:rsidR="00931964">
        <w:rPr>
          <w:rFonts w:ascii="Times New Roman" w:hAnsi="Times New Roman"/>
        </w:rPr>
        <w:t>Cílem této úpravy je zajistit správné přiřazení poskytnutého množství energie konkrétnímu subjektu zúčtování, který za předávací místo převzal odpovědnost za odchylku.</w:t>
      </w:r>
    </w:p>
    <w:p w14:paraId="04287075" w14:textId="432079A2" w:rsidR="003B3308" w:rsidRPr="003B3308" w:rsidRDefault="003B3308" w:rsidP="00422605">
      <w:pPr>
        <w:widowControl w:val="0"/>
        <w:autoSpaceDE w:val="0"/>
        <w:autoSpaceDN w:val="0"/>
        <w:adjustRightInd w:val="0"/>
        <w:spacing w:after="120" w:line="312" w:lineRule="auto"/>
        <w:jc w:val="both"/>
        <w:rPr>
          <w:rFonts w:ascii="Times New Roman" w:hAnsi="Times New Roman"/>
          <w:b/>
        </w:rPr>
      </w:pPr>
      <w:r w:rsidRPr="003B3308">
        <w:rPr>
          <w:rFonts w:ascii="Times New Roman" w:hAnsi="Times New Roman"/>
          <w:b/>
        </w:rPr>
        <w:t>K bodu 1</w:t>
      </w:r>
      <w:r w:rsidR="00931964">
        <w:rPr>
          <w:rFonts w:ascii="Times New Roman" w:hAnsi="Times New Roman"/>
          <w:b/>
        </w:rPr>
        <w:t>6</w:t>
      </w:r>
    </w:p>
    <w:p w14:paraId="769420A2" w14:textId="5C2B2454" w:rsidR="005E7585" w:rsidRDefault="003B3308"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Navrhovaná úprava § 16 odst. 4 cílí na úpravu postupu registrace odběrných míst a předávacích míst a přidělování identifikačních číselných kódů (EAN) u zákazníků s připojenou výrobnou elektřiny. Aktuální úpravy vychází z předpokladu, že tzv. výrobní EAN, na který se zaznamenávají data o dodávce elektřiny z výrobny elektřiny do elektrizační soustavy, lze přidělit pouze licencovanému subjektu (držiteli licence na výrobu elektřiny). Tento stav zcela neodpovídá současnému trendu na elektroenergetickém trhu</w:t>
      </w:r>
      <w:r w:rsidR="005E7585">
        <w:rPr>
          <w:rFonts w:ascii="Times New Roman" w:hAnsi="Times New Roman"/>
        </w:rPr>
        <w:t xml:space="preserve">, kdy v současnosti existují obchodní produkty (např. „virtuální baterie“), při jejichž využití může zákazník dodat vyrobenou elektřinu do distribuční soustavě, aniž by naplňoval znaky podnikání, a tedy není nutné získat licenci na výrobu elektřiny. </w:t>
      </w:r>
    </w:p>
    <w:p w14:paraId="7E1D821A" w14:textId="34B906C4" w:rsidR="005E7585" w:rsidRDefault="005E7585"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 xml:space="preserve">Aby bylo možné uplatnit tyto typy produktů u zákazníků s výrobnou </w:t>
      </w:r>
      <w:r w:rsidR="00753835">
        <w:rPr>
          <w:rFonts w:ascii="Times New Roman" w:hAnsi="Times New Roman"/>
        </w:rPr>
        <w:t>v režimu § 28 odst. 5 energetického zákona</w:t>
      </w:r>
      <w:r>
        <w:rPr>
          <w:rFonts w:ascii="Times New Roman" w:hAnsi="Times New Roman"/>
        </w:rPr>
        <w:t xml:space="preserve">, je nutné evidovat </w:t>
      </w:r>
      <w:r w:rsidR="005C5B51">
        <w:rPr>
          <w:rFonts w:ascii="Times New Roman" w:hAnsi="Times New Roman"/>
        </w:rPr>
        <w:t xml:space="preserve">a vyhodnocovat </w:t>
      </w:r>
      <w:r>
        <w:rPr>
          <w:rFonts w:ascii="Times New Roman" w:hAnsi="Times New Roman"/>
        </w:rPr>
        <w:t>množství dodávané elektřiny</w:t>
      </w:r>
      <w:r w:rsidR="005C5B51">
        <w:rPr>
          <w:rFonts w:ascii="Times New Roman" w:hAnsi="Times New Roman"/>
        </w:rPr>
        <w:t xml:space="preserve"> (tzv. „přetoku“, </w:t>
      </w:r>
      <w:r w:rsidR="006E007A">
        <w:rPr>
          <w:rFonts w:ascii="Times New Roman" w:hAnsi="Times New Roman"/>
        </w:rPr>
        <w:t>neboli</w:t>
      </w:r>
      <w:r w:rsidR="005C5B51">
        <w:rPr>
          <w:rFonts w:ascii="Times New Roman" w:hAnsi="Times New Roman"/>
        </w:rPr>
        <w:t xml:space="preserve"> vyrobené a nespotřebované elektřiny), která se eviduje na výrobním EAN.</w:t>
      </w:r>
    </w:p>
    <w:p w14:paraId="1B954638" w14:textId="71AD7CA6" w:rsidR="00931964" w:rsidRDefault="005E7585"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V praxi není reálné zajistit absolutně nulovou dodávku do distribuční soustavy</w:t>
      </w:r>
      <w:r w:rsidR="005C5B51">
        <w:rPr>
          <w:rFonts w:ascii="Times New Roman" w:hAnsi="Times New Roman"/>
        </w:rPr>
        <w:t xml:space="preserve"> ze strany zákazníků provozujících ve svém odběrném místě výrobnu elektřiny </w:t>
      </w:r>
      <w:r w:rsidR="00753835">
        <w:rPr>
          <w:rFonts w:ascii="Times New Roman" w:hAnsi="Times New Roman"/>
        </w:rPr>
        <w:t>v režimu § 28 odst. 5 energetického zákona</w:t>
      </w:r>
      <w:r w:rsidR="005C5B51">
        <w:rPr>
          <w:rFonts w:ascii="Times New Roman" w:hAnsi="Times New Roman"/>
        </w:rPr>
        <w:t>, jelikož časový souběh výroby a spotřeby v odběrném místě nemusí být závislý.</w:t>
      </w:r>
    </w:p>
    <w:p w14:paraId="6595CEC4" w14:textId="4C7BE9AD" w:rsidR="00931964" w:rsidRPr="003B3308" w:rsidRDefault="00931964"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V neposlední řadě dochází k úpravě výkonového limitu výrobny elektřiny, který se uvádí do souladu s platnou právní úpravou.</w:t>
      </w:r>
    </w:p>
    <w:p w14:paraId="41EC0F8A" w14:textId="2793D7E7" w:rsidR="007F1D14" w:rsidRDefault="005C5B51" w:rsidP="00422605">
      <w:pPr>
        <w:widowControl w:val="0"/>
        <w:autoSpaceDE w:val="0"/>
        <w:autoSpaceDN w:val="0"/>
        <w:adjustRightInd w:val="0"/>
        <w:spacing w:after="120" w:line="312" w:lineRule="auto"/>
        <w:jc w:val="both"/>
        <w:rPr>
          <w:rFonts w:ascii="Times New Roman" w:hAnsi="Times New Roman"/>
          <w:b/>
        </w:rPr>
      </w:pPr>
      <w:r>
        <w:rPr>
          <w:rFonts w:ascii="Times New Roman" w:hAnsi="Times New Roman"/>
          <w:b/>
        </w:rPr>
        <w:t>K bodu 1</w:t>
      </w:r>
      <w:r w:rsidR="00931964">
        <w:rPr>
          <w:rFonts w:ascii="Times New Roman" w:hAnsi="Times New Roman"/>
          <w:b/>
        </w:rPr>
        <w:t>7</w:t>
      </w:r>
    </w:p>
    <w:p w14:paraId="5E11A40C" w14:textId="0D9C98B5" w:rsidR="005C5B51" w:rsidRDefault="005C5B51"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 xml:space="preserve">Navrhovaná úprava § </w:t>
      </w:r>
      <w:proofErr w:type="gramStart"/>
      <w:r>
        <w:rPr>
          <w:rFonts w:ascii="Times New Roman" w:hAnsi="Times New Roman"/>
        </w:rPr>
        <w:t>16a</w:t>
      </w:r>
      <w:proofErr w:type="gramEnd"/>
      <w:r>
        <w:rPr>
          <w:rFonts w:ascii="Times New Roman" w:hAnsi="Times New Roman"/>
        </w:rPr>
        <w:t xml:space="preserve"> odst. 5 je legislativně technická úprava.</w:t>
      </w:r>
    </w:p>
    <w:p w14:paraId="4B9B02D6" w14:textId="6DCE8C76" w:rsidR="005C5B51" w:rsidRPr="005C5B51" w:rsidRDefault="005C5B51" w:rsidP="00422605">
      <w:pPr>
        <w:widowControl w:val="0"/>
        <w:autoSpaceDE w:val="0"/>
        <w:autoSpaceDN w:val="0"/>
        <w:adjustRightInd w:val="0"/>
        <w:spacing w:after="120" w:line="312" w:lineRule="auto"/>
        <w:jc w:val="both"/>
        <w:rPr>
          <w:rFonts w:ascii="Times New Roman" w:hAnsi="Times New Roman"/>
          <w:b/>
        </w:rPr>
      </w:pPr>
      <w:r w:rsidRPr="005C5B51">
        <w:rPr>
          <w:rFonts w:ascii="Times New Roman" w:hAnsi="Times New Roman"/>
          <w:b/>
        </w:rPr>
        <w:t>K bodu 1</w:t>
      </w:r>
      <w:r w:rsidR="00931964">
        <w:rPr>
          <w:rFonts w:ascii="Times New Roman" w:hAnsi="Times New Roman"/>
          <w:b/>
        </w:rPr>
        <w:t>8</w:t>
      </w:r>
    </w:p>
    <w:p w14:paraId="2CCEDD5E" w14:textId="61837AA5" w:rsidR="007F1D14" w:rsidRDefault="005C5B51"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 xml:space="preserve">Navrhovanou úpravou § </w:t>
      </w:r>
      <w:proofErr w:type="gramStart"/>
      <w:r>
        <w:rPr>
          <w:rFonts w:ascii="Times New Roman" w:hAnsi="Times New Roman"/>
        </w:rPr>
        <w:t>16a</w:t>
      </w:r>
      <w:proofErr w:type="gramEnd"/>
      <w:r>
        <w:rPr>
          <w:rFonts w:ascii="Times New Roman" w:hAnsi="Times New Roman"/>
        </w:rPr>
        <w:t xml:space="preserve"> nový odstavec 7 a 8 se zavádí registrace příznaku přidružené odběrné místo a příznaku vůdčí odběrné míst, ve kterém je připojena výrobna elektřiny</w:t>
      </w:r>
      <w:r w:rsidR="009F7FA4">
        <w:rPr>
          <w:rFonts w:ascii="Times New Roman" w:hAnsi="Times New Roman"/>
        </w:rPr>
        <w:t xml:space="preserve">. Cílem je zajistit identifikaci zákazníků v rámci bytového domu, </w:t>
      </w:r>
      <w:r w:rsidR="00A2077F">
        <w:rPr>
          <w:rFonts w:ascii="Times New Roman" w:hAnsi="Times New Roman"/>
        </w:rPr>
        <w:t>které jsou zahrnuty do vyhláškou nově zaváděné</w:t>
      </w:r>
      <w:r w:rsidR="004071FE">
        <w:rPr>
          <w:rFonts w:ascii="Times New Roman" w:hAnsi="Times New Roman"/>
        </w:rPr>
        <w:t xml:space="preserve"> </w:t>
      </w:r>
      <w:r w:rsidR="004071FE">
        <w:rPr>
          <w:rFonts w:ascii="Times New Roman" w:eastAsiaTheme="minorHAnsi" w:hAnsi="Times New Roman" w:cs="Times New Roman"/>
        </w:rPr>
        <w:t>specifické úpravy</w:t>
      </w:r>
      <w:r w:rsidR="004071FE" w:rsidRPr="003D7FBF">
        <w:rPr>
          <w:rFonts w:ascii="Times New Roman" w:eastAsiaTheme="minorHAnsi" w:hAnsi="Times New Roman" w:cs="Times New Roman"/>
        </w:rPr>
        <w:t xml:space="preserve"> </w:t>
      </w:r>
      <w:r w:rsidR="004071FE" w:rsidRPr="00AD484D">
        <w:rPr>
          <w:rFonts w:ascii="Times New Roman" w:eastAsiaTheme="minorHAnsi" w:hAnsi="Times New Roman" w:cs="Times New Roman"/>
        </w:rPr>
        <w:t xml:space="preserve">předávání údajů pro </w:t>
      </w:r>
      <w:r w:rsidR="004071FE">
        <w:rPr>
          <w:rFonts w:ascii="Times New Roman" w:eastAsiaTheme="minorHAnsi" w:hAnsi="Times New Roman" w:cs="Times New Roman"/>
        </w:rPr>
        <w:t>vyhodnocování</w:t>
      </w:r>
      <w:r w:rsidR="004071FE" w:rsidRPr="00E27173">
        <w:rPr>
          <w:rFonts w:ascii="Times New Roman" w:eastAsiaTheme="minorHAnsi" w:hAnsi="Times New Roman" w:cs="Times New Roman"/>
        </w:rPr>
        <w:t xml:space="preserve"> </w:t>
      </w:r>
      <w:r w:rsidR="004071FE">
        <w:rPr>
          <w:rFonts w:ascii="Times New Roman" w:eastAsiaTheme="minorHAnsi" w:hAnsi="Times New Roman" w:cs="Times New Roman"/>
        </w:rPr>
        <w:t>(</w:t>
      </w:r>
      <w:r w:rsidR="004071FE" w:rsidRPr="00E27173">
        <w:rPr>
          <w:rFonts w:ascii="Times New Roman" w:eastAsiaTheme="minorHAnsi" w:hAnsi="Times New Roman" w:cs="Times New Roman"/>
        </w:rPr>
        <w:t>zúčtování</w:t>
      </w:r>
      <w:r w:rsidR="004071FE">
        <w:rPr>
          <w:rFonts w:ascii="Times New Roman" w:eastAsiaTheme="minorHAnsi" w:hAnsi="Times New Roman" w:cs="Times New Roman"/>
        </w:rPr>
        <w:t>)</w:t>
      </w:r>
      <w:r w:rsidR="004071FE" w:rsidRPr="00E27173">
        <w:rPr>
          <w:rFonts w:ascii="Times New Roman" w:eastAsiaTheme="minorHAnsi" w:hAnsi="Times New Roman" w:cs="Times New Roman"/>
        </w:rPr>
        <w:t xml:space="preserve"> odchylek a pro vyúčtování </w:t>
      </w:r>
      <w:r w:rsidR="004071FE">
        <w:rPr>
          <w:rFonts w:ascii="Times New Roman" w:eastAsiaTheme="minorHAnsi" w:hAnsi="Times New Roman" w:cs="Times New Roman"/>
        </w:rPr>
        <w:t>elektřiny</w:t>
      </w:r>
      <w:r w:rsidR="004071FE" w:rsidRPr="00E27173">
        <w:rPr>
          <w:rFonts w:ascii="Times New Roman" w:eastAsiaTheme="minorHAnsi" w:hAnsi="Times New Roman" w:cs="Times New Roman"/>
        </w:rPr>
        <w:t xml:space="preserve"> zohled</w:t>
      </w:r>
      <w:r w:rsidR="004071FE">
        <w:rPr>
          <w:rFonts w:ascii="Times New Roman" w:eastAsiaTheme="minorHAnsi" w:hAnsi="Times New Roman" w:cs="Times New Roman"/>
        </w:rPr>
        <w:t>ňující</w:t>
      </w:r>
      <w:r w:rsidR="004071FE" w:rsidRPr="00E27173">
        <w:rPr>
          <w:rFonts w:ascii="Times New Roman" w:eastAsiaTheme="minorHAnsi" w:hAnsi="Times New Roman" w:cs="Times New Roman"/>
        </w:rPr>
        <w:t xml:space="preserve"> </w:t>
      </w:r>
      <w:r w:rsidR="004071FE">
        <w:rPr>
          <w:rFonts w:ascii="Times New Roman" w:eastAsiaTheme="minorHAnsi" w:hAnsi="Times New Roman" w:cs="Times New Roman"/>
        </w:rPr>
        <w:t xml:space="preserve">pro předávací místa odběrného místa </w:t>
      </w:r>
      <w:r w:rsidR="004071FE" w:rsidRPr="00E27173">
        <w:rPr>
          <w:rFonts w:ascii="Times New Roman" w:eastAsiaTheme="minorHAnsi" w:hAnsi="Times New Roman" w:cs="Times New Roman"/>
        </w:rPr>
        <w:t>množství elektřiny vyrobené v</w:t>
      </w:r>
      <w:r w:rsidR="004071FE">
        <w:rPr>
          <w:rFonts w:ascii="Times New Roman" w:eastAsiaTheme="minorHAnsi" w:hAnsi="Times New Roman" w:cs="Times New Roman"/>
        </w:rPr>
        <w:t> </w:t>
      </w:r>
      <w:r w:rsidR="004071FE" w:rsidRPr="00E27173">
        <w:rPr>
          <w:rFonts w:ascii="Times New Roman" w:eastAsiaTheme="minorHAnsi" w:hAnsi="Times New Roman" w:cs="Times New Roman"/>
        </w:rPr>
        <w:t>rámci</w:t>
      </w:r>
      <w:r w:rsidR="004071FE">
        <w:rPr>
          <w:rFonts w:ascii="Times New Roman" w:eastAsiaTheme="minorHAnsi" w:hAnsi="Times New Roman" w:cs="Times New Roman"/>
        </w:rPr>
        <w:t xml:space="preserve"> téhož</w:t>
      </w:r>
      <w:r w:rsidR="004071FE" w:rsidRPr="00E27173">
        <w:rPr>
          <w:rFonts w:ascii="Times New Roman" w:eastAsiaTheme="minorHAnsi" w:hAnsi="Times New Roman" w:cs="Times New Roman"/>
        </w:rPr>
        <w:t xml:space="preserve"> bytového domu ve výrobně elektřiny</w:t>
      </w:r>
      <w:r w:rsidR="004071FE">
        <w:rPr>
          <w:rFonts w:ascii="Times New Roman" w:eastAsiaTheme="minorHAnsi" w:hAnsi="Times New Roman" w:cs="Times New Roman"/>
        </w:rPr>
        <w:t>.</w:t>
      </w:r>
    </w:p>
    <w:p w14:paraId="11A9E652" w14:textId="3DF59515" w:rsidR="00931964" w:rsidRDefault="00931964"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lastRenderedPageBreak/>
        <w:t>V neposlední řadě dochází k úpravě výkonového limitu výrobny elektřiny, který se uvádí do souladu s platnou právní úpravou.</w:t>
      </w:r>
    </w:p>
    <w:p w14:paraId="13AD7A18" w14:textId="29024288" w:rsidR="009F7FA4" w:rsidRPr="009F7FA4" w:rsidRDefault="009F7FA4" w:rsidP="00422605">
      <w:pPr>
        <w:widowControl w:val="0"/>
        <w:autoSpaceDE w:val="0"/>
        <w:autoSpaceDN w:val="0"/>
        <w:adjustRightInd w:val="0"/>
        <w:spacing w:after="120" w:line="312" w:lineRule="auto"/>
        <w:jc w:val="both"/>
        <w:rPr>
          <w:rFonts w:ascii="Times New Roman" w:hAnsi="Times New Roman"/>
          <w:b/>
        </w:rPr>
      </w:pPr>
      <w:r w:rsidRPr="009F7FA4">
        <w:rPr>
          <w:rFonts w:ascii="Times New Roman" w:hAnsi="Times New Roman"/>
          <w:b/>
        </w:rPr>
        <w:t>K bodu 1</w:t>
      </w:r>
      <w:r w:rsidR="00931964">
        <w:rPr>
          <w:rFonts w:ascii="Times New Roman" w:hAnsi="Times New Roman"/>
          <w:b/>
        </w:rPr>
        <w:t>9</w:t>
      </w:r>
    </w:p>
    <w:p w14:paraId="25391083" w14:textId="0046F6E0" w:rsidR="009F7FA4" w:rsidRDefault="009F7FA4"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 xml:space="preserve">Navrhovanou úpravou § </w:t>
      </w:r>
      <w:proofErr w:type="gramStart"/>
      <w:r>
        <w:rPr>
          <w:rFonts w:ascii="Times New Roman" w:hAnsi="Times New Roman"/>
        </w:rPr>
        <w:t>16b</w:t>
      </w:r>
      <w:proofErr w:type="gramEnd"/>
      <w:r>
        <w:rPr>
          <w:rFonts w:ascii="Times New Roman" w:hAnsi="Times New Roman"/>
        </w:rPr>
        <w:t xml:space="preserve"> nový odstavec 4 se zavádí registrace příznaku vůdčí odběrné míst, ve kterém je připojena výrobna elektřiny</w:t>
      </w:r>
      <w:r w:rsidR="008F715D">
        <w:rPr>
          <w:rFonts w:ascii="Times New Roman" w:hAnsi="Times New Roman"/>
        </w:rPr>
        <w:t>, která je provozována na základě licence na výrobu elektřiny</w:t>
      </w:r>
      <w:r>
        <w:rPr>
          <w:rFonts w:ascii="Times New Roman" w:hAnsi="Times New Roman"/>
        </w:rPr>
        <w:t xml:space="preserve">. Cílem je zajistit identifikaci zákazníků v rámci bytového domu, </w:t>
      </w:r>
      <w:r w:rsidR="00A2077F">
        <w:rPr>
          <w:rFonts w:ascii="Times New Roman" w:hAnsi="Times New Roman"/>
        </w:rPr>
        <w:t>které jsou zahrnuty do vyhláškou nově zaváděného specifického systému předávání údajů</w:t>
      </w:r>
      <w:r>
        <w:rPr>
          <w:rFonts w:ascii="Times New Roman" w:hAnsi="Times New Roman"/>
        </w:rPr>
        <w:t>.</w:t>
      </w:r>
    </w:p>
    <w:p w14:paraId="6E864C8D" w14:textId="7DD3DD97" w:rsidR="008F715D" w:rsidRDefault="008F715D" w:rsidP="00422605">
      <w:pPr>
        <w:widowControl w:val="0"/>
        <w:autoSpaceDE w:val="0"/>
        <w:autoSpaceDN w:val="0"/>
        <w:adjustRightInd w:val="0"/>
        <w:spacing w:after="120" w:line="312" w:lineRule="auto"/>
        <w:jc w:val="both"/>
        <w:rPr>
          <w:rFonts w:ascii="Times New Roman" w:hAnsi="Times New Roman"/>
          <w:b/>
        </w:rPr>
      </w:pPr>
      <w:r>
        <w:rPr>
          <w:rFonts w:ascii="Times New Roman" w:hAnsi="Times New Roman"/>
          <w:b/>
        </w:rPr>
        <w:t xml:space="preserve">K bodu </w:t>
      </w:r>
      <w:r w:rsidR="00347D43">
        <w:rPr>
          <w:rFonts w:ascii="Times New Roman" w:hAnsi="Times New Roman"/>
          <w:b/>
        </w:rPr>
        <w:t>20</w:t>
      </w:r>
    </w:p>
    <w:p w14:paraId="755506EE" w14:textId="3893D96E" w:rsidR="008F715D" w:rsidRDefault="008F715D"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Navrhovaná úprava § 16c odst. 4 je legislativně technickou úpravou. Navrhovanou úpravou se upřesňuje textové znění ustanovení.</w:t>
      </w:r>
    </w:p>
    <w:p w14:paraId="6C053DE4" w14:textId="2AFD4739" w:rsidR="00347D43" w:rsidRPr="00347D43" w:rsidRDefault="00347D43" w:rsidP="00422605">
      <w:pPr>
        <w:widowControl w:val="0"/>
        <w:autoSpaceDE w:val="0"/>
        <w:autoSpaceDN w:val="0"/>
        <w:adjustRightInd w:val="0"/>
        <w:spacing w:after="120" w:line="312" w:lineRule="auto"/>
        <w:jc w:val="both"/>
        <w:rPr>
          <w:rFonts w:ascii="Times New Roman" w:hAnsi="Times New Roman"/>
          <w:b/>
        </w:rPr>
      </w:pPr>
      <w:r w:rsidRPr="00347D43">
        <w:rPr>
          <w:rFonts w:ascii="Times New Roman" w:hAnsi="Times New Roman"/>
          <w:b/>
        </w:rPr>
        <w:t>K bodu 21</w:t>
      </w:r>
    </w:p>
    <w:p w14:paraId="1028EAE6" w14:textId="43E8E81C" w:rsidR="009F7FA4" w:rsidRDefault="009672DC"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 xml:space="preserve">Navrhovaná úpravy § 18 odst. 2 navazuje na úpravy provedené v § </w:t>
      </w:r>
      <w:proofErr w:type="gramStart"/>
      <w:r>
        <w:rPr>
          <w:rFonts w:ascii="Times New Roman" w:hAnsi="Times New Roman"/>
        </w:rPr>
        <w:t>16a</w:t>
      </w:r>
      <w:proofErr w:type="gramEnd"/>
      <w:r>
        <w:rPr>
          <w:rFonts w:ascii="Times New Roman" w:hAnsi="Times New Roman"/>
        </w:rPr>
        <w:t xml:space="preserve"> odst. 4 (viz bod 15). Navrhovanou úpravou se narovnávají podmínky mezi účastníky trhu, kdy zákazníci, kterým byl přidělen výrobní EAN mají možnost zajistit dva subjekty zúčtování, přičemž jeden je odpovědný za odchylku v případě odběru elektřiny z distribuční soustavy a druhý je odpovědný za odchylku v případě dodávky vyrobené elektřina do distribuční soustavy. Tito zákazníci provozující výrobnu elektřiny </w:t>
      </w:r>
      <w:r w:rsidR="008A5417">
        <w:rPr>
          <w:rFonts w:ascii="Times New Roman" w:hAnsi="Times New Roman"/>
        </w:rPr>
        <w:t>v režimu § 28 odst. 5 energetického zákona</w:t>
      </w:r>
      <w:r>
        <w:rPr>
          <w:rFonts w:ascii="Times New Roman" w:hAnsi="Times New Roman"/>
        </w:rPr>
        <w:t xml:space="preserve"> se stávají nezávislými na stávajících obchodnících a mohou vyrobenou elektřinu, která nebyla v odběrném místě spotřebována uplatnit u jiného obchodníka.</w:t>
      </w:r>
    </w:p>
    <w:p w14:paraId="67EABF05" w14:textId="0A313FE9" w:rsidR="009672DC" w:rsidRPr="009672DC" w:rsidRDefault="009672DC" w:rsidP="00422605">
      <w:pPr>
        <w:widowControl w:val="0"/>
        <w:autoSpaceDE w:val="0"/>
        <w:autoSpaceDN w:val="0"/>
        <w:adjustRightInd w:val="0"/>
        <w:spacing w:after="120" w:line="312" w:lineRule="auto"/>
        <w:jc w:val="both"/>
        <w:rPr>
          <w:rFonts w:ascii="Times New Roman" w:hAnsi="Times New Roman"/>
          <w:b/>
        </w:rPr>
      </w:pPr>
      <w:r w:rsidRPr="009672DC">
        <w:rPr>
          <w:rFonts w:ascii="Times New Roman" w:hAnsi="Times New Roman"/>
          <w:b/>
        </w:rPr>
        <w:t>K bodu 2</w:t>
      </w:r>
      <w:r w:rsidR="00347D43">
        <w:rPr>
          <w:rFonts w:ascii="Times New Roman" w:hAnsi="Times New Roman"/>
          <w:b/>
        </w:rPr>
        <w:t>2</w:t>
      </w:r>
    </w:p>
    <w:p w14:paraId="772C554C" w14:textId="2082B2A3" w:rsidR="009F7FA4" w:rsidRDefault="009672DC"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Navrhovanou úpravou § 18 odst. 5 se zajistí informační povinnost operátorem trhu, který informuje dotčené účastníky trhu o změnách v konkrétním odběrném místě, u kterého proběhla změna dodavatele nebo subjektu zúčtování. Operátor trhu informuje dotčené účastníky trhu o těchto změnách v den zahájení dodávky.</w:t>
      </w:r>
    </w:p>
    <w:p w14:paraId="510BDACD" w14:textId="22276CAC" w:rsidR="009672DC" w:rsidRDefault="009672DC"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Navrhovanou úpravou se zajistí informovanost</w:t>
      </w:r>
      <w:r w:rsidR="002E407C">
        <w:rPr>
          <w:rFonts w:ascii="Times New Roman" w:hAnsi="Times New Roman"/>
        </w:rPr>
        <w:t xml:space="preserve"> účastníků trhu o proběhlých změnách.</w:t>
      </w:r>
    </w:p>
    <w:p w14:paraId="49F069CF" w14:textId="27E44A4E" w:rsidR="009F7FA4" w:rsidRDefault="002E407C" w:rsidP="00422605">
      <w:pPr>
        <w:widowControl w:val="0"/>
        <w:autoSpaceDE w:val="0"/>
        <w:autoSpaceDN w:val="0"/>
        <w:adjustRightInd w:val="0"/>
        <w:spacing w:after="120" w:line="312" w:lineRule="auto"/>
        <w:jc w:val="both"/>
        <w:rPr>
          <w:rFonts w:ascii="Times New Roman" w:hAnsi="Times New Roman"/>
          <w:b/>
        </w:rPr>
      </w:pPr>
      <w:r>
        <w:rPr>
          <w:rFonts w:ascii="Times New Roman" w:hAnsi="Times New Roman"/>
          <w:b/>
        </w:rPr>
        <w:t>K bodu 2</w:t>
      </w:r>
      <w:r w:rsidR="0057014B">
        <w:rPr>
          <w:rFonts w:ascii="Times New Roman" w:hAnsi="Times New Roman"/>
          <w:b/>
        </w:rPr>
        <w:t>3</w:t>
      </w:r>
    </w:p>
    <w:p w14:paraId="44B4847D" w14:textId="455BA431" w:rsidR="002E407C" w:rsidRDefault="00933479" w:rsidP="00422605">
      <w:pPr>
        <w:widowControl w:val="0"/>
        <w:autoSpaceDE w:val="0"/>
        <w:autoSpaceDN w:val="0"/>
        <w:adjustRightInd w:val="0"/>
        <w:spacing w:after="120" w:line="312" w:lineRule="auto"/>
        <w:jc w:val="both"/>
        <w:rPr>
          <w:rFonts w:ascii="Times New Roman" w:hAnsi="Times New Roman"/>
        </w:rPr>
      </w:pPr>
      <w:r w:rsidRPr="00933479">
        <w:rPr>
          <w:rFonts w:ascii="Times New Roman" w:hAnsi="Times New Roman"/>
        </w:rPr>
        <w:t xml:space="preserve">Pro zajištění realizace dodávky dodavatele poslední instance podle § 12 odst. 2 energetického zákona a zabezpečení informační povinnosti podle § 12c odst. 2 energetického zákona a následnou aplikaci § 58 a </w:t>
      </w:r>
      <w:r w:rsidR="004E2FC2">
        <w:rPr>
          <w:rFonts w:ascii="Times New Roman" w:hAnsi="Times New Roman"/>
        </w:rPr>
        <w:t xml:space="preserve">§ </w:t>
      </w:r>
      <w:r w:rsidRPr="00933479">
        <w:rPr>
          <w:rFonts w:ascii="Times New Roman" w:hAnsi="Times New Roman"/>
        </w:rPr>
        <w:t xml:space="preserve">59 vyhlášky je možné využít i pravidla § </w:t>
      </w:r>
      <w:proofErr w:type="gramStart"/>
      <w:r w:rsidRPr="00933479">
        <w:rPr>
          <w:rFonts w:ascii="Times New Roman" w:hAnsi="Times New Roman"/>
        </w:rPr>
        <w:t>18a</w:t>
      </w:r>
      <w:proofErr w:type="gramEnd"/>
      <w:r w:rsidRPr="00933479">
        <w:rPr>
          <w:rFonts w:ascii="Times New Roman" w:hAnsi="Times New Roman"/>
        </w:rPr>
        <w:t xml:space="preserve"> související s informační povinností OTE ohledně ukončení zajištění odpovědnosti za odchylku v IS OTE, pokud v konečném důsledku dochází k naplnění § 12a odst. 2 písm. b) energetického zákona. </w:t>
      </w:r>
      <w:r>
        <w:rPr>
          <w:rFonts w:ascii="Times New Roman" w:hAnsi="Times New Roman"/>
        </w:rPr>
        <w:t>Úprava vychází z energetického zákona, který vymezuje, že v případě</w:t>
      </w:r>
      <w:r w:rsidR="002E407C">
        <w:rPr>
          <w:rFonts w:ascii="Times New Roman" w:hAnsi="Times New Roman"/>
        </w:rPr>
        <w:t>, kdy v odběrném místě, předávacím místě výrobny elektřiny nebo místa určeného ke krytí ztrát provozovatele soustavy s přenesenou odpovědností za odchylku došlo k ukončení zajištění odpovědnosti za odchylku</w:t>
      </w:r>
      <w:r w:rsidR="0090073A">
        <w:rPr>
          <w:rFonts w:ascii="Times New Roman" w:hAnsi="Times New Roman"/>
        </w:rPr>
        <w:t xml:space="preserve">, </w:t>
      </w:r>
      <w:r w:rsidR="002E407C">
        <w:rPr>
          <w:rFonts w:ascii="Times New Roman" w:hAnsi="Times New Roman"/>
        </w:rPr>
        <w:t xml:space="preserve">přebírá </w:t>
      </w:r>
      <w:r w:rsidR="0090073A">
        <w:rPr>
          <w:rFonts w:ascii="Times New Roman" w:hAnsi="Times New Roman"/>
        </w:rPr>
        <w:t xml:space="preserve">odpovědnost za odchylku </w:t>
      </w:r>
      <w:r w:rsidR="002E407C">
        <w:rPr>
          <w:rFonts w:ascii="Times New Roman" w:hAnsi="Times New Roman"/>
        </w:rPr>
        <w:t xml:space="preserve">dodavatel, který se zavázal u odběrného místa zákazníka, předávacího místa výrobny elektřiny nebo místa určeného ke krytí ztrát provozovatele soustavy, že převezme odpovědnost za odchylku. </w:t>
      </w:r>
    </w:p>
    <w:p w14:paraId="45FB1B73" w14:textId="67B6D586" w:rsidR="00BD1F5A" w:rsidRPr="00BD1F5A" w:rsidRDefault="00BD1F5A" w:rsidP="00422605">
      <w:pPr>
        <w:widowControl w:val="0"/>
        <w:autoSpaceDE w:val="0"/>
        <w:autoSpaceDN w:val="0"/>
        <w:adjustRightInd w:val="0"/>
        <w:spacing w:after="120" w:line="312" w:lineRule="auto"/>
        <w:jc w:val="both"/>
        <w:rPr>
          <w:rFonts w:ascii="Times New Roman" w:hAnsi="Times New Roman"/>
          <w:b/>
        </w:rPr>
      </w:pPr>
      <w:r w:rsidRPr="00BD1F5A">
        <w:rPr>
          <w:rFonts w:ascii="Times New Roman" w:hAnsi="Times New Roman"/>
          <w:b/>
        </w:rPr>
        <w:t>K bodu 2</w:t>
      </w:r>
      <w:r w:rsidR="0057014B">
        <w:rPr>
          <w:rFonts w:ascii="Times New Roman" w:hAnsi="Times New Roman"/>
          <w:b/>
        </w:rPr>
        <w:t>4</w:t>
      </w:r>
    </w:p>
    <w:p w14:paraId="5F09892F" w14:textId="6C2A5AD5" w:rsidR="009F7FA4" w:rsidRDefault="00BD1F5A"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 xml:space="preserve">Navrhovanou úpravou § </w:t>
      </w:r>
      <w:proofErr w:type="gramStart"/>
      <w:r>
        <w:rPr>
          <w:rFonts w:ascii="Times New Roman" w:hAnsi="Times New Roman"/>
        </w:rPr>
        <w:t>18a</w:t>
      </w:r>
      <w:proofErr w:type="gramEnd"/>
      <w:r>
        <w:rPr>
          <w:rFonts w:ascii="Times New Roman" w:hAnsi="Times New Roman"/>
        </w:rPr>
        <w:t xml:space="preserve"> odst. 2 se ruší celé ustanovení z důvodu přeformulování textového znění </w:t>
      </w:r>
      <w:r>
        <w:rPr>
          <w:rFonts w:ascii="Times New Roman" w:hAnsi="Times New Roman"/>
        </w:rPr>
        <w:lastRenderedPageBreak/>
        <w:t xml:space="preserve">§ 18a odst. 1 (viz bod </w:t>
      </w:r>
      <w:r w:rsidR="004E2FC2">
        <w:rPr>
          <w:rFonts w:ascii="Times New Roman" w:hAnsi="Times New Roman"/>
        </w:rPr>
        <w:t>24</w:t>
      </w:r>
      <w:r>
        <w:rPr>
          <w:rFonts w:ascii="Times New Roman" w:hAnsi="Times New Roman"/>
        </w:rPr>
        <w:t>).</w:t>
      </w:r>
    </w:p>
    <w:p w14:paraId="7C3E4C8A" w14:textId="2FEB7F76" w:rsidR="00BD1F5A" w:rsidRPr="00BD1F5A" w:rsidRDefault="00BD1F5A" w:rsidP="00422605">
      <w:pPr>
        <w:widowControl w:val="0"/>
        <w:autoSpaceDE w:val="0"/>
        <w:autoSpaceDN w:val="0"/>
        <w:adjustRightInd w:val="0"/>
        <w:spacing w:after="120" w:line="312" w:lineRule="auto"/>
        <w:jc w:val="both"/>
        <w:rPr>
          <w:rFonts w:ascii="Times New Roman" w:hAnsi="Times New Roman"/>
          <w:b/>
        </w:rPr>
      </w:pPr>
      <w:r w:rsidRPr="00BD1F5A">
        <w:rPr>
          <w:rFonts w:ascii="Times New Roman" w:hAnsi="Times New Roman"/>
          <w:b/>
        </w:rPr>
        <w:t>K bodu 2</w:t>
      </w:r>
      <w:r w:rsidR="0057014B">
        <w:rPr>
          <w:rFonts w:ascii="Times New Roman" w:hAnsi="Times New Roman"/>
          <w:b/>
        </w:rPr>
        <w:t>5</w:t>
      </w:r>
    </w:p>
    <w:p w14:paraId="4619B9B6" w14:textId="39456385" w:rsidR="009F7FA4" w:rsidRDefault="006A3011"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Z</w:t>
      </w:r>
      <w:r w:rsidR="00AA2117">
        <w:rPr>
          <w:rFonts w:ascii="Times New Roman" w:hAnsi="Times New Roman"/>
        </w:rPr>
        <w:t xml:space="preserve">avádí </w:t>
      </w:r>
      <w:r>
        <w:rPr>
          <w:rFonts w:ascii="Times New Roman" w:hAnsi="Times New Roman"/>
        </w:rPr>
        <w:t xml:space="preserve">se </w:t>
      </w:r>
      <w:r w:rsidR="00AA2117">
        <w:rPr>
          <w:rFonts w:ascii="Times New Roman" w:hAnsi="Times New Roman"/>
        </w:rPr>
        <w:t xml:space="preserve">nový </w:t>
      </w:r>
      <w:r w:rsidR="00BD1F5A">
        <w:rPr>
          <w:rFonts w:ascii="Times New Roman" w:hAnsi="Times New Roman"/>
        </w:rPr>
        <w:t xml:space="preserve">§ </w:t>
      </w:r>
      <w:proofErr w:type="gramStart"/>
      <w:r w:rsidR="00BD1F5A">
        <w:rPr>
          <w:rFonts w:ascii="Times New Roman" w:hAnsi="Times New Roman"/>
        </w:rPr>
        <w:t>20</w:t>
      </w:r>
      <w:r w:rsidR="00AA2117">
        <w:rPr>
          <w:rFonts w:ascii="Times New Roman" w:hAnsi="Times New Roman"/>
        </w:rPr>
        <w:t>a</w:t>
      </w:r>
      <w:proofErr w:type="gramEnd"/>
      <w:r w:rsidR="00AA2117">
        <w:rPr>
          <w:rFonts w:ascii="Times New Roman" w:hAnsi="Times New Roman"/>
        </w:rPr>
        <w:t>, který</w:t>
      </w:r>
      <w:r w:rsidR="00BD1F5A">
        <w:rPr>
          <w:rFonts w:ascii="Times New Roman" w:hAnsi="Times New Roman"/>
        </w:rPr>
        <w:t xml:space="preserve"> reaguje na úpravy spojené </w:t>
      </w:r>
      <w:r w:rsidR="00D31F6C">
        <w:rPr>
          <w:rFonts w:ascii="Times New Roman" w:hAnsi="Times New Roman"/>
        </w:rPr>
        <w:t xml:space="preserve">se zavedením </w:t>
      </w:r>
      <w:r w:rsidR="008F55A9">
        <w:rPr>
          <w:rFonts w:ascii="Times New Roman" w:eastAsiaTheme="minorHAnsi" w:hAnsi="Times New Roman" w:cs="Times New Roman"/>
        </w:rPr>
        <w:t>specifické úpravy</w:t>
      </w:r>
      <w:r w:rsidR="008F55A9" w:rsidRPr="003D7FBF">
        <w:rPr>
          <w:rFonts w:ascii="Times New Roman" w:eastAsiaTheme="minorHAnsi" w:hAnsi="Times New Roman" w:cs="Times New Roman"/>
        </w:rPr>
        <w:t xml:space="preserve"> </w:t>
      </w:r>
      <w:r w:rsidR="008F55A9" w:rsidRPr="00AD484D">
        <w:rPr>
          <w:rFonts w:ascii="Times New Roman" w:eastAsiaTheme="minorHAnsi" w:hAnsi="Times New Roman" w:cs="Times New Roman"/>
        </w:rPr>
        <w:t xml:space="preserve">předávání údajů pro </w:t>
      </w:r>
      <w:r w:rsidR="008F55A9">
        <w:rPr>
          <w:rFonts w:ascii="Times New Roman" w:eastAsiaTheme="minorHAnsi" w:hAnsi="Times New Roman" w:cs="Times New Roman"/>
        </w:rPr>
        <w:t>vyhodnocování</w:t>
      </w:r>
      <w:r w:rsidR="008F55A9" w:rsidRPr="00E27173">
        <w:rPr>
          <w:rFonts w:ascii="Times New Roman" w:eastAsiaTheme="minorHAnsi" w:hAnsi="Times New Roman" w:cs="Times New Roman"/>
        </w:rPr>
        <w:t xml:space="preserve"> </w:t>
      </w:r>
      <w:r w:rsidR="008F55A9">
        <w:rPr>
          <w:rFonts w:ascii="Times New Roman" w:eastAsiaTheme="minorHAnsi" w:hAnsi="Times New Roman" w:cs="Times New Roman"/>
        </w:rPr>
        <w:t>(</w:t>
      </w:r>
      <w:r w:rsidR="008F55A9" w:rsidRPr="00E27173">
        <w:rPr>
          <w:rFonts w:ascii="Times New Roman" w:eastAsiaTheme="minorHAnsi" w:hAnsi="Times New Roman" w:cs="Times New Roman"/>
        </w:rPr>
        <w:t>zúčtování</w:t>
      </w:r>
      <w:r w:rsidR="008F55A9">
        <w:rPr>
          <w:rFonts w:ascii="Times New Roman" w:eastAsiaTheme="minorHAnsi" w:hAnsi="Times New Roman" w:cs="Times New Roman"/>
        </w:rPr>
        <w:t>)</w:t>
      </w:r>
      <w:r w:rsidR="008F55A9" w:rsidRPr="00E27173">
        <w:rPr>
          <w:rFonts w:ascii="Times New Roman" w:eastAsiaTheme="minorHAnsi" w:hAnsi="Times New Roman" w:cs="Times New Roman"/>
        </w:rPr>
        <w:t xml:space="preserve"> odchylek a pro vyúčtování </w:t>
      </w:r>
      <w:r w:rsidR="008F55A9">
        <w:rPr>
          <w:rFonts w:ascii="Times New Roman" w:eastAsiaTheme="minorHAnsi" w:hAnsi="Times New Roman" w:cs="Times New Roman"/>
        </w:rPr>
        <w:t>elektřiny</w:t>
      </w:r>
      <w:r w:rsidR="008F55A9" w:rsidRPr="00E27173">
        <w:rPr>
          <w:rFonts w:ascii="Times New Roman" w:eastAsiaTheme="minorHAnsi" w:hAnsi="Times New Roman" w:cs="Times New Roman"/>
        </w:rPr>
        <w:t xml:space="preserve"> zohled</w:t>
      </w:r>
      <w:r w:rsidR="008F55A9">
        <w:rPr>
          <w:rFonts w:ascii="Times New Roman" w:eastAsiaTheme="minorHAnsi" w:hAnsi="Times New Roman" w:cs="Times New Roman"/>
        </w:rPr>
        <w:t>ňující</w:t>
      </w:r>
      <w:r w:rsidR="008F55A9" w:rsidRPr="00E27173">
        <w:rPr>
          <w:rFonts w:ascii="Times New Roman" w:eastAsiaTheme="minorHAnsi" w:hAnsi="Times New Roman" w:cs="Times New Roman"/>
        </w:rPr>
        <w:t xml:space="preserve"> </w:t>
      </w:r>
      <w:r w:rsidR="008F55A9">
        <w:rPr>
          <w:rFonts w:ascii="Times New Roman" w:eastAsiaTheme="minorHAnsi" w:hAnsi="Times New Roman" w:cs="Times New Roman"/>
        </w:rPr>
        <w:t xml:space="preserve">pro předávací místa odběrného místa </w:t>
      </w:r>
      <w:r w:rsidR="008F55A9" w:rsidRPr="00E27173">
        <w:rPr>
          <w:rFonts w:ascii="Times New Roman" w:eastAsiaTheme="minorHAnsi" w:hAnsi="Times New Roman" w:cs="Times New Roman"/>
        </w:rPr>
        <w:t>množství elektřiny vyrobené v</w:t>
      </w:r>
      <w:r w:rsidR="008F55A9">
        <w:rPr>
          <w:rFonts w:ascii="Times New Roman" w:eastAsiaTheme="minorHAnsi" w:hAnsi="Times New Roman" w:cs="Times New Roman"/>
        </w:rPr>
        <w:t> </w:t>
      </w:r>
      <w:r w:rsidR="008F55A9" w:rsidRPr="00E27173">
        <w:rPr>
          <w:rFonts w:ascii="Times New Roman" w:eastAsiaTheme="minorHAnsi" w:hAnsi="Times New Roman" w:cs="Times New Roman"/>
        </w:rPr>
        <w:t>rámci</w:t>
      </w:r>
      <w:r w:rsidR="008F55A9">
        <w:rPr>
          <w:rFonts w:ascii="Times New Roman" w:eastAsiaTheme="minorHAnsi" w:hAnsi="Times New Roman" w:cs="Times New Roman"/>
        </w:rPr>
        <w:t xml:space="preserve"> téhož</w:t>
      </w:r>
      <w:r w:rsidR="008F55A9" w:rsidRPr="00E27173">
        <w:rPr>
          <w:rFonts w:ascii="Times New Roman" w:eastAsiaTheme="minorHAnsi" w:hAnsi="Times New Roman" w:cs="Times New Roman"/>
        </w:rPr>
        <w:t xml:space="preserve"> bytového domu ve výrobně elektřiny</w:t>
      </w:r>
      <w:r w:rsidR="007A1F92">
        <w:rPr>
          <w:rFonts w:ascii="Times New Roman" w:eastAsiaTheme="minorHAnsi" w:hAnsi="Times New Roman" w:cs="Times New Roman"/>
        </w:rPr>
        <w:t>. Navrhovan</w:t>
      </w:r>
      <w:r>
        <w:rPr>
          <w:rFonts w:ascii="Times New Roman" w:eastAsiaTheme="minorHAnsi" w:hAnsi="Times New Roman" w:cs="Times New Roman"/>
        </w:rPr>
        <w:t>á</w:t>
      </w:r>
      <w:r w:rsidR="007A1F92">
        <w:rPr>
          <w:rFonts w:ascii="Times New Roman" w:eastAsiaTheme="minorHAnsi" w:hAnsi="Times New Roman" w:cs="Times New Roman"/>
        </w:rPr>
        <w:t xml:space="preserve"> úprav</w:t>
      </w:r>
      <w:r>
        <w:rPr>
          <w:rFonts w:ascii="Times New Roman" w:eastAsiaTheme="minorHAnsi" w:hAnsi="Times New Roman" w:cs="Times New Roman"/>
        </w:rPr>
        <w:t>a</w:t>
      </w:r>
      <w:r w:rsidR="007A1F92">
        <w:rPr>
          <w:rFonts w:ascii="Times New Roman" w:eastAsiaTheme="minorHAnsi" w:hAnsi="Times New Roman" w:cs="Times New Roman"/>
        </w:rPr>
        <w:t xml:space="preserve"> </w:t>
      </w:r>
      <w:r>
        <w:rPr>
          <w:rFonts w:ascii="Times New Roman" w:eastAsiaTheme="minorHAnsi" w:hAnsi="Times New Roman" w:cs="Times New Roman"/>
        </w:rPr>
        <w:t>zajišťuje</w:t>
      </w:r>
      <w:r w:rsidR="007A1F92">
        <w:rPr>
          <w:rFonts w:ascii="Times New Roman" w:eastAsiaTheme="minorHAnsi" w:hAnsi="Times New Roman" w:cs="Times New Roman"/>
        </w:rPr>
        <w:t>, že data o spotřebě v odběrných místech zákazníků pro účely zúčtování odchylek</w:t>
      </w:r>
      <w:r>
        <w:rPr>
          <w:rFonts w:ascii="Times New Roman" w:eastAsiaTheme="minorHAnsi" w:hAnsi="Times New Roman" w:cs="Times New Roman"/>
        </w:rPr>
        <w:t xml:space="preserve"> reflektují</w:t>
      </w:r>
      <w:r w:rsidR="007A1F92">
        <w:rPr>
          <w:rFonts w:ascii="Times New Roman" w:eastAsiaTheme="minorHAnsi" w:hAnsi="Times New Roman" w:cs="Times New Roman"/>
        </w:rPr>
        <w:t xml:space="preserve"> hodnotu alokovaného rozsahu.</w:t>
      </w:r>
      <w:r w:rsidR="00BD1F5A">
        <w:rPr>
          <w:rFonts w:ascii="Times New Roman" w:hAnsi="Times New Roman"/>
        </w:rPr>
        <w:t xml:space="preserve"> </w:t>
      </w:r>
    </w:p>
    <w:p w14:paraId="36671FB8" w14:textId="58E2C7A6" w:rsidR="007A1F92" w:rsidRPr="007A1F92" w:rsidRDefault="007A1F92" w:rsidP="00422605">
      <w:pPr>
        <w:widowControl w:val="0"/>
        <w:autoSpaceDE w:val="0"/>
        <w:autoSpaceDN w:val="0"/>
        <w:adjustRightInd w:val="0"/>
        <w:spacing w:after="120" w:line="312" w:lineRule="auto"/>
        <w:jc w:val="both"/>
        <w:rPr>
          <w:rFonts w:ascii="Times New Roman" w:hAnsi="Times New Roman"/>
          <w:b/>
        </w:rPr>
      </w:pPr>
      <w:r w:rsidRPr="007A1F92">
        <w:rPr>
          <w:rFonts w:ascii="Times New Roman" w:hAnsi="Times New Roman"/>
          <w:b/>
        </w:rPr>
        <w:t>K bodu 2</w:t>
      </w:r>
      <w:r w:rsidR="0057014B">
        <w:rPr>
          <w:rFonts w:ascii="Times New Roman" w:hAnsi="Times New Roman"/>
          <w:b/>
        </w:rPr>
        <w:t>6</w:t>
      </w:r>
    </w:p>
    <w:p w14:paraId="7E5F3311" w14:textId="076CEF29" w:rsidR="009F7FA4" w:rsidRDefault="007A1F92" w:rsidP="00422605">
      <w:pPr>
        <w:widowControl w:val="0"/>
        <w:autoSpaceDE w:val="0"/>
        <w:autoSpaceDN w:val="0"/>
        <w:adjustRightInd w:val="0"/>
        <w:spacing w:after="120" w:line="312" w:lineRule="auto"/>
        <w:jc w:val="both"/>
        <w:rPr>
          <w:rFonts w:ascii="Times New Roman" w:hAnsi="Times New Roman"/>
        </w:rPr>
      </w:pPr>
      <w:r w:rsidRPr="007A1F92">
        <w:rPr>
          <w:rFonts w:ascii="Times New Roman" w:hAnsi="Times New Roman"/>
        </w:rPr>
        <w:t>Navrhovaná úprava</w:t>
      </w:r>
      <w:r>
        <w:rPr>
          <w:rFonts w:ascii="Times New Roman" w:hAnsi="Times New Roman"/>
        </w:rPr>
        <w:t xml:space="preserve"> § 29 odst. 3 je legislativně technickou úpravou. Navrhovanou úpravou textu se příslušné ustanovení zpřesňuje.</w:t>
      </w:r>
    </w:p>
    <w:p w14:paraId="791FABBE" w14:textId="0F121D93" w:rsidR="007A1F92" w:rsidRDefault="007A1F92" w:rsidP="00422605">
      <w:pPr>
        <w:widowControl w:val="0"/>
        <w:autoSpaceDE w:val="0"/>
        <w:autoSpaceDN w:val="0"/>
        <w:adjustRightInd w:val="0"/>
        <w:spacing w:after="120" w:line="312" w:lineRule="auto"/>
        <w:jc w:val="both"/>
        <w:rPr>
          <w:rFonts w:ascii="Times New Roman" w:hAnsi="Times New Roman"/>
          <w:b/>
        </w:rPr>
      </w:pPr>
      <w:r w:rsidRPr="007A1F92">
        <w:rPr>
          <w:rFonts w:ascii="Times New Roman" w:hAnsi="Times New Roman"/>
          <w:b/>
        </w:rPr>
        <w:t>K bodu 2</w:t>
      </w:r>
      <w:r w:rsidR="0057014B">
        <w:rPr>
          <w:rFonts w:ascii="Times New Roman" w:hAnsi="Times New Roman"/>
          <w:b/>
        </w:rPr>
        <w:t>7</w:t>
      </w:r>
    </w:p>
    <w:p w14:paraId="64EBD6FF" w14:textId="1404A810" w:rsidR="002F23C0" w:rsidRDefault="002F23C0" w:rsidP="00422605">
      <w:pPr>
        <w:widowControl w:val="0"/>
        <w:autoSpaceDE w:val="0"/>
        <w:autoSpaceDN w:val="0"/>
        <w:adjustRightInd w:val="0"/>
        <w:spacing w:after="120" w:line="312" w:lineRule="auto"/>
        <w:jc w:val="both"/>
        <w:rPr>
          <w:rFonts w:ascii="Times New Roman" w:hAnsi="Times New Roman"/>
          <w:b/>
        </w:rPr>
      </w:pPr>
      <w:r>
        <w:rPr>
          <w:rFonts w:ascii="Times New Roman" w:hAnsi="Times New Roman"/>
        </w:rPr>
        <w:t>Navrhovanou úpravou § 33 odst. 1 a § 35 odst. 1 se zkrátí termín pro podání žádosti o změnu dodavatele elektřiny s přenesenou odpovědností za odchylku. Termín se přizpůsobuje délce období dodávky dodavatelem poslední instance u odběrných míst zákazníků</w:t>
      </w:r>
      <w:r w:rsidR="00BB7173">
        <w:rPr>
          <w:rFonts w:ascii="Times New Roman" w:hAnsi="Times New Roman"/>
        </w:rPr>
        <w:t xml:space="preserve"> </w:t>
      </w:r>
      <w:r w:rsidR="00EC57DE">
        <w:rPr>
          <w:rFonts w:ascii="Times New Roman" w:hAnsi="Times New Roman"/>
        </w:rPr>
        <w:t>–</w:t>
      </w:r>
      <w:r w:rsidR="00BB7173">
        <w:rPr>
          <w:rFonts w:ascii="Times New Roman" w:hAnsi="Times New Roman"/>
        </w:rPr>
        <w:t xml:space="preserve"> </w:t>
      </w:r>
      <w:r w:rsidR="00EC57DE">
        <w:rPr>
          <w:rFonts w:ascii="Times New Roman" w:hAnsi="Times New Roman"/>
        </w:rPr>
        <w:t xml:space="preserve">obecně reaguje na nové úpravy energetického zákona v oblasti dodavatele poslední instance a časové </w:t>
      </w:r>
      <w:proofErr w:type="spellStart"/>
      <w:r w:rsidR="00EC57DE">
        <w:rPr>
          <w:rFonts w:ascii="Times New Roman" w:hAnsi="Times New Roman"/>
        </w:rPr>
        <w:t>sesouladění</w:t>
      </w:r>
      <w:proofErr w:type="spellEnd"/>
      <w:r w:rsidR="00EC57DE">
        <w:rPr>
          <w:rFonts w:ascii="Times New Roman" w:hAnsi="Times New Roman"/>
        </w:rPr>
        <w:t xml:space="preserve"> souvisejí</w:t>
      </w:r>
      <w:r w:rsidR="006E007A">
        <w:rPr>
          <w:rFonts w:ascii="Times New Roman" w:hAnsi="Times New Roman"/>
        </w:rPr>
        <w:t>cí</w:t>
      </w:r>
      <w:r w:rsidR="00EC57DE">
        <w:rPr>
          <w:rFonts w:ascii="Times New Roman" w:hAnsi="Times New Roman"/>
        </w:rPr>
        <w:t xml:space="preserve">ch procesů. </w:t>
      </w:r>
    </w:p>
    <w:p w14:paraId="331C9A65" w14:textId="4E0EA759" w:rsidR="002F23C0" w:rsidRDefault="002F23C0" w:rsidP="00422605">
      <w:pPr>
        <w:widowControl w:val="0"/>
        <w:autoSpaceDE w:val="0"/>
        <w:autoSpaceDN w:val="0"/>
        <w:adjustRightInd w:val="0"/>
        <w:spacing w:after="120" w:line="312" w:lineRule="auto"/>
        <w:jc w:val="both"/>
        <w:rPr>
          <w:rFonts w:ascii="Times New Roman" w:hAnsi="Times New Roman"/>
          <w:b/>
        </w:rPr>
      </w:pPr>
      <w:r>
        <w:rPr>
          <w:rFonts w:ascii="Times New Roman" w:hAnsi="Times New Roman"/>
          <w:b/>
        </w:rPr>
        <w:t>K bodu 2</w:t>
      </w:r>
      <w:r w:rsidR="0057014B">
        <w:rPr>
          <w:rFonts w:ascii="Times New Roman" w:hAnsi="Times New Roman"/>
          <w:b/>
        </w:rPr>
        <w:t>8</w:t>
      </w:r>
    </w:p>
    <w:p w14:paraId="6BD84080" w14:textId="2336D780" w:rsidR="007A1F92" w:rsidRDefault="007A1F92"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Navrhovaná úprava § 33 odst. 4</w:t>
      </w:r>
      <w:r w:rsidR="002F23C0">
        <w:rPr>
          <w:rFonts w:ascii="Times New Roman" w:hAnsi="Times New Roman"/>
        </w:rPr>
        <w:t xml:space="preserve"> písm. g)</w:t>
      </w:r>
      <w:r>
        <w:rPr>
          <w:rFonts w:ascii="Times New Roman" w:hAnsi="Times New Roman"/>
        </w:rPr>
        <w:t xml:space="preserve"> je legislativně technickou úprav</w:t>
      </w:r>
      <w:r w:rsidR="007532F5">
        <w:rPr>
          <w:rFonts w:ascii="Times New Roman" w:hAnsi="Times New Roman"/>
        </w:rPr>
        <w:t>ou</w:t>
      </w:r>
      <w:r>
        <w:rPr>
          <w:rFonts w:ascii="Times New Roman" w:hAnsi="Times New Roman"/>
        </w:rPr>
        <w:t>. Navrhovanou úpravou se text uvádí do souladu s platnou právní úpravou energetického zákona.</w:t>
      </w:r>
    </w:p>
    <w:p w14:paraId="14E64BE0" w14:textId="09F61EFF" w:rsidR="007A1F92" w:rsidRPr="007A1F92" w:rsidRDefault="007A1F92" w:rsidP="00422605">
      <w:pPr>
        <w:widowControl w:val="0"/>
        <w:autoSpaceDE w:val="0"/>
        <w:autoSpaceDN w:val="0"/>
        <w:adjustRightInd w:val="0"/>
        <w:spacing w:after="120" w:line="312" w:lineRule="auto"/>
        <w:jc w:val="both"/>
        <w:rPr>
          <w:rFonts w:ascii="Times New Roman" w:hAnsi="Times New Roman"/>
          <w:b/>
        </w:rPr>
      </w:pPr>
      <w:r w:rsidRPr="007A1F92">
        <w:rPr>
          <w:rFonts w:ascii="Times New Roman" w:hAnsi="Times New Roman"/>
          <w:b/>
        </w:rPr>
        <w:t xml:space="preserve">K bodu </w:t>
      </w:r>
      <w:r w:rsidR="0057014B">
        <w:rPr>
          <w:rFonts w:ascii="Times New Roman" w:hAnsi="Times New Roman"/>
          <w:b/>
        </w:rPr>
        <w:t>29</w:t>
      </w:r>
    </w:p>
    <w:p w14:paraId="32153312" w14:textId="77777777" w:rsidR="00AF1BF4" w:rsidRDefault="007A1F92"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 xml:space="preserve">Navrhovanou úpravou § 34 odst. 5 písm. c) se rozšiřují možnosti provozovatele soustavy, na </w:t>
      </w:r>
      <w:proofErr w:type="gramStart"/>
      <w:r>
        <w:rPr>
          <w:rFonts w:ascii="Times New Roman" w:hAnsi="Times New Roman"/>
        </w:rPr>
        <w:t>základě</w:t>
      </w:r>
      <w:proofErr w:type="gramEnd"/>
      <w:r>
        <w:rPr>
          <w:rFonts w:ascii="Times New Roman" w:hAnsi="Times New Roman"/>
        </w:rPr>
        <w:t xml:space="preserve"> kterých může odmítnout</w:t>
      </w:r>
      <w:r w:rsidR="006A54BB">
        <w:rPr>
          <w:rFonts w:ascii="Times New Roman" w:hAnsi="Times New Roman"/>
        </w:rPr>
        <w:t xml:space="preserve"> žádost </w:t>
      </w:r>
      <w:r w:rsidR="00AF1BF4">
        <w:rPr>
          <w:rFonts w:ascii="Times New Roman" w:hAnsi="Times New Roman"/>
        </w:rPr>
        <w:t>o uzavření smlouvy o zajištění služby přenosové nebo distribuční soustavy. Navrhované úpravy vychází z dosavadní praxe, kdy se prokázalo, že obchodníci s elektřinou neaktualizují údaje o svých zákaznících u provozovatelů distribučních soustav.</w:t>
      </w:r>
    </w:p>
    <w:p w14:paraId="31E5EB53" w14:textId="420FD9C7" w:rsidR="00CC07A4" w:rsidRPr="00CC07A4" w:rsidRDefault="00AF1BF4" w:rsidP="00422605">
      <w:pPr>
        <w:widowControl w:val="0"/>
        <w:autoSpaceDE w:val="0"/>
        <w:autoSpaceDN w:val="0"/>
        <w:adjustRightInd w:val="0"/>
        <w:spacing w:after="120" w:line="312" w:lineRule="auto"/>
        <w:jc w:val="both"/>
        <w:rPr>
          <w:rFonts w:ascii="Times New Roman" w:hAnsi="Times New Roman"/>
          <w:b/>
        </w:rPr>
      </w:pPr>
      <w:r w:rsidRPr="00AF1BF4">
        <w:rPr>
          <w:rFonts w:ascii="Times New Roman" w:hAnsi="Times New Roman"/>
          <w:b/>
        </w:rPr>
        <w:t xml:space="preserve">K bodu </w:t>
      </w:r>
      <w:r w:rsidR="00CC07A4" w:rsidRPr="00CC07A4">
        <w:rPr>
          <w:rFonts w:ascii="Times New Roman" w:hAnsi="Times New Roman"/>
          <w:b/>
        </w:rPr>
        <w:t>3</w:t>
      </w:r>
      <w:r w:rsidR="0057014B">
        <w:rPr>
          <w:rFonts w:ascii="Times New Roman" w:hAnsi="Times New Roman"/>
          <w:b/>
        </w:rPr>
        <w:t>0</w:t>
      </w:r>
    </w:p>
    <w:p w14:paraId="4A5E2161" w14:textId="52B323A4" w:rsidR="00CC07A4" w:rsidRDefault="00CC07A4" w:rsidP="00CC07A4">
      <w:pPr>
        <w:widowControl w:val="0"/>
        <w:autoSpaceDE w:val="0"/>
        <w:autoSpaceDN w:val="0"/>
        <w:adjustRightInd w:val="0"/>
        <w:spacing w:after="120" w:line="312" w:lineRule="auto"/>
        <w:jc w:val="both"/>
        <w:rPr>
          <w:rFonts w:ascii="Times New Roman" w:hAnsi="Times New Roman"/>
        </w:rPr>
      </w:pPr>
      <w:r>
        <w:rPr>
          <w:rFonts w:ascii="Times New Roman" w:hAnsi="Times New Roman"/>
        </w:rPr>
        <w:t>Navrhovaná úprava § 35 odst. 1 písm. f) je legislativně technickou úpravou. Navrhovanou úpravou se text uvádí do souladu s platnou právní úpravou energetického zákona.</w:t>
      </w:r>
    </w:p>
    <w:p w14:paraId="3D6B2AB6" w14:textId="75228985" w:rsidR="007532F5" w:rsidRPr="007532F5" w:rsidRDefault="007532F5" w:rsidP="00CC07A4">
      <w:pPr>
        <w:widowControl w:val="0"/>
        <w:autoSpaceDE w:val="0"/>
        <w:autoSpaceDN w:val="0"/>
        <w:adjustRightInd w:val="0"/>
        <w:spacing w:after="120" w:line="312" w:lineRule="auto"/>
        <w:jc w:val="both"/>
        <w:rPr>
          <w:rFonts w:ascii="Times New Roman" w:hAnsi="Times New Roman"/>
          <w:b/>
        </w:rPr>
      </w:pPr>
      <w:r w:rsidRPr="007532F5">
        <w:rPr>
          <w:rFonts w:ascii="Times New Roman" w:hAnsi="Times New Roman"/>
          <w:b/>
        </w:rPr>
        <w:t>K bodu 3</w:t>
      </w:r>
      <w:r w:rsidR="0057014B">
        <w:rPr>
          <w:rFonts w:ascii="Times New Roman" w:hAnsi="Times New Roman"/>
          <w:b/>
        </w:rPr>
        <w:t>1</w:t>
      </w:r>
    </w:p>
    <w:p w14:paraId="4E767DB3" w14:textId="174F5179" w:rsidR="007532F5" w:rsidRDefault="007532F5" w:rsidP="007532F5">
      <w:pPr>
        <w:widowControl w:val="0"/>
        <w:autoSpaceDE w:val="0"/>
        <w:autoSpaceDN w:val="0"/>
        <w:adjustRightInd w:val="0"/>
        <w:spacing w:after="120" w:line="312" w:lineRule="auto"/>
        <w:jc w:val="both"/>
        <w:rPr>
          <w:rFonts w:ascii="Times New Roman" w:hAnsi="Times New Roman"/>
        </w:rPr>
      </w:pPr>
      <w:r>
        <w:rPr>
          <w:rFonts w:ascii="Times New Roman" w:hAnsi="Times New Roman"/>
        </w:rPr>
        <w:t>Navrhovaná úprava § 36 odst. 3 je legislativně technickou úpravou. Navrhovanou úpravou se text uvádí do souladu s platnou právní úpravou energetického zákona.</w:t>
      </w:r>
    </w:p>
    <w:p w14:paraId="70FC8FE3" w14:textId="4902B88A" w:rsidR="007532F5" w:rsidRPr="007532F5" w:rsidRDefault="007532F5" w:rsidP="00CC07A4">
      <w:pPr>
        <w:widowControl w:val="0"/>
        <w:autoSpaceDE w:val="0"/>
        <w:autoSpaceDN w:val="0"/>
        <w:adjustRightInd w:val="0"/>
        <w:spacing w:after="120" w:line="312" w:lineRule="auto"/>
        <w:jc w:val="both"/>
        <w:rPr>
          <w:rFonts w:ascii="Times New Roman" w:hAnsi="Times New Roman"/>
          <w:b/>
        </w:rPr>
      </w:pPr>
      <w:r w:rsidRPr="007532F5">
        <w:rPr>
          <w:rFonts w:ascii="Times New Roman" w:hAnsi="Times New Roman"/>
          <w:b/>
        </w:rPr>
        <w:t>K bodu 3</w:t>
      </w:r>
      <w:r w:rsidR="0057014B">
        <w:rPr>
          <w:rFonts w:ascii="Times New Roman" w:hAnsi="Times New Roman"/>
          <w:b/>
        </w:rPr>
        <w:t>2</w:t>
      </w:r>
    </w:p>
    <w:p w14:paraId="084B8FA0" w14:textId="76832119" w:rsidR="007532F5" w:rsidRDefault="007532F5" w:rsidP="00CC07A4">
      <w:pPr>
        <w:widowControl w:val="0"/>
        <w:autoSpaceDE w:val="0"/>
        <w:autoSpaceDN w:val="0"/>
        <w:adjustRightInd w:val="0"/>
        <w:spacing w:after="120" w:line="312" w:lineRule="auto"/>
        <w:jc w:val="both"/>
        <w:rPr>
          <w:rFonts w:ascii="Times New Roman" w:hAnsi="Times New Roman"/>
        </w:rPr>
      </w:pPr>
      <w:r>
        <w:rPr>
          <w:rFonts w:ascii="Times New Roman" w:hAnsi="Times New Roman"/>
        </w:rPr>
        <w:t xml:space="preserve">Navrhovaná úprava § 38 odst. 2 modifikuje proces změny dodavatele, konktrétně úkony prováděné operátorem trhu. Tento proces se doplňuje o informační povinnost operátorem trhu, který novému dodavateli a novému subjektu zúčtování na </w:t>
      </w:r>
      <w:r w:rsidRPr="007532F5">
        <w:rPr>
          <w:rFonts w:ascii="Times New Roman" w:hAnsi="Times New Roman"/>
        </w:rPr>
        <w:t xml:space="preserve">základě jeho žádosti součet údajů o odběru elektřiny předaných operátorovi trhu podle § 41 odst. 1 za předchozí souvislé období, nejvýše však za posledních 12 ukončených kalendářních měsíců předcházejících zahájení dodávky elektřiny novým </w:t>
      </w:r>
      <w:r w:rsidRPr="007532F5">
        <w:rPr>
          <w:rFonts w:ascii="Times New Roman" w:hAnsi="Times New Roman"/>
        </w:rPr>
        <w:lastRenderedPageBreak/>
        <w:t>dodavatelem</w:t>
      </w:r>
      <w:r>
        <w:rPr>
          <w:rFonts w:ascii="Times New Roman" w:hAnsi="Times New Roman"/>
        </w:rPr>
        <w:t xml:space="preserve">. V současné době nemá nový dodavatel elektřiny přístup k historickým datům o tocích elektřiny zákazníka s měřením typu B. Cílem této úpravy je umožnit novému dodavateli přístup k těmto datům a umožnit dodavateli lépe predikovat toky elektřiny a </w:t>
      </w:r>
      <w:r w:rsidR="00FE7AF0">
        <w:rPr>
          <w:rFonts w:ascii="Times New Roman" w:hAnsi="Times New Roman"/>
        </w:rPr>
        <w:t>po</w:t>
      </w:r>
      <w:r>
        <w:rPr>
          <w:rFonts w:ascii="Times New Roman" w:hAnsi="Times New Roman"/>
        </w:rPr>
        <w:t>dle toho i řídit rizika spojená s nákupem elektřiny na trhu.</w:t>
      </w:r>
    </w:p>
    <w:p w14:paraId="251585B0" w14:textId="086E5E7A" w:rsidR="007532F5" w:rsidRPr="007532F5" w:rsidRDefault="007532F5" w:rsidP="00CC07A4">
      <w:pPr>
        <w:widowControl w:val="0"/>
        <w:autoSpaceDE w:val="0"/>
        <w:autoSpaceDN w:val="0"/>
        <w:adjustRightInd w:val="0"/>
        <w:spacing w:after="120" w:line="312" w:lineRule="auto"/>
        <w:jc w:val="both"/>
        <w:rPr>
          <w:rFonts w:ascii="Times New Roman" w:hAnsi="Times New Roman"/>
          <w:b/>
        </w:rPr>
      </w:pPr>
      <w:r w:rsidRPr="007532F5">
        <w:rPr>
          <w:rFonts w:ascii="Times New Roman" w:hAnsi="Times New Roman"/>
          <w:b/>
        </w:rPr>
        <w:t>K bodu 3</w:t>
      </w:r>
      <w:r w:rsidR="0057014B">
        <w:rPr>
          <w:rFonts w:ascii="Times New Roman" w:hAnsi="Times New Roman"/>
          <w:b/>
        </w:rPr>
        <w:t>3</w:t>
      </w:r>
    </w:p>
    <w:p w14:paraId="15C2F5E1" w14:textId="033EF13B" w:rsidR="007532F5" w:rsidRDefault="007532F5" w:rsidP="007532F5">
      <w:pPr>
        <w:widowControl w:val="0"/>
        <w:autoSpaceDE w:val="0"/>
        <w:autoSpaceDN w:val="0"/>
        <w:adjustRightInd w:val="0"/>
        <w:spacing w:after="120" w:line="312" w:lineRule="auto"/>
        <w:jc w:val="both"/>
        <w:rPr>
          <w:rFonts w:ascii="Times New Roman" w:hAnsi="Times New Roman"/>
        </w:rPr>
      </w:pPr>
      <w:r>
        <w:rPr>
          <w:rFonts w:ascii="Times New Roman" w:hAnsi="Times New Roman"/>
        </w:rPr>
        <w:t>Navrhovaná úprava § 39 odst. 5 a 7 je legislativně technickou úpravou. Navrhovanou úpravou se text uvádí do souladu s platnou právní úpravou energetického zákona.</w:t>
      </w:r>
    </w:p>
    <w:p w14:paraId="20B9269A" w14:textId="0D2B27B8" w:rsidR="007532F5" w:rsidRPr="007532F5" w:rsidRDefault="007532F5" w:rsidP="007532F5">
      <w:pPr>
        <w:widowControl w:val="0"/>
        <w:autoSpaceDE w:val="0"/>
        <w:autoSpaceDN w:val="0"/>
        <w:adjustRightInd w:val="0"/>
        <w:spacing w:after="120" w:line="312" w:lineRule="auto"/>
        <w:jc w:val="both"/>
        <w:rPr>
          <w:rFonts w:ascii="Times New Roman" w:hAnsi="Times New Roman"/>
          <w:b/>
        </w:rPr>
      </w:pPr>
      <w:r w:rsidRPr="007532F5">
        <w:rPr>
          <w:rFonts w:ascii="Times New Roman" w:hAnsi="Times New Roman"/>
          <w:b/>
        </w:rPr>
        <w:t>K bodu 3</w:t>
      </w:r>
      <w:r w:rsidR="00A01FC9">
        <w:rPr>
          <w:rFonts w:ascii="Times New Roman" w:hAnsi="Times New Roman"/>
          <w:b/>
        </w:rPr>
        <w:t>4</w:t>
      </w:r>
    </w:p>
    <w:p w14:paraId="6E2857BA" w14:textId="77777777" w:rsidR="00185DD4" w:rsidRDefault="007532F5"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Navrhovanou úpravou § 40 odst. 2 se zpře</w:t>
      </w:r>
      <w:r w:rsidR="00185DD4">
        <w:rPr>
          <w:rFonts w:ascii="Times New Roman" w:hAnsi="Times New Roman"/>
        </w:rPr>
        <w:t>sňuje textové znění odstavce a uvádí se do souladu s platnou právní úpravou energetického zákona.</w:t>
      </w:r>
    </w:p>
    <w:p w14:paraId="4DF05752" w14:textId="4B9F7690" w:rsidR="00185DD4" w:rsidRDefault="00185DD4" w:rsidP="00422605">
      <w:pPr>
        <w:widowControl w:val="0"/>
        <w:autoSpaceDE w:val="0"/>
        <w:autoSpaceDN w:val="0"/>
        <w:adjustRightInd w:val="0"/>
        <w:spacing w:after="120" w:line="312" w:lineRule="auto"/>
        <w:jc w:val="both"/>
        <w:rPr>
          <w:rFonts w:ascii="Times New Roman" w:hAnsi="Times New Roman"/>
          <w:b/>
        </w:rPr>
      </w:pPr>
      <w:r w:rsidRPr="00185DD4">
        <w:rPr>
          <w:rFonts w:ascii="Times New Roman" w:hAnsi="Times New Roman"/>
          <w:b/>
        </w:rPr>
        <w:t>K bodu 3</w:t>
      </w:r>
      <w:r w:rsidR="00A01FC9">
        <w:rPr>
          <w:rFonts w:ascii="Times New Roman" w:hAnsi="Times New Roman"/>
          <w:b/>
        </w:rPr>
        <w:t>5</w:t>
      </w:r>
    </w:p>
    <w:p w14:paraId="2CBF5623" w14:textId="2E75547C" w:rsidR="007A1F92" w:rsidRDefault="00185DD4"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 xml:space="preserve">Navrhovanou úpravou § 40 odst. 5 se </w:t>
      </w:r>
      <w:r w:rsidR="006E007A">
        <w:rPr>
          <w:rFonts w:ascii="Times New Roman" w:hAnsi="Times New Roman"/>
        </w:rPr>
        <w:t>zavádí</w:t>
      </w:r>
      <w:r>
        <w:rPr>
          <w:rFonts w:ascii="Times New Roman" w:hAnsi="Times New Roman"/>
        </w:rPr>
        <w:t xml:space="preserve"> postup pro změnu elektřiny </w:t>
      </w:r>
      <w:r w:rsidR="002529C5">
        <w:rPr>
          <w:rFonts w:ascii="Times New Roman" w:hAnsi="Times New Roman"/>
        </w:rPr>
        <w:t xml:space="preserve">z </w:t>
      </w:r>
      <w:r>
        <w:rPr>
          <w:rFonts w:ascii="Times New Roman" w:hAnsi="Times New Roman"/>
        </w:rPr>
        <w:t>dodavatele</w:t>
      </w:r>
      <w:r w:rsidR="00021292">
        <w:rPr>
          <w:rFonts w:ascii="Times New Roman" w:hAnsi="Times New Roman"/>
        </w:rPr>
        <w:t xml:space="preserve"> poslední instance za nového dodavatele</w:t>
      </w:r>
      <w:r>
        <w:rPr>
          <w:rFonts w:ascii="Times New Roman" w:hAnsi="Times New Roman"/>
        </w:rPr>
        <w:t xml:space="preserve"> </w:t>
      </w:r>
      <w:r w:rsidR="002529C5">
        <w:rPr>
          <w:rFonts w:ascii="Times New Roman" w:hAnsi="Times New Roman"/>
        </w:rPr>
        <w:t>podle</w:t>
      </w:r>
      <w:r>
        <w:rPr>
          <w:rFonts w:ascii="Times New Roman" w:hAnsi="Times New Roman"/>
        </w:rPr>
        <w:t xml:space="preserve"> § </w:t>
      </w:r>
      <w:proofErr w:type="gramStart"/>
      <w:r>
        <w:rPr>
          <w:rFonts w:ascii="Times New Roman" w:hAnsi="Times New Roman"/>
        </w:rPr>
        <w:t>12d</w:t>
      </w:r>
      <w:proofErr w:type="gramEnd"/>
      <w:r>
        <w:rPr>
          <w:rFonts w:ascii="Times New Roman" w:hAnsi="Times New Roman"/>
        </w:rPr>
        <w:t xml:space="preserve"> odst. 2 energetického zákona.</w:t>
      </w:r>
      <w:r w:rsidR="00021292">
        <w:rPr>
          <w:rFonts w:ascii="Times New Roman" w:hAnsi="Times New Roman"/>
        </w:rPr>
        <w:t xml:space="preserve"> </w:t>
      </w:r>
      <w:r w:rsidR="002529C5">
        <w:rPr>
          <w:rFonts w:ascii="Times New Roman" w:hAnsi="Times New Roman"/>
        </w:rPr>
        <w:t xml:space="preserve">Jedná se o provedení nové zákonné úpravy § </w:t>
      </w:r>
      <w:proofErr w:type="gramStart"/>
      <w:r w:rsidR="002529C5">
        <w:rPr>
          <w:rFonts w:ascii="Times New Roman" w:hAnsi="Times New Roman"/>
        </w:rPr>
        <w:t>12d</w:t>
      </w:r>
      <w:proofErr w:type="gramEnd"/>
      <w:r w:rsidR="002529C5">
        <w:rPr>
          <w:rFonts w:ascii="Times New Roman" w:hAnsi="Times New Roman"/>
        </w:rPr>
        <w:t xml:space="preserve"> odst. 2.</w:t>
      </w:r>
    </w:p>
    <w:p w14:paraId="43867D21" w14:textId="326702BC" w:rsidR="001F7BB4" w:rsidRDefault="001F7BB4" w:rsidP="00422605">
      <w:pPr>
        <w:widowControl w:val="0"/>
        <w:autoSpaceDE w:val="0"/>
        <w:autoSpaceDN w:val="0"/>
        <w:adjustRightInd w:val="0"/>
        <w:spacing w:after="120" w:line="312" w:lineRule="auto"/>
        <w:jc w:val="both"/>
        <w:rPr>
          <w:rFonts w:ascii="Times New Roman" w:hAnsi="Times New Roman"/>
          <w:b/>
        </w:rPr>
      </w:pPr>
      <w:r>
        <w:rPr>
          <w:rFonts w:ascii="Times New Roman" w:hAnsi="Times New Roman"/>
          <w:b/>
        </w:rPr>
        <w:t>K bodu 3</w:t>
      </w:r>
      <w:r w:rsidR="00A01FC9">
        <w:rPr>
          <w:rFonts w:ascii="Times New Roman" w:hAnsi="Times New Roman"/>
          <w:b/>
        </w:rPr>
        <w:t>6</w:t>
      </w:r>
    </w:p>
    <w:p w14:paraId="703246B9" w14:textId="231C6B47" w:rsidR="001F7BB4" w:rsidRDefault="001F7BB4" w:rsidP="00422605">
      <w:pPr>
        <w:widowControl w:val="0"/>
        <w:autoSpaceDE w:val="0"/>
        <w:autoSpaceDN w:val="0"/>
        <w:adjustRightInd w:val="0"/>
        <w:spacing w:after="120" w:line="312" w:lineRule="auto"/>
        <w:jc w:val="both"/>
        <w:rPr>
          <w:rFonts w:ascii="Times New Roman" w:hAnsi="Times New Roman"/>
        </w:rPr>
      </w:pPr>
      <w:r w:rsidRPr="001F7BB4">
        <w:rPr>
          <w:rFonts w:ascii="Times New Roman" w:hAnsi="Times New Roman"/>
        </w:rPr>
        <w:t xml:space="preserve">Navrhovanou úpravou </w:t>
      </w:r>
      <w:r>
        <w:rPr>
          <w:rFonts w:ascii="Times New Roman" w:hAnsi="Times New Roman"/>
        </w:rPr>
        <w:t xml:space="preserve">§ 41 odst. 1 dochází k doplnění informace o vyúčtování, tedy </w:t>
      </w:r>
      <w:r w:rsidR="004829D9">
        <w:rPr>
          <w:rFonts w:ascii="Times New Roman" w:hAnsi="Times New Roman"/>
        </w:rPr>
        <w:t xml:space="preserve">zajištění aplikace transpoziční </w:t>
      </w:r>
      <w:r>
        <w:rPr>
          <w:rFonts w:ascii="Times New Roman" w:hAnsi="Times New Roman"/>
        </w:rPr>
        <w:t>novel</w:t>
      </w:r>
      <w:r w:rsidR="004829D9">
        <w:rPr>
          <w:rFonts w:ascii="Times New Roman" w:hAnsi="Times New Roman"/>
        </w:rPr>
        <w:t>y</w:t>
      </w:r>
      <w:r>
        <w:rPr>
          <w:rFonts w:ascii="Times New Roman" w:hAnsi="Times New Roman"/>
        </w:rPr>
        <w:t xml:space="preserve"> vyhlášky o vyúčtování dodávek a souvisejících služeb, kdy se předávané údaje o dodávce elektřiny použijí i pro účely</w:t>
      </w:r>
      <w:r w:rsidR="00B5259A">
        <w:rPr>
          <w:rFonts w:ascii="Times New Roman" w:hAnsi="Times New Roman"/>
        </w:rPr>
        <w:t xml:space="preserve"> poskytování informace o vyúčtování</w:t>
      </w:r>
      <w:r w:rsidR="00D00016">
        <w:rPr>
          <w:rFonts w:ascii="Times New Roman" w:hAnsi="Times New Roman"/>
        </w:rPr>
        <w:t>. Dále dochází</w:t>
      </w:r>
      <w:r>
        <w:rPr>
          <w:rFonts w:ascii="Times New Roman" w:hAnsi="Times New Roman"/>
        </w:rPr>
        <w:t xml:space="preserve"> k doplnění postupu předávání údajů pro účely </w:t>
      </w:r>
      <w:r w:rsidR="00D00016">
        <w:rPr>
          <w:rFonts w:ascii="Times New Roman" w:hAnsi="Times New Roman"/>
        </w:rPr>
        <w:t>vy</w:t>
      </w:r>
      <w:r>
        <w:rPr>
          <w:rFonts w:ascii="Times New Roman" w:hAnsi="Times New Roman"/>
        </w:rPr>
        <w:t xml:space="preserve">účtování dodávky elektřiny. Konkrétně se nově stanoví, že údaje předávané o dodávce elektřiny v případě přidružených odběrných míst a vůdčího odběrného místa </w:t>
      </w:r>
      <w:r w:rsidR="00EA2D68">
        <w:rPr>
          <w:rFonts w:ascii="Times New Roman" w:hAnsi="Times New Roman"/>
        </w:rPr>
        <w:t>reflektují</w:t>
      </w:r>
      <w:r>
        <w:rPr>
          <w:rFonts w:ascii="Times New Roman" w:hAnsi="Times New Roman"/>
        </w:rPr>
        <w:t xml:space="preserve"> hodnotu rozsahu alokace. Jedná se o úpravu reflektující zavedení </w:t>
      </w:r>
      <w:r>
        <w:rPr>
          <w:rFonts w:ascii="Times New Roman" w:eastAsiaTheme="minorHAnsi" w:hAnsi="Times New Roman" w:cs="Times New Roman"/>
        </w:rPr>
        <w:t>specifické</w:t>
      </w:r>
      <w:r w:rsidR="00AD484D">
        <w:rPr>
          <w:rFonts w:ascii="Times New Roman" w:eastAsiaTheme="minorHAnsi" w:hAnsi="Times New Roman" w:cs="Times New Roman"/>
        </w:rPr>
        <w:t xml:space="preserve"> úpravy</w:t>
      </w:r>
      <w:r w:rsidRPr="003D7FBF">
        <w:rPr>
          <w:rFonts w:ascii="Times New Roman" w:eastAsiaTheme="minorHAnsi" w:hAnsi="Times New Roman" w:cs="Times New Roman"/>
        </w:rPr>
        <w:t xml:space="preserve"> </w:t>
      </w:r>
      <w:r w:rsidR="00AD484D" w:rsidRPr="00AD484D">
        <w:rPr>
          <w:rFonts w:ascii="Times New Roman" w:eastAsiaTheme="minorHAnsi" w:hAnsi="Times New Roman" w:cs="Times New Roman"/>
        </w:rPr>
        <w:t xml:space="preserve">předávání údajů pro </w:t>
      </w:r>
      <w:r>
        <w:rPr>
          <w:rFonts w:ascii="Times New Roman" w:eastAsiaTheme="minorHAnsi" w:hAnsi="Times New Roman" w:cs="Times New Roman"/>
        </w:rPr>
        <w:t>vyhodnocování</w:t>
      </w:r>
      <w:r w:rsidRPr="00E27173">
        <w:rPr>
          <w:rFonts w:ascii="Times New Roman" w:eastAsiaTheme="minorHAnsi" w:hAnsi="Times New Roman" w:cs="Times New Roman"/>
        </w:rPr>
        <w:t xml:space="preserve"> </w:t>
      </w:r>
      <w:r w:rsidR="00AD484D">
        <w:rPr>
          <w:rFonts w:ascii="Times New Roman" w:eastAsiaTheme="minorHAnsi" w:hAnsi="Times New Roman" w:cs="Times New Roman"/>
        </w:rPr>
        <w:t>(</w:t>
      </w:r>
      <w:r w:rsidRPr="00E27173">
        <w:rPr>
          <w:rFonts w:ascii="Times New Roman" w:eastAsiaTheme="minorHAnsi" w:hAnsi="Times New Roman" w:cs="Times New Roman"/>
        </w:rPr>
        <w:t>zúčtování</w:t>
      </w:r>
      <w:r w:rsidR="00AD484D">
        <w:rPr>
          <w:rFonts w:ascii="Times New Roman" w:eastAsiaTheme="minorHAnsi" w:hAnsi="Times New Roman" w:cs="Times New Roman"/>
        </w:rPr>
        <w:t>)</w:t>
      </w:r>
      <w:r w:rsidRPr="00E27173">
        <w:rPr>
          <w:rFonts w:ascii="Times New Roman" w:eastAsiaTheme="minorHAnsi" w:hAnsi="Times New Roman" w:cs="Times New Roman"/>
        </w:rPr>
        <w:t xml:space="preserve"> odchylek a pro vyúčtování </w:t>
      </w:r>
      <w:r>
        <w:rPr>
          <w:rFonts w:ascii="Times New Roman" w:eastAsiaTheme="minorHAnsi" w:hAnsi="Times New Roman" w:cs="Times New Roman"/>
        </w:rPr>
        <w:t>elektřiny</w:t>
      </w:r>
      <w:r w:rsidRPr="00E27173">
        <w:rPr>
          <w:rFonts w:ascii="Times New Roman" w:eastAsiaTheme="minorHAnsi" w:hAnsi="Times New Roman" w:cs="Times New Roman"/>
        </w:rPr>
        <w:t xml:space="preserve"> zohled</w:t>
      </w:r>
      <w:r w:rsidR="00AD484D">
        <w:rPr>
          <w:rFonts w:ascii="Times New Roman" w:eastAsiaTheme="minorHAnsi" w:hAnsi="Times New Roman" w:cs="Times New Roman"/>
        </w:rPr>
        <w:t>ňující</w:t>
      </w:r>
      <w:r w:rsidRPr="00E27173">
        <w:rPr>
          <w:rFonts w:ascii="Times New Roman" w:eastAsiaTheme="minorHAnsi" w:hAnsi="Times New Roman" w:cs="Times New Roman"/>
        </w:rPr>
        <w:t xml:space="preserve"> </w:t>
      </w:r>
      <w:r w:rsidR="00E72D8F">
        <w:rPr>
          <w:rFonts w:ascii="Times New Roman" w:eastAsiaTheme="minorHAnsi" w:hAnsi="Times New Roman" w:cs="Times New Roman"/>
        </w:rPr>
        <w:t xml:space="preserve">pro předávací místa odběrného místa </w:t>
      </w:r>
      <w:r w:rsidRPr="00E27173">
        <w:rPr>
          <w:rFonts w:ascii="Times New Roman" w:eastAsiaTheme="minorHAnsi" w:hAnsi="Times New Roman" w:cs="Times New Roman"/>
        </w:rPr>
        <w:t xml:space="preserve">množství elektřiny vyrobené </w:t>
      </w:r>
      <w:r w:rsidR="00E72D8F" w:rsidRPr="00E27173">
        <w:rPr>
          <w:rFonts w:ascii="Times New Roman" w:eastAsiaTheme="minorHAnsi" w:hAnsi="Times New Roman" w:cs="Times New Roman"/>
        </w:rPr>
        <w:t>v</w:t>
      </w:r>
      <w:r w:rsidR="00E72D8F">
        <w:rPr>
          <w:rFonts w:ascii="Times New Roman" w:eastAsiaTheme="minorHAnsi" w:hAnsi="Times New Roman" w:cs="Times New Roman"/>
        </w:rPr>
        <w:t> </w:t>
      </w:r>
      <w:r w:rsidR="00E72D8F" w:rsidRPr="00E27173">
        <w:rPr>
          <w:rFonts w:ascii="Times New Roman" w:eastAsiaTheme="minorHAnsi" w:hAnsi="Times New Roman" w:cs="Times New Roman"/>
        </w:rPr>
        <w:t>rámci</w:t>
      </w:r>
      <w:r w:rsidR="00E72D8F">
        <w:rPr>
          <w:rFonts w:ascii="Times New Roman" w:eastAsiaTheme="minorHAnsi" w:hAnsi="Times New Roman" w:cs="Times New Roman"/>
        </w:rPr>
        <w:t xml:space="preserve"> téhož</w:t>
      </w:r>
      <w:r w:rsidR="00E72D8F" w:rsidRPr="00E27173">
        <w:rPr>
          <w:rFonts w:ascii="Times New Roman" w:eastAsiaTheme="minorHAnsi" w:hAnsi="Times New Roman" w:cs="Times New Roman"/>
        </w:rPr>
        <w:t xml:space="preserve"> bytového domu </w:t>
      </w:r>
      <w:r w:rsidRPr="00E27173">
        <w:rPr>
          <w:rFonts w:ascii="Times New Roman" w:eastAsiaTheme="minorHAnsi" w:hAnsi="Times New Roman" w:cs="Times New Roman"/>
        </w:rPr>
        <w:t>ve výrobně elektřiny</w:t>
      </w:r>
      <w:r w:rsidR="00E72D8F">
        <w:rPr>
          <w:rFonts w:ascii="Times New Roman" w:eastAsiaTheme="minorHAnsi" w:hAnsi="Times New Roman" w:cs="Times New Roman"/>
        </w:rPr>
        <w:t>.</w:t>
      </w:r>
    </w:p>
    <w:p w14:paraId="306B027B" w14:textId="144C3898" w:rsidR="001F7BB4" w:rsidRPr="001F7BB4" w:rsidRDefault="001F7BB4" w:rsidP="00422605">
      <w:pPr>
        <w:widowControl w:val="0"/>
        <w:autoSpaceDE w:val="0"/>
        <w:autoSpaceDN w:val="0"/>
        <w:adjustRightInd w:val="0"/>
        <w:spacing w:after="120" w:line="312" w:lineRule="auto"/>
        <w:jc w:val="both"/>
        <w:rPr>
          <w:rFonts w:ascii="Times New Roman" w:hAnsi="Times New Roman"/>
          <w:b/>
        </w:rPr>
      </w:pPr>
      <w:r w:rsidRPr="001F7BB4">
        <w:rPr>
          <w:rFonts w:ascii="Times New Roman" w:hAnsi="Times New Roman"/>
          <w:b/>
        </w:rPr>
        <w:t>K bodu 3</w:t>
      </w:r>
      <w:r w:rsidR="00A01FC9">
        <w:rPr>
          <w:rFonts w:ascii="Times New Roman" w:hAnsi="Times New Roman"/>
          <w:b/>
        </w:rPr>
        <w:t>7</w:t>
      </w:r>
    </w:p>
    <w:p w14:paraId="2FB8160B" w14:textId="4B23E2BB" w:rsidR="00185DD4" w:rsidRDefault="001F7BB4"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 xml:space="preserve">Navrhovanou úpravou § 42 odst. 2 se doplňuje postup pro předávání údajů vlivem </w:t>
      </w:r>
      <w:r w:rsidR="007324B8">
        <w:rPr>
          <w:rFonts w:ascii="Times New Roman" w:hAnsi="Times New Roman"/>
        </w:rPr>
        <w:t xml:space="preserve">pro poskytování </w:t>
      </w:r>
      <w:r>
        <w:rPr>
          <w:rFonts w:ascii="Times New Roman" w:hAnsi="Times New Roman"/>
        </w:rPr>
        <w:t xml:space="preserve">informace o vyúčtování v rámci </w:t>
      </w:r>
      <w:r w:rsidR="007324B8">
        <w:rPr>
          <w:rFonts w:ascii="Times New Roman" w:hAnsi="Times New Roman"/>
        </w:rPr>
        <w:t xml:space="preserve">zajištění aplikace transpozičně </w:t>
      </w:r>
      <w:r>
        <w:rPr>
          <w:rFonts w:ascii="Times New Roman" w:hAnsi="Times New Roman"/>
        </w:rPr>
        <w:t xml:space="preserve">novelizované vyhlášky o vyúčtování dodávek a souvisejících služeb. Navrhovaná úprava </w:t>
      </w:r>
      <w:r w:rsidR="001F362F">
        <w:rPr>
          <w:rFonts w:ascii="Times New Roman" w:hAnsi="Times New Roman"/>
        </w:rPr>
        <w:t>umožňuje zákazníkovi zasílat k libovolnému dni v roce samoodečet pro účely získání informace o vyúčtování. Navrhovanou úpravou se rovněž stanoví termín, do kdy je nutné odeslat data o provedeném samoodečtu provozovateli distribuční soustavy. Rovněž se stanoví i termín pro vyjádření se provozovatelem distribuční soustavy k tomu, zda data z provedeného samoodečtu akceptuje či nikoliv.</w:t>
      </w:r>
      <w:r w:rsidR="00680DCD">
        <w:rPr>
          <w:rFonts w:ascii="Times New Roman" w:hAnsi="Times New Roman"/>
        </w:rPr>
        <w:t xml:space="preserve"> Nejedná se o kontrolní samoodečet, úprava pravidel kontrolních samoodečtů a jejich zohledňování ve vyúčtování není dotčena.</w:t>
      </w:r>
    </w:p>
    <w:p w14:paraId="3BCA571F" w14:textId="3ABDECA9" w:rsidR="001F362F" w:rsidRPr="001F362F" w:rsidRDefault="001F362F" w:rsidP="00422605">
      <w:pPr>
        <w:widowControl w:val="0"/>
        <w:autoSpaceDE w:val="0"/>
        <w:autoSpaceDN w:val="0"/>
        <w:adjustRightInd w:val="0"/>
        <w:spacing w:after="120" w:line="312" w:lineRule="auto"/>
        <w:jc w:val="both"/>
        <w:rPr>
          <w:rFonts w:ascii="Times New Roman" w:hAnsi="Times New Roman"/>
          <w:b/>
        </w:rPr>
      </w:pPr>
      <w:r w:rsidRPr="001F362F">
        <w:rPr>
          <w:rFonts w:ascii="Times New Roman" w:hAnsi="Times New Roman"/>
          <w:b/>
        </w:rPr>
        <w:t>K bodu 3</w:t>
      </w:r>
      <w:r w:rsidR="00A01FC9">
        <w:rPr>
          <w:rFonts w:ascii="Times New Roman" w:hAnsi="Times New Roman"/>
          <w:b/>
        </w:rPr>
        <w:t>8</w:t>
      </w:r>
    </w:p>
    <w:p w14:paraId="2F567340" w14:textId="56E9D629" w:rsidR="007A1F92" w:rsidRDefault="001F362F" w:rsidP="00422605">
      <w:pPr>
        <w:widowControl w:val="0"/>
        <w:autoSpaceDE w:val="0"/>
        <w:autoSpaceDN w:val="0"/>
        <w:adjustRightInd w:val="0"/>
        <w:spacing w:after="120" w:line="312" w:lineRule="auto"/>
        <w:jc w:val="both"/>
        <w:rPr>
          <w:rFonts w:ascii="Times New Roman" w:hAnsi="Times New Roman"/>
        </w:rPr>
      </w:pPr>
      <w:r w:rsidRPr="001F362F">
        <w:rPr>
          <w:rFonts w:ascii="Times New Roman" w:hAnsi="Times New Roman"/>
        </w:rPr>
        <w:t>Navrhovanou úpravou § 42 odst. 7</w:t>
      </w:r>
      <w:r>
        <w:rPr>
          <w:rFonts w:ascii="Times New Roman" w:hAnsi="Times New Roman"/>
        </w:rPr>
        <w:t xml:space="preserve"> se zavádí zcela nový postup pro provozovatele distribuční soustavy, pomocí kterého dochází k harmonizaci postupu pro stanovení oděru zákazníků s měřením typu C, který zahrnuje více kalendářních let. Stanovená hodnota se následně rozdělí pro účely vyúčtování dodávky elektřiny a souvisejících služeb do příslušných let podle přepočteného </w:t>
      </w:r>
      <w:r>
        <w:rPr>
          <w:rFonts w:ascii="Times New Roman" w:hAnsi="Times New Roman"/>
        </w:rPr>
        <w:lastRenderedPageBreak/>
        <w:t>přiřazeného typového diagramu dodávky. Metodika výpočtu se podrobně stanoví v příloze vyhlášky.</w:t>
      </w:r>
    </w:p>
    <w:p w14:paraId="07B799E3" w14:textId="232CE93C" w:rsidR="001F362F" w:rsidRPr="001F362F" w:rsidRDefault="001F362F" w:rsidP="00422605">
      <w:pPr>
        <w:widowControl w:val="0"/>
        <w:autoSpaceDE w:val="0"/>
        <w:autoSpaceDN w:val="0"/>
        <w:adjustRightInd w:val="0"/>
        <w:spacing w:after="120" w:line="312" w:lineRule="auto"/>
        <w:jc w:val="both"/>
        <w:rPr>
          <w:rFonts w:ascii="Times New Roman" w:hAnsi="Times New Roman"/>
          <w:b/>
        </w:rPr>
      </w:pPr>
      <w:r w:rsidRPr="001F362F">
        <w:rPr>
          <w:rFonts w:ascii="Times New Roman" w:hAnsi="Times New Roman"/>
          <w:b/>
        </w:rPr>
        <w:t xml:space="preserve">K bodu </w:t>
      </w:r>
      <w:r w:rsidR="00A01FC9">
        <w:rPr>
          <w:rFonts w:ascii="Times New Roman" w:hAnsi="Times New Roman"/>
          <w:b/>
        </w:rPr>
        <w:t>39</w:t>
      </w:r>
    </w:p>
    <w:p w14:paraId="5E64A955" w14:textId="0CFC7479" w:rsidR="001F362F" w:rsidRDefault="001F362F"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 xml:space="preserve">Navrhovaná úprava § 43 odst. 8 upravuje podmínky přístupu k přenosové nebo distribuční soustavě, konkrétně postup pro podání žádosti o zajištění služby přenosové nebo distribuční soustavy. </w:t>
      </w:r>
      <w:r w:rsidR="00785C7A">
        <w:rPr>
          <w:rFonts w:ascii="Times New Roman" w:hAnsi="Times New Roman"/>
        </w:rPr>
        <w:t xml:space="preserve">Vlivem </w:t>
      </w:r>
      <w:r w:rsidR="00F42BAF">
        <w:rPr>
          <w:rFonts w:ascii="Times New Roman" w:hAnsi="Times New Roman"/>
        </w:rPr>
        <w:t>neplnění povinností</w:t>
      </w:r>
      <w:r w:rsidR="00785C7A">
        <w:rPr>
          <w:rFonts w:ascii="Times New Roman" w:hAnsi="Times New Roman"/>
        </w:rPr>
        <w:t xml:space="preserve"> na straně </w:t>
      </w:r>
      <w:r w:rsidR="00F42BAF">
        <w:rPr>
          <w:rFonts w:ascii="Times New Roman" w:hAnsi="Times New Roman"/>
        </w:rPr>
        <w:t>některých</w:t>
      </w:r>
      <w:r w:rsidR="00785C7A">
        <w:rPr>
          <w:rFonts w:ascii="Times New Roman" w:hAnsi="Times New Roman"/>
        </w:rPr>
        <w:t xml:space="preserve"> dodavatelů elektřiny, kteří neaktualizují údaje o svých zákaznících, pro které sjednávají službu distribuční soustavy, se zavádí podmínka, na </w:t>
      </w:r>
      <w:proofErr w:type="gramStart"/>
      <w:r w:rsidR="00785C7A">
        <w:rPr>
          <w:rFonts w:ascii="Times New Roman" w:hAnsi="Times New Roman"/>
        </w:rPr>
        <w:t>základě</w:t>
      </w:r>
      <w:proofErr w:type="gramEnd"/>
      <w:r w:rsidR="00785C7A">
        <w:rPr>
          <w:rFonts w:ascii="Times New Roman" w:hAnsi="Times New Roman"/>
        </w:rPr>
        <w:t xml:space="preserve"> které může provozovatel soustavy odmítnout žádost dodavatele na změnu rámcové smlouvy, pokud nejsou uvedeny povinné údaje, jako například fakturační adresa o účastníkovi trhu nebo identifikační údaje o účastníkovi trhu podle přílohy č. 17 vyhlášky.</w:t>
      </w:r>
    </w:p>
    <w:p w14:paraId="710B9F3D" w14:textId="4C0CF8FC" w:rsidR="00785C7A" w:rsidRPr="00785C7A" w:rsidRDefault="00785C7A" w:rsidP="00422605">
      <w:pPr>
        <w:widowControl w:val="0"/>
        <w:autoSpaceDE w:val="0"/>
        <w:autoSpaceDN w:val="0"/>
        <w:adjustRightInd w:val="0"/>
        <w:spacing w:after="120" w:line="312" w:lineRule="auto"/>
        <w:jc w:val="both"/>
        <w:rPr>
          <w:rFonts w:ascii="Times New Roman" w:hAnsi="Times New Roman"/>
          <w:b/>
        </w:rPr>
      </w:pPr>
      <w:r w:rsidRPr="00785C7A">
        <w:rPr>
          <w:rFonts w:ascii="Times New Roman" w:hAnsi="Times New Roman"/>
          <w:b/>
        </w:rPr>
        <w:t>K bodu 4</w:t>
      </w:r>
      <w:r w:rsidR="00A01FC9">
        <w:rPr>
          <w:rFonts w:ascii="Times New Roman" w:hAnsi="Times New Roman"/>
          <w:b/>
        </w:rPr>
        <w:t>0</w:t>
      </w:r>
    </w:p>
    <w:p w14:paraId="4967FB42" w14:textId="221C7F67" w:rsidR="001F362F" w:rsidRDefault="00785C7A" w:rsidP="00422605">
      <w:pPr>
        <w:widowControl w:val="0"/>
        <w:autoSpaceDE w:val="0"/>
        <w:autoSpaceDN w:val="0"/>
        <w:adjustRightInd w:val="0"/>
        <w:spacing w:after="120" w:line="312" w:lineRule="auto"/>
        <w:jc w:val="both"/>
        <w:rPr>
          <w:rFonts w:ascii="Times New Roman" w:hAnsi="Times New Roman"/>
        </w:rPr>
      </w:pPr>
      <w:r w:rsidRPr="00785C7A">
        <w:rPr>
          <w:rFonts w:ascii="Times New Roman" w:hAnsi="Times New Roman"/>
        </w:rPr>
        <w:t>Nav</w:t>
      </w:r>
      <w:r>
        <w:rPr>
          <w:rFonts w:ascii="Times New Roman" w:hAnsi="Times New Roman"/>
        </w:rPr>
        <w:t xml:space="preserve">rhovanou úpravou § 45 odst. 6 se doplňuje postup pro </w:t>
      </w:r>
      <w:r w:rsidR="002D6534">
        <w:rPr>
          <w:rFonts w:ascii="Times New Roman" w:hAnsi="Times New Roman"/>
        </w:rPr>
        <w:t xml:space="preserve">podání žádosti </w:t>
      </w:r>
      <w:r w:rsidR="002D6534" w:rsidRPr="002D6534">
        <w:rPr>
          <w:rFonts w:ascii="Times New Roman" w:hAnsi="Times New Roman"/>
        </w:rPr>
        <w:t>o poskytnutí služby přenosové soustavy nebo distribuční soustavy a žádost</w:t>
      </w:r>
      <w:r w:rsidR="002D6534">
        <w:rPr>
          <w:rFonts w:ascii="Times New Roman" w:hAnsi="Times New Roman"/>
        </w:rPr>
        <w:t>i</w:t>
      </w:r>
      <w:r w:rsidR="002D6534" w:rsidRPr="002D6534">
        <w:rPr>
          <w:rFonts w:ascii="Times New Roman" w:hAnsi="Times New Roman"/>
        </w:rPr>
        <w:t xml:space="preserve"> o zahájení dodávky u nově vzniklého odběrného místa nebo předávacího místa výrobny pro TVS</w:t>
      </w:r>
      <w:r w:rsidR="002D6534">
        <w:rPr>
          <w:rFonts w:ascii="Times New Roman" w:hAnsi="Times New Roman"/>
        </w:rPr>
        <w:t xml:space="preserve">. Tento postup se uvádí do souladu s § </w:t>
      </w:r>
      <w:proofErr w:type="gramStart"/>
      <w:r w:rsidR="002D6534">
        <w:rPr>
          <w:rFonts w:ascii="Times New Roman" w:hAnsi="Times New Roman"/>
        </w:rPr>
        <w:t>12a</w:t>
      </w:r>
      <w:proofErr w:type="gramEnd"/>
      <w:r w:rsidR="002D6534">
        <w:rPr>
          <w:rFonts w:ascii="Times New Roman" w:hAnsi="Times New Roman"/>
        </w:rPr>
        <w:t xml:space="preserve"> odst. 7 energetického zákona, kdy u nově vzniklých odběrných míst může podat zákazník žádost o zajištění dodávky dodavatelem poslední instance na dobu 6 měsíců. Jedná se o specifický typ změny dodavatele, u kterého se vyhláškou stanoví, že o tuto změnu může žádat pouze dodavatel poslední instance.</w:t>
      </w:r>
    </w:p>
    <w:p w14:paraId="3A505362" w14:textId="28B8A9C6" w:rsidR="002D6534" w:rsidRPr="002D6534" w:rsidRDefault="002D6534" w:rsidP="00422605">
      <w:pPr>
        <w:widowControl w:val="0"/>
        <w:autoSpaceDE w:val="0"/>
        <w:autoSpaceDN w:val="0"/>
        <w:adjustRightInd w:val="0"/>
        <w:spacing w:after="120" w:line="312" w:lineRule="auto"/>
        <w:jc w:val="both"/>
        <w:rPr>
          <w:rFonts w:ascii="Times New Roman" w:hAnsi="Times New Roman"/>
          <w:b/>
        </w:rPr>
      </w:pPr>
      <w:r w:rsidRPr="002D6534">
        <w:rPr>
          <w:rFonts w:ascii="Times New Roman" w:hAnsi="Times New Roman"/>
          <w:b/>
        </w:rPr>
        <w:t>K bodu 4</w:t>
      </w:r>
      <w:r w:rsidR="00A01FC9">
        <w:rPr>
          <w:rFonts w:ascii="Times New Roman" w:hAnsi="Times New Roman"/>
          <w:b/>
        </w:rPr>
        <w:t>1</w:t>
      </w:r>
    </w:p>
    <w:p w14:paraId="7FEE2E65" w14:textId="17B34ED2" w:rsidR="001F362F" w:rsidRDefault="002D6534" w:rsidP="00422605">
      <w:pPr>
        <w:widowControl w:val="0"/>
        <w:autoSpaceDE w:val="0"/>
        <w:autoSpaceDN w:val="0"/>
        <w:adjustRightInd w:val="0"/>
        <w:spacing w:after="120" w:line="312" w:lineRule="auto"/>
        <w:jc w:val="both"/>
        <w:rPr>
          <w:rFonts w:ascii="Times New Roman" w:eastAsiaTheme="minorHAnsi" w:hAnsi="Times New Roman" w:cs="Times New Roman"/>
        </w:rPr>
      </w:pPr>
      <w:r w:rsidRPr="002D6534">
        <w:rPr>
          <w:rFonts w:ascii="Times New Roman" w:hAnsi="Times New Roman"/>
        </w:rPr>
        <w:t>Nav</w:t>
      </w:r>
      <w:r>
        <w:rPr>
          <w:rFonts w:ascii="Times New Roman" w:hAnsi="Times New Roman"/>
        </w:rPr>
        <w:t>rhovanou úpravou § 49</w:t>
      </w:r>
      <w:r w:rsidR="00E075D6">
        <w:rPr>
          <w:rFonts w:ascii="Times New Roman" w:hAnsi="Times New Roman"/>
        </w:rPr>
        <w:t xml:space="preserve"> nové odst. 7 až 9</w:t>
      </w:r>
      <w:r>
        <w:rPr>
          <w:rFonts w:ascii="Times New Roman" w:hAnsi="Times New Roman"/>
        </w:rPr>
        <w:t xml:space="preserve"> se doplňuje postup pro předávání údajů mezi účastníky trhu. </w:t>
      </w:r>
      <w:r w:rsidR="00E075D6">
        <w:rPr>
          <w:rFonts w:ascii="Times New Roman" w:hAnsi="Times New Roman"/>
        </w:rPr>
        <w:t xml:space="preserve">Vlivem </w:t>
      </w:r>
      <w:r w:rsidR="004B0EE0">
        <w:rPr>
          <w:rFonts w:ascii="Times New Roman" w:hAnsi="Times New Roman"/>
        </w:rPr>
        <w:t xml:space="preserve">nově zaváděné </w:t>
      </w:r>
      <w:r w:rsidR="004B0EE0">
        <w:rPr>
          <w:rFonts w:ascii="Times New Roman" w:eastAsiaTheme="minorHAnsi" w:hAnsi="Times New Roman" w:cs="Times New Roman"/>
        </w:rPr>
        <w:t>specifické úpravy</w:t>
      </w:r>
      <w:r w:rsidR="004B0EE0" w:rsidRPr="003D7FBF">
        <w:rPr>
          <w:rFonts w:ascii="Times New Roman" w:eastAsiaTheme="minorHAnsi" w:hAnsi="Times New Roman" w:cs="Times New Roman"/>
        </w:rPr>
        <w:t xml:space="preserve"> </w:t>
      </w:r>
      <w:r w:rsidR="004B0EE0" w:rsidRPr="00AD484D">
        <w:rPr>
          <w:rFonts w:ascii="Times New Roman" w:eastAsiaTheme="minorHAnsi" w:hAnsi="Times New Roman" w:cs="Times New Roman"/>
        </w:rPr>
        <w:t xml:space="preserve">předávání údajů pro </w:t>
      </w:r>
      <w:r w:rsidR="004B0EE0">
        <w:rPr>
          <w:rFonts w:ascii="Times New Roman" w:eastAsiaTheme="minorHAnsi" w:hAnsi="Times New Roman" w:cs="Times New Roman"/>
        </w:rPr>
        <w:t>vyhodnocování</w:t>
      </w:r>
      <w:r w:rsidR="004B0EE0" w:rsidRPr="00E27173">
        <w:rPr>
          <w:rFonts w:ascii="Times New Roman" w:eastAsiaTheme="minorHAnsi" w:hAnsi="Times New Roman" w:cs="Times New Roman"/>
        </w:rPr>
        <w:t xml:space="preserve"> </w:t>
      </w:r>
      <w:r w:rsidR="004B0EE0">
        <w:rPr>
          <w:rFonts w:ascii="Times New Roman" w:eastAsiaTheme="minorHAnsi" w:hAnsi="Times New Roman" w:cs="Times New Roman"/>
        </w:rPr>
        <w:t>(</w:t>
      </w:r>
      <w:r w:rsidR="004B0EE0" w:rsidRPr="00E27173">
        <w:rPr>
          <w:rFonts w:ascii="Times New Roman" w:eastAsiaTheme="minorHAnsi" w:hAnsi="Times New Roman" w:cs="Times New Roman"/>
        </w:rPr>
        <w:t>zúčtování</w:t>
      </w:r>
      <w:r w:rsidR="004B0EE0">
        <w:rPr>
          <w:rFonts w:ascii="Times New Roman" w:eastAsiaTheme="minorHAnsi" w:hAnsi="Times New Roman" w:cs="Times New Roman"/>
        </w:rPr>
        <w:t>)</w:t>
      </w:r>
      <w:r w:rsidR="004B0EE0" w:rsidRPr="00E27173">
        <w:rPr>
          <w:rFonts w:ascii="Times New Roman" w:eastAsiaTheme="minorHAnsi" w:hAnsi="Times New Roman" w:cs="Times New Roman"/>
        </w:rPr>
        <w:t xml:space="preserve"> odchylek a pro vyúčtování </w:t>
      </w:r>
      <w:r w:rsidR="004B0EE0">
        <w:rPr>
          <w:rFonts w:ascii="Times New Roman" w:eastAsiaTheme="minorHAnsi" w:hAnsi="Times New Roman" w:cs="Times New Roman"/>
        </w:rPr>
        <w:t>elektřiny</w:t>
      </w:r>
      <w:r w:rsidR="004B0EE0" w:rsidRPr="00E27173">
        <w:rPr>
          <w:rFonts w:ascii="Times New Roman" w:eastAsiaTheme="minorHAnsi" w:hAnsi="Times New Roman" w:cs="Times New Roman"/>
        </w:rPr>
        <w:t xml:space="preserve"> zohled</w:t>
      </w:r>
      <w:r w:rsidR="004B0EE0">
        <w:rPr>
          <w:rFonts w:ascii="Times New Roman" w:eastAsiaTheme="minorHAnsi" w:hAnsi="Times New Roman" w:cs="Times New Roman"/>
        </w:rPr>
        <w:t>ňující</w:t>
      </w:r>
      <w:r w:rsidR="004B0EE0" w:rsidRPr="00E27173">
        <w:rPr>
          <w:rFonts w:ascii="Times New Roman" w:eastAsiaTheme="minorHAnsi" w:hAnsi="Times New Roman" w:cs="Times New Roman"/>
        </w:rPr>
        <w:t xml:space="preserve"> </w:t>
      </w:r>
      <w:r w:rsidR="004B0EE0">
        <w:rPr>
          <w:rFonts w:ascii="Times New Roman" w:eastAsiaTheme="minorHAnsi" w:hAnsi="Times New Roman" w:cs="Times New Roman"/>
        </w:rPr>
        <w:t xml:space="preserve">pro předávací místa odběrného místa </w:t>
      </w:r>
      <w:r w:rsidR="004B0EE0" w:rsidRPr="00E27173">
        <w:rPr>
          <w:rFonts w:ascii="Times New Roman" w:eastAsiaTheme="minorHAnsi" w:hAnsi="Times New Roman" w:cs="Times New Roman"/>
        </w:rPr>
        <w:t>množství elektřiny vyrobené v</w:t>
      </w:r>
      <w:r w:rsidR="004B0EE0">
        <w:rPr>
          <w:rFonts w:ascii="Times New Roman" w:eastAsiaTheme="minorHAnsi" w:hAnsi="Times New Roman" w:cs="Times New Roman"/>
        </w:rPr>
        <w:t> </w:t>
      </w:r>
      <w:r w:rsidR="004B0EE0" w:rsidRPr="00E27173">
        <w:rPr>
          <w:rFonts w:ascii="Times New Roman" w:eastAsiaTheme="minorHAnsi" w:hAnsi="Times New Roman" w:cs="Times New Roman"/>
        </w:rPr>
        <w:t>rámci</w:t>
      </w:r>
      <w:r w:rsidR="004B0EE0">
        <w:rPr>
          <w:rFonts w:ascii="Times New Roman" w:eastAsiaTheme="minorHAnsi" w:hAnsi="Times New Roman" w:cs="Times New Roman"/>
        </w:rPr>
        <w:t xml:space="preserve"> téhož</w:t>
      </w:r>
      <w:r w:rsidR="004B0EE0" w:rsidRPr="00E27173">
        <w:rPr>
          <w:rFonts w:ascii="Times New Roman" w:eastAsiaTheme="minorHAnsi" w:hAnsi="Times New Roman" w:cs="Times New Roman"/>
        </w:rPr>
        <w:t xml:space="preserve"> bytového domu ve výrobně elektřiny</w:t>
      </w:r>
      <w:r w:rsidR="004B0EE0">
        <w:rPr>
          <w:rFonts w:ascii="Times New Roman" w:eastAsiaTheme="minorHAnsi" w:hAnsi="Times New Roman" w:cs="Times New Roman"/>
        </w:rPr>
        <w:t>.</w:t>
      </w:r>
      <w:r w:rsidR="00E075D6">
        <w:rPr>
          <w:rFonts w:ascii="Times New Roman" w:eastAsiaTheme="minorHAnsi" w:hAnsi="Times New Roman" w:cs="Times New Roman"/>
        </w:rPr>
        <w:t>se doplňují nová ustanovení</w:t>
      </w:r>
      <w:r w:rsidR="0068369F">
        <w:rPr>
          <w:rFonts w:ascii="Times New Roman" w:eastAsiaTheme="minorHAnsi" w:hAnsi="Times New Roman" w:cs="Times New Roman"/>
        </w:rPr>
        <w:t xml:space="preserve"> (povinnosti)</w:t>
      </w:r>
      <w:r w:rsidR="00E075D6">
        <w:rPr>
          <w:rFonts w:ascii="Times New Roman" w:eastAsiaTheme="minorHAnsi" w:hAnsi="Times New Roman" w:cs="Times New Roman"/>
        </w:rPr>
        <w:t xml:space="preserve">, prostřednictvím kterých se </w:t>
      </w:r>
      <w:r w:rsidR="0068369F">
        <w:rPr>
          <w:rFonts w:ascii="Times New Roman" w:eastAsiaTheme="minorHAnsi" w:hAnsi="Times New Roman" w:cs="Times New Roman"/>
        </w:rPr>
        <w:t xml:space="preserve">do nové konstrukce v rámci dotčených účastníků trhu </w:t>
      </w:r>
      <w:r w:rsidR="00E075D6">
        <w:rPr>
          <w:rFonts w:ascii="Times New Roman" w:eastAsiaTheme="minorHAnsi" w:hAnsi="Times New Roman" w:cs="Times New Roman"/>
        </w:rPr>
        <w:t xml:space="preserve"> a) data u přidružených odběrných míst včetně hodnoty alokace pro určení hodnoty rozsahu z dodávky vůdčího odběrného místa, b) </w:t>
      </w:r>
      <w:r w:rsidR="00E94677">
        <w:rPr>
          <w:rFonts w:ascii="Times New Roman" w:eastAsiaTheme="minorHAnsi" w:hAnsi="Times New Roman" w:cs="Times New Roman"/>
        </w:rPr>
        <w:t>rozsah</w:t>
      </w:r>
      <w:r w:rsidR="00E075D6">
        <w:rPr>
          <w:rFonts w:ascii="Times New Roman" w:eastAsiaTheme="minorHAnsi" w:hAnsi="Times New Roman" w:cs="Times New Roman"/>
        </w:rPr>
        <w:t xml:space="preserve"> </w:t>
      </w:r>
      <w:r w:rsidR="00E94677">
        <w:rPr>
          <w:rFonts w:ascii="Times New Roman" w:eastAsiaTheme="minorHAnsi" w:hAnsi="Times New Roman" w:cs="Times New Roman"/>
        </w:rPr>
        <w:t xml:space="preserve">alokované </w:t>
      </w:r>
      <w:r w:rsidR="00E075D6">
        <w:rPr>
          <w:rFonts w:ascii="Times New Roman" w:eastAsiaTheme="minorHAnsi" w:hAnsi="Times New Roman" w:cs="Times New Roman"/>
        </w:rPr>
        <w:t>hodnoty pro určení hodnoty rozsahu z dodávky vůdčího odběrného místa</w:t>
      </w:r>
      <w:r w:rsidR="0068369F">
        <w:rPr>
          <w:rFonts w:ascii="Times New Roman" w:eastAsiaTheme="minorHAnsi" w:hAnsi="Times New Roman" w:cs="Times New Roman"/>
        </w:rPr>
        <w:t xml:space="preserve">, což dále </w:t>
      </w:r>
      <w:r w:rsidR="006E007A">
        <w:rPr>
          <w:rFonts w:ascii="Times New Roman" w:eastAsiaTheme="minorHAnsi" w:hAnsi="Times New Roman" w:cs="Times New Roman"/>
        </w:rPr>
        <w:t>zastřešuje</w:t>
      </w:r>
      <w:r w:rsidR="00E075D6">
        <w:rPr>
          <w:rFonts w:ascii="Times New Roman" w:eastAsiaTheme="minorHAnsi" w:hAnsi="Times New Roman" w:cs="Times New Roman"/>
        </w:rPr>
        <w:t xml:space="preserve"> </w:t>
      </w:r>
      <w:r w:rsidR="0068369F">
        <w:rPr>
          <w:rFonts w:ascii="Times New Roman" w:eastAsiaTheme="minorHAnsi" w:hAnsi="Times New Roman" w:cs="Times New Roman"/>
        </w:rPr>
        <w:t>úprava</w:t>
      </w:r>
      <w:r w:rsidR="00E075D6">
        <w:rPr>
          <w:rFonts w:ascii="Times New Roman" w:eastAsiaTheme="minorHAnsi" w:hAnsi="Times New Roman" w:cs="Times New Roman"/>
        </w:rPr>
        <w:t xml:space="preserve"> </w:t>
      </w:r>
      <w:r w:rsidR="0068369F">
        <w:rPr>
          <w:rFonts w:ascii="Times New Roman" w:eastAsiaTheme="minorHAnsi" w:hAnsi="Times New Roman" w:cs="Times New Roman"/>
        </w:rPr>
        <w:t>časových milníků,</w:t>
      </w:r>
      <w:r w:rsidR="00E94677">
        <w:rPr>
          <w:rFonts w:ascii="Times New Roman" w:eastAsiaTheme="minorHAnsi" w:hAnsi="Times New Roman" w:cs="Times New Roman"/>
        </w:rPr>
        <w:t xml:space="preserve"> </w:t>
      </w:r>
      <w:r w:rsidR="0068369F">
        <w:rPr>
          <w:rFonts w:ascii="Times New Roman" w:eastAsiaTheme="minorHAnsi" w:hAnsi="Times New Roman" w:cs="Times New Roman"/>
        </w:rPr>
        <w:t xml:space="preserve">vymezujících od </w:t>
      </w:r>
      <w:r w:rsidR="00E94677">
        <w:rPr>
          <w:rFonts w:ascii="Times New Roman" w:eastAsiaTheme="minorHAnsi" w:hAnsi="Times New Roman" w:cs="Times New Roman"/>
        </w:rPr>
        <w:t xml:space="preserve">kdy se </w:t>
      </w:r>
      <w:r w:rsidR="0068369F">
        <w:rPr>
          <w:rFonts w:ascii="Times New Roman" w:eastAsiaTheme="minorHAnsi" w:hAnsi="Times New Roman" w:cs="Times New Roman"/>
        </w:rPr>
        <w:t xml:space="preserve">aplikuje </w:t>
      </w:r>
      <w:r w:rsidR="00C126F5">
        <w:rPr>
          <w:rFonts w:ascii="Times New Roman" w:eastAsiaTheme="minorHAnsi" w:hAnsi="Times New Roman" w:cs="Times New Roman"/>
        </w:rPr>
        <w:t xml:space="preserve">specifické </w:t>
      </w:r>
      <w:r w:rsidR="0068369F">
        <w:rPr>
          <w:rFonts w:ascii="Times New Roman" w:eastAsiaTheme="minorHAnsi" w:hAnsi="Times New Roman" w:cs="Times New Roman"/>
        </w:rPr>
        <w:t>předávání údajů</w:t>
      </w:r>
      <w:r w:rsidR="00E94677">
        <w:rPr>
          <w:rFonts w:ascii="Times New Roman" w:eastAsiaTheme="minorHAnsi" w:hAnsi="Times New Roman" w:cs="Times New Roman"/>
        </w:rPr>
        <w:t xml:space="preserve"> v přidružených a vůdčích odběrných místech.</w:t>
      </w:r>
    </w:p>
    <w:p w14:paraId="4F792665" w14:textId="2791E312" w:rsidR="00E94677" w:rsidRPr="00E94677" w:rsidRDefault="00E94677" w:rsidP="00422605">
      <w:pPr>
        <w:widowControl w:val="0"/>
        <w:autoSpaceDE w:val="0"/>
        <w:autoSpaceDN w:val="0"/>
        <w:adjustRightInd w:val="0"/>
        <w:spacing w:after="120" w:line="312" w:lineRule="auto"/>
        <w:jc w:val="both"/>
        <w:rPr>
          <w:rFonts w:ascii="Times New Roman" w:hAnsi="Times New Roman"/>
          <w:b/>
        </w:rPr>
      </w:pPr>
      <w:r w:rsidRPr="00E94677">
        <w:rPr>
          <w:rFonts w:ascii="Times New Roman" w:hAnsi="Times New Roman"/>
          <w:b/>
        </w:rPr>
        <w:t>K bodu 4</w:t>
      </w:r>
      <w:r w:rsidR="00A01FC9">
        <w:rPr>
          <w:rFonts w:ascii="Times New Roman" w:hAnsi="Times New Roman"/>
          <w:b/>
        </w:rPr>
        <w:t>2</w:t>
      </w:r>
    </w:p>
    <w:p w14:paraId="70BD26F0" w14:textId="77777777" w:rsidR="002E3FB6" w:rsidRDefault="00E94677" w:rsidP="00422605">
      <w:pPr>
        <w:widowControl w:val="0"/>
        <w:autoSpaceDE w:val="0"/>
        <w:autoSpaceDN w:val="0"/>
        <w:adjustRightInd w:val="0"/>
        <w:spacing w:after="120" w:line="312" w:lineRule="auto"/>
        <w:jc w:val="both"/>
        <w:rPr>
          <w:rFonts w:ascii="Times New Roman" w:hAnsi="Times New Roman"/>
        </w:rPr>
      </w:pPr>
      <w:r w:rsidRPr="00E94677">
        <w:rPr>
          <w:rFonts w:ascii="Times New Roman" w:hAnsi="Times New Roman"/>
        </w:rPr>
        <w:t>Navrh</w:t>
      </w:r>
      <w:r>
        <w:rPr>
          <w:rFonts w:ascii="Times New Roman" w:hAnsi="Times New Roman"/>
        </w:rPr>
        <w:t>ovanou úpravou § 58 odst. 1 se uvádí postup pro zahájení dodávky dodavatelem poslední instance do souladu s novelou energetického zákona. V rámci provedené úpravy se rovněž zpřesňuje termín pro poskytnutí informace</w:t>
      </w:r>
      <w:r w:rsidR="002E3FB6">
        <w:rPr>
          <w:rFonts w:ascii="Times New Roman" w:hAnsi="Times New Roman"/>
        </w:rPr>
        <w:t xml:space="preserve"> operátorovi trhu</w:t>
      </w:r>
      <w:r>
        <w:rPr>
          <w:rFonts w:ascii="Times New Roman" w:hAnsi="Times New Roman"/>
        </w:rPr>
        <w:t xml:space="preserve"> o zrušení oprávnění (licence) dodavateli</w:t>
      </w:r>
      <w:r w:rsidR="002E3FB6">
        <w:rPr>
          <w:rFonts w:ascii="Times New Roman" w:hAnsi="Times New Roman"/>
        </w:rPr>
        <w:t xml:space="preserve"> Energetickým regulačním úřadem.</w:t>
      </w:r>
    </w:p>
    <w:p w14:paraId="3BB3CECD" w14:textId="22C0FF56" w:rsidR="001F362F" w:rsidRPr="002E3FB6" w:rsidRDefault="002E3FB6" w:rsidP="00422605">
      <w:pPr>
        <w:widowControl w:val="0"/>
        <w:autoSpaceDE w:val="0"/>
        <w:autoSpaceDN w:val="0"/>
        <w:adjustRightInd w:val="0"/>
        <w:spacing w:after="120" w:line="312" w:lineRule="auto"/>
        <w:jc w:val="both"/>
        <w:rPr>
          <w:rFonts w:ascii="Times New Roman" w:hAnsi="Times New Roman"/>
          <w:b/>
        </w:rPr>
      </w:pPr>
      <w:r w:rsidRPr="002E3FB6">
        <w:rPr>
          <w:rFonts w:ascii="Times New Roman" w:hAnsi="Times New Roman"/>
          <w:b/>
        </w:rPr>
        <w:t>K bodu 4</w:t>
      </w:r>
      <w:r w:rsidR="00A01FC9">
        <w:rPr>
          <w:rFonts w:ascii="Times New Roman" w:hAnsi="Times New Roman"/>
          <w:b/>
        </w:rPr>
        <w:t>3</w:t>
      </w:r>
      <w:r w:rsidR="00E94677" w:rsidRPr="002E3FB6">
        <w:rPr>
          <w:rFonts w:ascii="Times New Roman" w:hAnsi="Times New Roman"/>
          <w:b/>
        </w:rPr>
        <w:t xml:space="preserve">  </w:t>
      </w:r>
    </w:p>
    <w:p w14:paraId="41A524B4" w14:textId="12387F8B" w:rsidR="001F362F" w:rsidRDefault="003B3F5A" w:rsidP="00422605">
      <w:pPr>
        <w:widowControl w:val="0"/>
        <w:autoSpaceDE w:val="0"/>
        <w:autoSpaceDN w:val="0"/>
        <w:adjustRightInd w:val="0"/>
        <w:spacing w:after="120" w:line="312" w:lineRule="auto"/>
        <w:jc w:val="both"/>
        <w:rPr>
          <w:rFonts w:ascii="Times New Roman" w:hAnsi="Times New Roman"/>
        </w:rPr>
      </w:pPr>
      <w:r w:rsidRPr="003B3F5A">
        <w:rPr>
          <w:rFonts w:ascii="Times New Roman" w:hAnsi="Times New Roman"/>
        </w:rPr>
        <w:t>Navrhova</w:t>
      </w:r>
      <w:r>
        <w:rPr>
          <w:rFonts w:ascii="Times New Roman" w:hAnsi="Times New Roman"/>
        </w:rPr>
        <w:t>nou úpravou § 58 odst. 3 a 4 se uvádí postup pro zahájení dodávky dodavatelem poslední instance do souladu s novelou energetického zákona. V rámci provedené úpravy se doplňuje postup o informační povinnost operátora trhu, který vyhodnotí již probíhající změny dodavatele elektřiny a o vyhodnocení informuje dotčené dodavatele, subjekty zúčtování a provozovatele soustavy.</w:t>
      </w:r>
    </w:p>
    <w:p w14:paraId="1C81C37A" w14:textId="611038E4" w:rsidR="003B3F5A" w:rsidRPr="003B3F5A" w:rsidRDefault="003B3F5A" w:rsidP="00422605">
      <w:pPr>
        <w:widowControl w:val="0"/>
        <w:autoSpaceDE w:val="0"/>
        <w:autoSpaceDN w:val="0"/>
        <w:adjustRightInd w:val="0"/>
        <w:spacing w:after="120" w:line="312" w:lineRule="auto"/>
        <w:jc w:val="both"/>
        <w:rPr>
          <w:rFonts w:ascii="Times New Roman" w:hAnsi="Times New Roman"/>
          <w:b/>
        </w:rPr>
      </w:pPr>
      <w:r w:rsidRPr="003B3F5A">
        <w:rPr>
          <w:rFonts w:ascii="Times New Roman" w:hAnsi="Times New Roman"/>
          <w:b/>
        </w:rPr>
        <w:t>K bodu 4</w:t>
      </w:r>
      <w:r w:rsidR="00A01FC9">
        <w:rPr>
          <w:rFonts w:ascii="Times New Roman" w:hAnsi="Times New Roman"/>
          <w:b/>
        </w:rPr>
        <w:t>4</w:t>
      </w:r>
    </w:p>
    <w:p w14:paraId="31C6AF02" w14:textId="3119EB22" w:rsidR="001F362F" w:rsidRDefault="003B3F5A" w:rsidP="00422605">
      <w:pPr>
        <w:widowControl w:val="0"/>
        <w:autoSpaceDE w:val="0"/>
        <w:autoSpaceDN w:val="0"/>
        <w:adjustRightInd w:val="0"/>
        <w:spacing w:after="120" w:line="312" w:lineRule="auto"/>
        <w:jc w:val="both"/>
        <w:rPr>
          <w:rFonts w:ascii="Times New Roman" w:hAnsi="Times New Roman"/>
        </w:rPr>
      </w:pPr>
      <w:r w:rsidRPr="003B3F5A">
        <w:rPr>
          <w:rFonts w:ascii="Times New Roman" w:hAnsi="Times New Roman"/>
        </w:rPr>
        <w:lastRenderedPageBreak/>
        <w:t>Navrhovaná</w:t>
      </w:r>
      <w:r>
        <w:rPr>
          <w:rFonts w:ascii="Times New Roman" w:hAnsi="Times New Roman"/>
        </w:rPr>
        <w:t xml:space="preserve"> úprava § 59 odst. 1 a 2 je legislativně technickou úpravou. Vlivem </w:t>
      </w:r>
      <w:r w:rsidR="00153A0B">
        <w:rPr>
          <w:rFonts w:ascii="Times New Roman" w:hAnsi="Times New Roman"/>
        </w:rPr>
        <w:t xml:space="preserve">dalších úprav postupu zahájení dodávky dodavatelem poslední instance je uvedený odkaz nepotřebný. </w:t>
      </w:r>
    </w:p>
    <w:p w14:paraId="7A79D5FF" w14:textId="46637AF0" w:rsidR="00153A0B" w:rsidRDefault="00153A0B" w:rsidP="00422605">
      <w:pPr>
        <w:widowControl w:val="0"/>
        <w:autoSpaceDE w:val="0"/>
        <w:autoSpaceDN w:val="0"/>
        <w:adjustRightInd w:val="0"/>
        <w:spacing w:after="120" w:line="312" w:lineRule="auto"/>
        <w:jc w:val="both"/>
        <w:rPr>
          <w:rFonts w:ascii="Times New Roman" w:hAnsi="Times New Roman"/>
          <w:b/>
        </w:rPr>
      </w:pPr>
      <w:r w:rsidRPr="00153A0B">
        <w:rPr>
          <w:rFonts w:ascii="Times New Roman" w:hAnsi="Times New Roman"/>
          <w:b/>
        </w:rPr>
        <w:t>K bodu 4</w:t>
      </w:r>
      <w:r w:rsidR="00A01FC9">
        <w:rPr>
          <w:rFonts w:ascii="Times New Roman" w:hAnsi="Times New Roman"/>
          <w:b/>
        </w:rPr>
        <w:t>5</w:t>
      </w:r>
    </w:p>
    <w:p w14:paraId="5DCC4417" w14:textId="01E51FF4" w:rsidR="00153A0B" w:rsidRDefault="00153A0B" w:rsidP="00422605">
      <w:pPr>
        <w:widowControl w:val="0"/>
        <w:autoSpaceDE w:val="0"/>
        <w:autoSpaceDN w:val="0"/>
        <w:adjustRightInd w:val="0"/>
        <w:spacing w:after="120" w:line="312" w:lineRule="auto"/>
        <w:jc w:val="both"/>
        <w:rPr>
          <w:rFonts w:ascii="Times New Roman" w:hAnsi="Times New Roman"/>
        </w:rPr>
      </w:pPr>
      <w:r w:rsidRPr="00153A0B">
        <w:rPr>
          <w:rFonts w:ascii="Times New Roman" w:hAnsi="Times New Roman"/>
        </w:rPr>
        <w:t xml:space="preserve">Navrhovanou </w:t>
      </w:r>
      <w:r>
        <w:rPr>
          <w:rFonts w:ascii="Times New Roman" w:hAnsi="Times New Roman"/>
        </w:rPr>
        <w:t xml:space="preserve">úpravou § 59 odst. 3 dochází ke zpřesnění postupu zrychlené změny dodavatele v případě, že nastane některá ze zákonných podmínek pro zahájení dodávky dodavatelem poslední instance. </w:t>
      </w:r>
      <w:r w:rsidR="000F3D43">
        <w:rPr>
          <w:rFonts w:ascii="Times New Roman" w:hAnsi="Times New Roman"/>
        </w:rPr>
        <w:t>Ustanovení odstavce 3 se doplňuje o</w:t>
      </w:r>
      <w:r w:rsidR="00114683">
        <w:rPr>
          <w:rFonts w:ascii="Times New Roman" w:hAnsi="Times New Roman"/>
        </w:rPr>
        <w:t xml:space="preserve"> postup operátora trhu v případě, kdy při zrychlené změně dodavatele nedojde k zajištění finančního jištění plateb subjektu zúčtování. Operátor trhu zrychlenou změnu dodavatele zamítá a zahájí se dodávka dodavatelem poslední instance.</w:t>
      </w:r>
    </w:p>
    <w:p w14:paraId="36DF76C1" w14:textId="76AAD915" w:rsidR="00114683" w:rsidRDefault="00114683" w:rsidP="00422605">
      <w:pPr>
        <w:widowControl w:val="0"/>
        <w:autoSpaceDE w:val="0"/>
        <w:autoSpaceDN w:val="0"/>
        <w:adjustRightInd w:val="0"/>
        <w:spacing w:after="120" w:line="312" w:lineRule="auto"/>
        <w:jc w:val="both"/>
        <w:rPr>
          <w:rFonts w:ascii="Times New Roman" w:hAnsi="Times New Roman"/>
        </w:rPr>
      </w:pPr>
      <w:r>
        <w:rPr>
          <w:rFonts w:ascii="Times New Roman" w:hAnsi="Times New Roman"/>
        </w:rPr>
        <w:t xml:space="preserve">Navrhovanou úpravou § 59 odst. 4 dochází k uvedení postupu do souladu s platnou právní úpravou energetického zákona. Zejména se doplňuje postup, kterým se zajistí naplnění § </w:t>
      </w:r>
      <w:proofErr w:type="gramStart"/>
      <w:r>
        <w:rPr>
          <w:rFonts w:ascii="Times New Roman" w:hAnsi="Times New Roman"/>
        </w:rPr>
        <w:t>12d</w:t>
      </w:r>
      <w:proofErr w:type="gramEnd"/>
      <w:r>
        <w:rPr>
          <w:rFonts w:ascii="Times New Roman" w:hAnsi="Times New Roman"/>
        </w:rPr>
        <w:t xml:space="preserve"> odst. 2 energetického zákona. Tento postup je rovněž doplněn o informační povinnost operátorem trhu o probíhajících změnách dodavatele v příslušném předávacím místě odběrného místa, o kterých informuje dodavatele poslední instance. Cílem této úpravy je zajistit plynulý přechod zákazníků z dodávky dodavatelem poslední instance na standardní dodávku dodavatelem elektřiny podle § </w:t>
      </w:r>
      <w:proofErr w:type="gramStart"/>
      <w:r>
        <w:rPr>
          <w:rFonts w:ascii="Times New Roman" w:hAnsi="Times New Roman"/>
        </w:rPr>
        <w:t>12d</w:t>
      </w:r>
      <w:proofErr w:type="gramEnd"/>
      <w:r>
        <w:rPr>
          <w:rFonts w:ascii="Times New Roman" w:hAnsi="Times New Roman"/>
        </w:rPr>
        <w:t xml:space="preserve"> odst. 2 energetického zákona</w:t>
      </w:r>
      <w:r w:rsidR="00D55090">
        <w:rPr>
          <w:rFonts w:ascii="Times New Roman" w:hAnsi="Times New Roman"/>
        </w:rPr>
        <w:t xml:space="preserve"> (viz také bod 35)</w:t>
      </w:r>
      <w:r>
        <w:rPr>
          <w:rFonts w:ascii="Times New Roman" w:hAnsi="Times New Roman"/>
        </w:rPr>
        <w:t>.</w:t>
      </w:r>
    </w:p>
    <w:p w14:paraId="4F5EE559" w14:textId="5F44AE17" w:rsidR="00D55090" w:rsidRDefault="00D55090" w:rsidP="00422605">
      <w:pPr>
        <w:widowControl w:val="0"/>
        <w:autoSpaceDE w:val="0"/>
        <w:autoSpaceDN w:val="0"/>
        <w:adjustRightInd w:val="0"/>
        <w:spacing w:after="120" w:line="312" w:lineRule="auto"/>
        <w:jc w:val="both"/>
        <w:rPr>
          <w:rFonts w:ascii="Times New Roman" w:hAnsi="Times New Roman"/>
        </w:rPr>
      </w:pPr>
      <w:r w:rsidRPr="00D55090">
        <w:rPr>
          <w:rFonts w:ascii="Times New Roman" w:hAnsi="Times New Roman"/>
        </w:rPr>
        <w:t>Navrhovanou úpravou § 59 odst. 5</w:t>
      </w:r>
      <w:r>
        <w:rPr>
          <w:rFonts w:ascii="Times New Roman" w:hAnsi="Times New Roman"/>
        </w:rPr>
        <w:t xml:space="preserve"> dochází k legislativně technickým úpravám, kdy část textu odstavce 4 se vyčleňuje do samostatného odstavce, který se doplňuje o postup, kterým se zajistí soulad s § </w:t>
      </w:r>
      <w:proofErr w:type="gramStart"/>
      <w:r>
        <w:rPr>
          <w:rFonts w:ascii="Times New Roman" w:hAnsi="Times New Roman"/>
        </w:rPr>
        <w:t>12d</w:t>
      </w:r>
      <w:proofErr w:type="gramEnd"/>
      <w:r>
        <w:rPr>
          <w:rFonts w:ascii="Times New Roman" w:hAnsi="Times New Roman"/>
        </w:rPr>
        <w:t xml:space="preserve"> odst. 2 energetického zákona (viz výše navrhované úpravy odstavce 4).</w:t>
      </w:r>
    </w:p>
    <w:p w14:paraId="68D79AB2" w14:textId="7170298B" w:rsidR="00D55090" w:rsidRDefault="00D55090" w:rsidP="00422605">
      <w:pPr>
        <w:widowControl w:val="0"/>
        <w:autoSpaceDE w:val="0"/>
        <w:autoSpaceDN w:val="0"/>
        <w:adjustRightInd w:val="0"/>
        <w:spacing w:after="120" w:line="312" w:lineRule="auto"/>
        <w:jc w:val="both"/>
        <w:rPr>
          <w:rFonts w:ascii="Times New Roman" w:hAnsi="Times New Roman"/>
          <w:b/>
        </w:rPr>
      </w:pPr>
      <w:r w:rsidRPr="00D55090">
        <w:rPr>
          <w:rFonts w:ascii="Times New Roman" w:hAnsi="Times New Roman"/>
          <w:b/>
        </w:rPr>
        <w:t>K bodu 4</w:t>
      </w:r>
      <w:r w:rsidR="00A01FC9">
        <w:rPr>
          <w:rFonts w:ascii="Times New Roman" w:hAnsi="Times New Roman"/>
          <w:b/>
        </w:rPr>
        <w:t>6</w:t>
      </w:r>
    </w:p>
    <w:p w14:paraId="2AA2EB29" w14:textId="0777B277" w:rsidR="002F23C0" w:rsidRPr="002F23C0" w:rsidRDefault="002F23C0" w:rsidP="00422605">
      <w:pPr>
        <w:widowControl w:val="0"/>
        <w:autoSpaceDE w:val="0"/>
        <w:autoSpaceDN w:val="0"/>
        <w:adjustRightInd w:val="0"/>
        <w:spacing w:after="120" w:line="312" w:lineRule="auto"/>
        <w:jc w:val="both"/>
        <w:rPr>
          <w:rFonts w:ascii="Times New Roman" w:hAnsi="Times New Roman"/>
        </w:rPr>
      </w:pPr>
      <w:r w:rsidRPr="002F23C0">
        <w:rPr>
          <w:rFonts w:ascii="Times New Roman" w:hAnsi="Times New Roman"/>
        </w:rPr>
        <w:t>Navrho</w:t>
      </w:r>
      <w:r>
        <w:rPr>
          <w:rFonts w:ascii="Times New Roman" w:hAnsi="Times New Roman"/>
        </w:rPr>
        <w:t xml:space="preserve">vanou úpravou § 62 odst. 3 dochází ke zjednodušení postupu podávání žádosti o zajištění služby přenosové nebo distribuční soustavy v režimu provozu pro ověření technologie. </w:t>
      </w:r>
      <w:r w:rsidR="00FF0E40">
        <w:rPr>
          <w:rFonts w:ascii="Times New Roman" w:hAnsi="Times New Roman"/>
        </w:rPr>
        <w:t xml:space="preserve">Nyní bylo možné podat žádost pět pracovních dní před prvním dnem kalendářního měsíce, ve kterém se služba požaduje zahájit. Navrhovanou úpravou bude mít žadatel možnost podat žádost 5 pracovních před požadovaným termínem. Jinými slovy ruší se vazba na začátek kalendářního měsíce. </w:t>
      </w:r>
    </w:p>
    <w:p w14:paraId="4CD2922E" w14:textId="76F6A9F6" w:rsidR="00D55090" w:rsidRDefault="002A2884" w:rsidP="00422605">
      <w:pPr>
        <w:widowControl w:val="0"/>
        <w:autoSpaceDE w:val="0"/>
        <w:autoSpaceDN w:val="0"/>
        <w:adjustRightInd w:val="0"/>
        <w:spacing w:after="120" w:line="312" w:lineRule="auto"/>
        <w:jc w:val="both"/>
        <w:rPr>
          <w:rFonts w:ascii="Times New Roman" w:hAnsi="Times New Roman"/>
          <w:b/>
        </w:rPr>
      </w:pPr>
      <w:r>
        <w:rPr>
          <w:rFonts w:ascii="Times New Roman" w:hAnsi="Times New Roman"/>
          <w:b/>
        </w:rPr>
        <w:t>K bodu 4</w:t>
      </w:r>
      <w:r w:rsidR="00812A5C">
        <w:rPr>
          <w:rFonts w:ascii="Times New Roman" w:hAnsi="Times New Roman"/>
          <w:b/>
        </w:rPr>
        <w:t>7</w:t>
      </w:r>
    </w:p>
    <w:p w14:paraId="09779D0A" w14:textId="6FE334EE" w:rsidR="00FF0E40" w:rsidRPr="00FF0E40" w:rsidRDefault="00FF0E40" w:rsidP="00422605">
      <w:pPr>
        <w:widowControl w:val="0"/>
        <w:autoSpaceDE w:val="0"/>
        <w:autoSpaceDN w:val="0"/>
        <w:adjustRightInd w:val="0"/>
        <w:spacing w:after="120" w:line="312" w:lineRule="auto"/>
        <w:jc w:val="both"/>
        <w:rPr>
          <w:rFonts w:ascii="Times New Roman" w:hAnsi="Times New Roman"/>
        </w:rPr>
      </w:pPr>
      <w:r w:rsidRPr="00FF0E40">
        <w:rPr>
          <w:rFonts w:ascii="Times New Roman" w:hAnsi="Times New Roman"/>
        </w:rPr>
        <w:t>Nav</w:t>
      </w:r>
      <w:r>
        <w:rPr>
          <w:rFonts w:ascii="Times New Roman" w:hAnsi="Times New Roman"/>
        </w:rPr>
        <w:t>rhovanou úpravou § 62 odst. 4 dochází ke zjednodušení postupu podávání žádosti o zajištění služby přenosové nebo distribuční soustavy v režimu provozu pro ověření technologie. Provedené úpravy navazují na provedené úpravy v odstavci 3 (viz bod 4</w:t>
      </w:r>
      <w:r w:rsidR="00812A5C">
        <w:rPr>
          <w:rFonts w:ascii="Times New Roman" w:hAnsi="Times New Roman"/>
        </w:rPr>
        <w:t>6</w:t>
      </w:r>
      <w:r>
        <w:rPr>
          <w:rFonts w:ascii="Times New Roman" w:hAnsi="Times New Roman"/>
        </w:rPr>
        <w:t xml:space="preserve">). Navrhovanou úpravou se mění datum zahájení poskytování služby přenosové nebo distribuční soustavy v režimu provozu pro ověření technologie a datum ukončení, přičemž oba termíny jsou podmíněny smluvním ujednáním mezi žadatelem a provozovatelem přenosové nebo distribuční soustavy. </w:t>
      </w:r>
      <w:r w:rsidR="00635C05">
        <w:rPr>
          <w:rFonts w:ascii="Times New Roman" w:hAnsi="Times New Roman"/>
        </w:rPr>
        <w:t>Rovněž se vymezuje doba, pro kterou lze sjednat službu přenosové soustavy nebo distribuční soustavy v provozu pro ověření technologie zákazníka.</w:t>
      </w:r>
    </w:p>
    <w:p w14:paraId="5A0FD636" w14:textId="7A728452" w:rsidR="002A2884" w:rsidRDefault="002A2884" w:rsidP="00422605">
      <w:pPr>
        <w:widowControl w:val="0"/>
        <w:autoSpaceDE w:val="0"/>
        <w:autoSpaceDN w:val="0"/>
        <w:adjustRightInd w:val="0"/>
        <w:spacing w:after="120" w:line="312" w:lineRule="auto"/>
        <w:jc w:val="both"/>
        <w:rPr>
          <w:rFonts w:ascii="Times New Roman" w:hAnsi="Times New Roman"/>
          <w:b/>
        </w:rPr>
      </w:pPr>
      <w:r>
        <w:rPr>
          <w:rFonts w:ascii="Times New Roman" w:hAnsi="Times New Roman"/>
          <w:b/>
        </w:rPr>
        <w:t>K bodu 4</w:t>
      </w:r>
      <w:r w:rsidR="00812A5C">
        <w:rPr>
          <w:rFonts w:ascii="Times New Roman" w:hAnsi="Times New Roman"/>
          <w:b/>
        </w:rPr>
        <w:t>8</w:t>
      </w:r>
    </w:p>
    <w:p w14:paraId="0135B365" w14:textId="5DFDDD62" w:rsidR="00FF0E40" w:rsidRPr="00A76E36" w:rsidRDefault="00A76E36" w:rsidP="00422605">
      <w:pPr>
        <w:widowControl w:val="0"/>
        <w:autoSpaceDE w:val="0"/>
        <w:autoSpaceDN w:val="0"/>
        <w:adjustRightInd w:val="0"/>
        <w:spacing w:after="120" w:line="312" w:lineRule="auto"/>
        <w:jc w:val="both"/>
        <w:rPr>
          <w:rFonts w:ascii="Times New Roman" w:hAnsi="Times New Roman"/>
        </w:rPr>
      </w:pPr>
      <w:r w:rsidRPr="00A76E36">
        <w:rPr>
          <w:rFonts w:ascii="Times New Roman" w:hAnsi="Times New Roman"/>
        </w:rPr>
        <w:t>Navrhovan</w:t>
      </w:r>
      <w:r>
        <w:rPr>
          <w:rFonts w:ascii="Times New Roman" w:hAnsi="Times New Roman"/>
        </w:rPr>
        <w:t>á úprava přílohy č. 2 a 4 navazuje na provedené úpravy postupu pro zajištění služby přenosové nebo distribuční soustavy v režimu provozu pro ověření technologie. Provedenou úpravou bude zajištěn soulad s úpravou postupu v § 62 odst. 3 a 4 (viz bod 4</w:t>
      </w:r>
      <w:r w:rsidR="00812A5C">
        <w:rPr>
          <w:rFonts w:ascii="Times New Roman" w:hAnsi="Times New Roman"/>
        </w:rPr>
        <w:t>6</w:t>
      </w:r>
      <w:r>
        <w:rPr>
          <w:rFonts w:ascii="Times New Roman" w:hAnsi="Times New Roman"/>
        </w:rPr>
        <w:t xml:space="preserve"> a 4</w:t>
      </w:r>
      <w:r w:rsidR="00812A5C">
        <w:rPr>
          <w:rFonts w:ascii="Times New Roman" w:hAnsi="Times New Roman"/>
        </w:rPr>
        <w:t>7</w:t>
      </w:r>
      <w:r>
        <w:rPr>
          <w:rFonts w:ascii="Times New Roman" w:hAnsi="Times New Roman"/>
        </w:rPr>
        <w:t>).</w:t>
      </w:r>
    </w:p>
    <w:p w14:paraId="5CB06357" w14:textId="6F22E2B3" w:rsidR="002A2884" w:rsidRDefault="002A2884" w:rsidP="00422605">
      <w:pPr>
        <w:widowControl w:val="0"/>
        <w:autoSpaceDE w:val="0"/>
        <w:autoSpaceDN w:val="0"/>
        <w:adjustRightInd w:val="0"/>
        <w:spacing w:after="120" w:line="312" w:lineRule="auto"/>
        <w:jc w:val="both"/>
        <w:rPr>
          <w:rFonts w:ascii="Times New Roman" w:hAnsi="Times New Roman"/>
          <w:b/>
        </w:rPr>
      </w:pPr>
      <w:r>
        <w:rPr>
          <w:rFonts w:ascii="Times New Roman" w:hAnsi="Times New Roman"/>
          <w:b/>
        </w:rPr>
        <w:t xml:space="preserve">K bodu </w:t>
      </w:r>
      <w:r w:rsidR="00812A5C">
        <w:rPr>
          <w:rFonts w:ascii="Times New Roman" w:hAnsi="Times New Roman"/>
          <w:b/>
        </w:rPr>
        <w:t>49</w:t>
      </w:r>
    </w:p>
    <w:p w14:paraId="42B93924" w14:textId="285FCEA9" w:rsidR="008B7E95" w:rsidRDefault="00A76E36" w:rsidP="00422605">
      <w:pPr>
        <w:widowControl w:val="0"/>
        <w:autoSpaceDE w:val="0"/>
        <w:autoSpaceDN w:val="0"/>
        <w:adjustRightInd w:val="0"/>
        <w:spacing w:after="120" w:line="312" w:lineRule="auto"/>
        <w:jc w:val="both"/>
        <w:rPr>
          <w:rFonts w:ascii="Times New Roman" w:hAnsi="Times New Roman"/>
        </w:rPr>
      </w:pPr>
      <w:r w:rsidRPr="00A76E36">
        <w:rPr>
          <w:rFonts w:ascii="Times New Roman" w:hAnsi="Times New Roman"/>
        </w:rPr>
        <w:lastRenderedPageBreak/>
        <w:t>Navrhovan</w:t>
      </w:r>
      <w:r w:rsidR="008B7E95">
        <w:rPr>
          <w:rFonts w:ascii="Times New Roman" w:hAnsi="Times New Roman"/>
        </w:rPr>
        <w:t>ou</w:t>
      </w:r>
      <w:r w:rsidRPr="00A76E36">
        <w:rPr>
          <w:rFonts w:ascii="Times New Roman" w:hAnsi="Times New Roman"/>
        </w:rPr>
        <w:t xml:space="preserve"> úprav</w:t>
      </w:r>
      <w:r w:rsidR="008B7E95">
        <w:rPr>
          <w:rFonts w:ascii="Times New Roman" w:hAnsi="Times New Roman"/>
        </w:rPr>
        <w:t>ou</w:t>
      </w:r>
      <w:r>
        <w:rPr>
          <w:rFonts w:ascii="Times New Roman" w:hAnsi="Times New Roman"/>
        </w:rPr>
        <w:t xml:space="preserve"> přílohy č. 9 až 12 výkazy výrobce elektřiny a výkazy provozovatele lokální distribuční soustavy </w:t>
      </w:r>
      <w:r w:rsidR="008B7E95">
        <w:rPr>
          <w:rFonts w:ascii="Times New Roman" w:hAnsi="Times New Roman"/>
        </w:rPr>
        <w:t>dochází k úpravě kontrolních vzorců, pomocí kterých se zamezí riziku chybného v</w:t>
      </w:r>
      <w:r w:rsidR="00AE20B6">
        <w:rPr>
          <w:rFonts w:ascii="Times New Roman" w:hAnsi="Times New Roman"/>
        </w:rPr>
        <w:t>ý</w:t>
      </w:r>
      <w:r w:rsidR="008B7E95">
        <w:rPr>
          <w:rFonts w:ascii="Times New Roman" w:hAnsi="Times New Roman"/>
        </w:rPr>
        <w:t>počtu platby na podporované zdroje energie.</w:t>
      </w:r>
    </w:p>
    <w:p w14:paraId="2D8C4CD4" w14:textId="7E87F6F1" w:rsidR="002A2884" w:rsidRPr="00D55090" w:rsidRDefault="008B7E95" w:rsidP="00422605">
      <w:pPr>
        <w:widowControl w:val="0"/>
        <w:autoSpaceDE w:val="0"/>
        <w:autoSpaceDN w:val="0"/>
        <w:adjustRightInd w:val="0"/>
        <w:spacing w:after="120" w:line="312" w:lineRule="auto"/>
        <w:jc w:val="both"/>
        <w:rPr>
          <w:rFonts w:ascii="Times New Roman" w:hAnsi="Times New Roman"/>
          <w:b/>
        </w:rPr>
      </w:pPr>
      <w:r w:rsidRPr="008B7E95">
        <w:rPr>
          <w:rFonts w:ascii="Times New Roman" w:hAnsi="Times New Roman"/>
          <w:b/>
        </w:rPr>
        <w:t>K bodu 5</w:t>
      </w:r>
      <w:r w:rsidR="00812A5C">
        <w:rPr>
          <w:rFonts w:ascii="Times New Roman" w:hAnsi="Times New Roman"/>
          <w:b/>
        </w:rPr>
        <w:t>0</w:t>
      </w:r>
      <w:r w:rsidR="00A76E36" w:rsidRPr="008B7E95">
        <w:rPr>
          <w:rFonts w:ascii="Times New Roman" w:hAnsi="Times New Roman"/>
          <w:b/>
        </w:rPr>
        <w:t xml:space="preserve">  </w:t>
      </w:r>
    </w:p>
    <w:p w14:paraId="471410CE" w14:textId="77777777" w:rsidR="008B7E95" w:rsidRDefault="008B7E95" w:rsidP="00422605">
      <w:pPr>
        <w:widowControl w:val="0"/>
        <w:autoSpaceDE w:val="0"/>
        <w:autoSpaceDN w:val="0"/>
        <w:adjustRightInd w:val="0"/>
        <w:spacing w:after="120" w:line="312" w:lineRule="auto"/>
        <w:jc w:val="both"/>
        <w:rPr>
          <w:rFonts w:ascii="Times New Roman" w:hAnsi="Times New Roman"/>
        </w:rPr>
      </w:pPr>
      <w:r w:rsidRPr="008B7E95">
        <w:rPr>
          <w:rFonts w:ascii="Times New Roman" w:hAnsi="Times New Roman"/>
        </w:rPr>
        <w:t xml:space="preserve">Navrhované </w:t>
      </w:r>
      <w:r>
        <w:rPr>
          <w:rFonts w:ascii="Times New Roman" w:hAnsi="Times New Roman"/>
        </w:rPr>
        <w:t>úpravy přílohy č. 17 jsou legislativně technického charakteru. Jednak dochází k textovým úpravám, a rovněž se doplňuje odkaz na § 45 odst. 6 a vymezují se povinné a volitelné údaje o zákazníkovi.</w:t>
      </w:r>
    </w:p>
    <w:p w14:paraId="41157163" w14:textId="41197BAE" w:rsidR="008B7E95" w:rsidRDefault="008B7E95" w:rsidP="00422605">
      <w:pPr>
        <w:widowControl w:val="0"/>
        <w:autoSpaceDE w:val="0"/>
        <w:autoSpaceDN w:val="0"/>
        <w:adjustRightInd w:val="0"/>
        <w:spacing w:after="120" w:line="312" w:lineRule="auto"/>
        <w:jc w:val="both"/>
        <w:rPr>
          <w:rFonts w:ascii="Times New Roman" w:hAnsi="Times New Roman"/>
          <w:b/>
        </w:rPr>
      </w:pPr>
      <w:r w:rsidRPr="008B7E95">
        <w:rPr>
          <w:rFonts w:ascii="Times New Roman" w:hAnsi="Times New Roman"/>
          <w:b/>
        </w:rPr>
        <w:t>K bodu 5</w:t>
      </w:r>
      <w:r w:rsidR="00812A5C">
        <w:rPr>
          <w:rFonts w:ascii="Times New Roman" w:hAnsi="Times New Roman"/>
          <w:b/>
        </w:rPr>
        <w:t>1</w:t>
      </w:r>
    </w:p>
    <w:p w14:paraId="477C447A" w14:textId="7225E2BE" w:rsidR="003444C5" w:rsidRDefault="008B7E95" w:rsidP="00422605">
      <w:pPr>
        <w:widowControl w:val="0"/>
        <w:autoSpaceDE w:val="0"/>
        <w:autoSpaceDN w:val="0"/>
        <w:adjustRightInd w:val="0"/>
        <w:spacing w:after="120" w:line="312" w:lineRule="auto"/>
        <w:jc w:val="both"/>
        <w:rPr>
          <w:rFonts w:ascii="Times New Roman" w:eastAsiaTheme="minorHAnsi" w:hAnsi="Times New Roman" w:cs="Times New Roman"/>
        </w:rPr>
      </w:pPr>
      <w:r w:rsidRPr="008B7E95">
        <w:rPr>
          <w:rFonts w:ascii="Times New Roman" w:hAnsi="Times New Roman"/>
        </w:rPr>
        <w:t>Navrhovaná</w:t>
      </w:r>
      <w:r>
        <w:rPr>
          <w:rFonts w:ascii="Times New Roman" w:hAnsi="Times New Roman"/>
        </w:rPr>
        <w:t xml:space="preserve"> úprava přílohy č. 20</w:t>
      </w:r>
      <w:r w:rsidR="00D542FF">
        <w:rPr>
          <w:rFonts w:ascii="Times New Roman" w:hAnsi="Times New Roman"/>
        </w:rPr>
        <w:t xml:space="preserve"> navazuje na provedené změny ve vyhlášce </w:t>
      </w:r>
      <w:r w:rsidR="00403DF3">
        <w:rPr>
          <w:rFonts w:ascii="Times New Roman" w:hAnsi="Times New Roman"/>
        </w:rPr>
        <w:t xml:space="preserve">související snově zaváděnou </w:t>
      </w:r>
      <w:r w:rsidR="00403DF3">
        <w:rPr>
          <w:rFonts w:ascii="Times New Roman" w:eastAsiaTheme="minorHAnsi" w:hAnsi="Times New Roman" w:cs="Times New Roman"/>
        </w:rPr>
        <w:t>specifickou úprav</w:t>
      </w:r>
      <w:r w:rsidR="00B40524">
        <w:rPr>
          <w:rFonts w:ascii="Times New Roman" w:eastAsiaTheme="minorHAnsi" w:hAnsi="Times New Roman" w:cs="Times New Roman"/>
        </w:rPr>
        <w:t>ou</w:t>
      </w:r>
      <w:r w:rsidR="00403DF3" w:rsidRPr="003D7FBF">
        <w:rPr>
          <w:rFonts w:ascii="Times New Roman" w:eastAsiaTheme="minorHAnsi" w:hAnsi="Times New Roman" w:cs="Times New Roman"/>
        </w:rPr>
        <w:t xml:space="preserve"> </w:t>
      </w:r>
      <w:r w:rsidR="00403DF3" w:rsidRPr="00AD484D">
        <w:rPr>
          <w:rFonts w:ascii="Times New Roman" w:eastAsiaTheme="minorHAnsi" w:hAnsi="Times New Roman" w:cs="Times New Roman"/>
        </w:rPr>
        <w:t xml:space="preserve">předávání údajů pro </w:t>
      </w:r>
      <w:r w:rsidR="00403DF3">
        <w:rPr>
          <w:rFonts w:ascii="Times New Roman" w:eastAsiaTheme="minorHAnsi" w:hAnsi="Times New Roman" w:cs="Times New Roman"/>
        </w:rPr>
        <w:t>vyhodnocování</w:t>
      </w:r>
      <w:r w:rsidR="00403DF3" w:rsidRPr="00E27173">
        <w:rPr>
          <w:rFonts w:ascii="Times New Roman" w:eastAsiaTheme="minorHAnsi" w:hAnsi="Times New Roman" w:cs="Times New Roman"/>
        </w:rPr>
        <w:t xml:space="preserve"> </w:t>
      </w:r>
      <w:r w:rsidR="00403DF3">
        <w:rPr>
          <w:rFonts w:ascii="Times New Roman" w:eastAsiaTheme="minorHAnsi" w:hAnsi="Times New Roman" w:cs="Times New Roman"/>
        </w:rPr>
        <w:t>(</w:t>
      </w:r>
      <w:r w:rsidR="00403DF3" w:rsidRPr="00E27173">
        <w:rPr>
          <w:rFonts w:ascii="Times New Roman" w:eastAsiaTheme="minorHAnsi" w:hAnsi="Times New Roman" w:cs="Times New Roman"/>
        </w:rPr>
        <w:t>zúčtování</w:t>
      </w:r>
      <w:r w:rsidR="00403DF3">
        <w:rPr>
          <w:rFonts w:ascii="Times New Roman" w:eastAsiaTheme="minorHAnsi" w:hAnsi="Times New Roman" w:cs="Times New Roman"/>
        </w:rPr>
        <w:t>)</w:t>
      </w:r>
      <w:r w:rsidR="00403DF3" w:rsidRPr="00E27173">
        <w:rPr>
          <w:rFonts w:ascii="Times New Roman" w:eastAsiaTheme="minorHAnsi" w:hAnsi="Times New Roman" w:cs="Times New Roman"/>
        </w:rPr>
        <w:t xml:space="preserve"> odchylek a pro vyúčtování </w:t>
      </w:r>
      <w:r w:rsidR="00403DF3">
        <w:rPr>
          <w:rFonts w:ascii="Times New Roman" w:eastAsiaTheme="minorHAnsi" w:hAnsi="Times New Roman" w:cs="Times New Roman"/>
        </w:rPr>
        <w:t>elektřiny</w:t>
      </w:r>
      <w:r w:rsidR="00403DF3" w:rsidRPr="00E27173">
        <w:rPr>
          <w:rFonts w:ascii="Times New Roman" w:eastAsiaTheme="minorHAnsi" w:hAnsi="Times New Roman" w:cs="Times New Roman"/>
        </w:rPr>
        <w:t xml:space="preserve"> zohled</w:t>
      </w:r>
      <w:r w:rsidR="00403DF3">
        <w:rPr>
          <w:rFonts w:ascii="Times New Roman" w:eastAsiaTheme="minorHAnsi" w:hAnsi="Times New Roman" w:cs="Times New Roman"/>
        </w:rPr>
        <w:t>ňující</w:t>
      </w:r>
      <w:r w:rsidR="00403DF3" w:rsidRPr="00E27173">
        <w:rPr>
          <w:rFonts w:ascii="Times New Roman" w:eastAsiaTheme="minorHAnsi" w:hAnsi="Times New Roman" w:cs="Times New Roman"/>
        </w:rPr>
        <w:t xml:space="preserve"> </w:t>
      </w:r>
      <w:r w:rsidR="00403DF3">
        <w:rPr>
          <w:rFonts w:ascii="Times New Roman" w:eastAsiaTheme="minorHAnsi" w:hAnsi="Times New Roman" w:cs="Times New Roman"/>
        </w:rPr>
        <w:t xml:space="preserve">pro předávací místa odběrného místa </w:t>
      </w:r>
      <w:r w:rsidR="00403DF3" w:rsidRPr="00E27173">
        <w:rPr>
          <w:rFonts w:ascii="Times New Roman" w:eastAsiaTheme="minorHAnsi" w:hAnsi="Times New Roman" w:cs="Times New Roman"/>
        </w:rPr>
        <w:t>množství elektřiny vyrobené v</w:t>
      </w:r>
      <w:r w:rsidR="00403DF3">
        <w:rPr>
          <w:rFonts w:ascii="Times New Roman" w:eastAsiaTheme="minorHAnsi" w:hAnsi="Times New Roman" w:cs="Times New Roman"/>
        </w:rPr>
        <w:t> </w:t>
      </w:r>
      <w:r w:rsidR="00403DF3" w:rsidRPr="00E27173">
        <w:rPr>
          <w:rFonts w:ascii="Times New Roman" w:eastAsiaTheme="minorHAnsi" w:hAnsi="Times New Roman" w:cs="Times New Roman"/>
        </w:rPr>
        <w:t>rámci</w:t>
      </w:r>
      <w:r w:rsidR="00403DF3">
        <w:rPr>
          <w:rFonts w:ascii="Times New Roman" w:eastAsiaTheme="minorHAnsi" w:hAnsi="Times New Roman" w:cs="Times New Roman"/>
        </w:rPr>
        <w:t xml:space="preserve"> téhož</w:t>
      </w:r>
      <w:r w:rsidR="00403DF3" w:rsidRPr="00E27173">
        <w:rPr>
          <w:rFonts w:ascii="Times New Roman" w:eastAsiaTheme="minorHAnsi" w:hAnsi="Times New Roman" w:cs="Times New Roman"/>
        </w:rPr>
        <w:t xml:space="preserve"> bytového domu ve výrobně elektřiny</w:t>
      </w:r>
      <w:r w:rsidR="00403DF3">
        <w:rPr>
          <w:rFonts w:ascii="Times New Roman" w:eastAsiaTheme="minorHAnsi" w:hAnsi="Times New Roman" w:cs="Times New Roman"/>
        </w:rPr>
        <w:t>.</w:t>
      </w:r>
    </w:p>
    <w:p w14:paraId="47A0F0F9" w14:textId="32787B8D" w:rsidR="003444C5" w:rsidRDefault="003444C5" w:rsidP="00422605">
      <w:pPr>
        <w:widowControl w:val="0"/>
        <w:autoSpaceDE w:val="0"/>
        <w:autoSpaceDN w:val="0"/>
        <w:adjustRightInd w:val="0"/>
        <w:spacing w:after="120" w:line="312" w:lineRule="auto"/>
        <w:jc w:val="both"/>
        <w:rPr>
          <w:rFonts w:ascii="Times New Roman" w:hAnsi="Times New Roman"/>
          <w:b/>
        </w:rPr>
      </w:pPr>
      <w:r w:rsidRPr="003444C5">
        <w:rPr>
          <w:rFonts w:ascii="Times New Roman" w:hAnsi="Times New Roman"/>
          <w:b/>
        </w:rPr>
        <w:t>K bodu 5</w:t>
      </w:r>
      <w:r w:rsidR="00812A5C">
        <w:rPr>
          <w:rFonts w:ascii="Times New Roman" w:hAnsi="Times New Roman"/>
          <w:b/>
        </w:rPr>
        <w:t>2</w:t>
      </w:r>
    </w:p>
    <w:p w14:paraId="178ABDA6" w14:textId="77777777" w:rsidR="003444C5" w:rsidRDefault="003444C5" w:rsidP="00422605">
      <w:pPr>
        <w:widowControl w:val="0"/>
        <w:autoSpaceDE w:val="0"/>
        <w:autoSpaceDN w:val="0"/>
        <w:adjustRightInd w:val="0"/>
        <w:spacing w:after="120" w:line="312" w:lineRule="auto"/>
        <w:jc w:val="both"/>
        <w:rPr>
          <w:rFonts w:ascii="Times New Roman" w:hAnsi="Times New Roman"/>
        </w:rPr>
      </w:pPr>
      <w:r w:rsidRPr="003444C5">
        <w:rPr>
          <w:rFonts w:ascii="Times New Roman" w:hAnsi="Times New Roman"/>
        </w:rPr>
        <w:t>Navrhovanou</w:t>
      </w:r>
      <w:r>
        <w:rPr>
          <w:rFonts w:ascii="Times New Roman" w:hAnsi="Times New Roman"/>
        </w:rPr>
        <w:t xml:space="preserve"> úpravou přílohy č. 20 se zajistí rozsah struktury předávaných dat provozovatelem distribuční soustavy obchodníkovy pro účely poskytování informace o vyúčtování.</w:t>
      </w:r>
    </w:p>
    <w:p w14:paraId="650AF692" w14:textId="532892AF" w:rsidR="003444C5" w:rsidRDefault="003444C5" w:rsidP="00422605">
      <w:pPr>
        <w:widowControl w:val="0"/>
        <w:autoSpaceDE w:val="0"/>
        <w:autoSpaceDN w:val="0"/>
        <w:adjustRightInd w:val="0"/>
        <w:spacing w:after="120" w:line="312" w:lineRule="auto"/>
        <w:jc w:val="both"/>
        <w:rPr>
          <w:rFonts w:ascii="Times New Roman" w:hAnsi="Times New Roman"/>
          <w:b/>
        </w:rPr>
      </w:pPr>
      <w:r w:rsidRPr="003444C5">
        <w:rPr>
          <w:rFonts w:ascii="Times New Roman" w:hAnsi="Times New Roman"/>
          <w:b/>
        </w:rPr>
        <w:t>K bodu 5</w:t>
      </w:r>
      <w:r w:rsidR="00812A5C">
        <w:rPr>
          <w:rFonts w:ascii="Times New Roman" w:hAnsi="Times New Roman"/>
          <w:b/>
        </w:rPr>
        <w:t>3</w:t>
      </w:r>
    </w:p>
    <w:p w14:paraId="218BB57B" w14:textId="77777777" w:rsidR="003444C5" w:rsidRDefault="003444C5" w:rsidP="00422605">
      <w:pPr>
        <w:widowControl w:val="0"/>
        <w:autoSpaceDE w:val="0"/>
        <w:autoSpaceDN w:val="0"/>
        <w:adjustRightInd w:val="0"/>
        <w:spacing w:after="120" w:line="312" w:lineRule="auto"/>
        <w:jc w:val="both"/>
        <w:rPr>
          <w:rFonts w:ascii="Times New Roman" w:hAnsi="Times New Roman"/>
        </w:rPr>
      </w:pPr>
      <w:r w:rsidRPr="003444C5">
        <w:rPr>
          <w:rFonts w:ascii="Times New Roman" w:hAnsi="Times New Roman"/>
        </w:rPr>
        <w:t>Navrhovaná</w:t>
      </w:r>
      <w:r>
        <w:rPr>
          <w:rFonts w:ascii="Times New Roman" w:hAnsi="Times New Roman"/>
        </w:rPr>
        <w:t xml:space="preserve"> úprava přílohy č. 22 je legislativně technická úprava. </w:t>
      </w:r>
    </w:p>
    <w:p w14:paraId="51555471" w14:textId="569021D5" w:rsidR="003444C5" w:rsidRDefault="003444C5" w:rsidP="00422605">
      <w:pPr>
        <w:widowControl w:val="0"/>
        <w:autoSpaceDE w:val="0"/>
        <w:autoSpaceDN w:val="0"/>
        <w:adjustRightInd w:val="0"/>
        <w:spacing w:after="120" w:line="312" w:lineRule="auto"/>
        <w:jc w:val="both"/>
        <w:rPr>
          <w:rFonts w:ascii="Times New Roman" w:hAnsi="Times New Roman"/>
          <w:b/>
        </w:rPr>
      </w:pPr>
      <w:r w:rsidRPr="003444C5">
        <w:rPr>
          <w:rFonts w:ascii="Times New Roman" w:hAnsi="Times New Roman"/>
          <w:b/>
        </w:rPr>
        <w:t>K bodu 5</w:t>
      </w:r>
      <w:r w:rsidR="00812A5C">
        <w:rPr>
          <w:rFonts w:ascii="Times New Roman" w:hAnsi="Times New Roman"/>
          <w:b/>
        </w:rPr>
        <w:t>4</w:t>
      </w:r>
    </w:p>
    <w:p w14:paraId="68797807" w14:textId="59CB2B06" w:rsidR="003444C5" w:rsidRDefault="003444C5" w:rsidP="003444C5">
      <w:pPr>
        <w:widowControl w:val="0"/>
        <w:autoSpaceDE w:val="0"/>
        <w:autoSpaceDN w:val="0"/>
        <w:adjustRightInd w:val="0"/>
        <w:spacing w:after="120" w:line="312" w:lineRule="auto"/>
        <w:jc w:val="both"/>
        <w:rPr>
          <w:rFonts w:ascii="Times New Roman" w:hAnsi="Times New Roman"/>
        </w:rPr>
      </w:pPr>
      <w:r w:rsidRPr="003444C5">
        <w:rPr>
          <w:rFonts w:ascii="Times New Roman" w:hAnsi="Times New Roman"/>
        </w:rPr>
        <w:t>Navrhovaná</w:t>
      </w:r>
      <w:r>
        <w:rPr>
          <w:rFonts w:ascii="Times New Roman" w:hAnsi="Times New Roman"/>
        </w:rPr>
        <w:t xml:space="preserve"> úprava přílohy č. 23 je legislativně technická úprava. </w:t>
      </w:r>
    </w:p>
    <w:p w14:paraId="623E5A4C" w14:textId="726ED58C" w:rsidR="003444C5" w:rsidRDefault="003444C5" w:rsidP="003444C5">
      <w:pPr>
        <w:widowControl w:val="0"/>
        <w:autoSpaceDE w:val="0"/>
        <w:autoSpaceDN w:val="0"/>
        <w:adjustRightInd w:val="0"/>
        <w:spacing w:after="120" w:line="312" w:lineRule="auto"/>
        <w:jc w:val="both"/>
        <w:rPr>
          <w:rFonts w:ascii="Times New Roman" w:hAnsi="Times New Roman"/>
          <w:b/>
        </w:rPr>
      </w:pPr>
      <w:r w:rsidRPr="003444C5">
        <w:rPr>
          <w:rFonts w:ascii="Times New Roman" w:hAnsi="Times New Roman"/>
          <w:b/>
        </w:rPr>
        <w:t>K bodu 5</w:t>
      </w:r>
      <w:r w:rsidR="00812A5C">
        <w:rPr>
          <w:rFonts w:ascii="Times New Roman" w:hAnsi="Times New Roman"/>
          <w:b/>
        </w:rPr>
        <w:t>5</w:t>
      </w:r>
    </w:p>
    <w:p w14:paraId="1665955D" w14:textId="422FD8EC" w:rsidR="003444C5" w:rsidRDefault="003444C5" w:rsidP="003444C5">
      <w:pPr>
        <w:widowControl w:val="0"/>
        <w:autoSpaceDE w:val="0"/>
        <w:autoSpaceDN w:val="0"/>
        <w:adjustRightInd w:val="0"/>
        <w:spacing w:after="120" w:line="312" w:lineRule="auto"/>
        <w:jc w:val="both"/>
        <w:rPr>
          <w:rFonts w:ascii="Times New Roman" w:eastAsiaTheme="minorHAnsi" w:hAnsi="Times New Roman" w:cs="Times New Roman"/>
        </w:rPr>
      </w:pPr>
      <w:r w:rsidRPr="003444C5">
        <w:rPr>
          <w:rFonts w:ascii="Times New Roman" w:hAnsi="Times New Roman"/>
        </w:rPr>
        <w:t>Navrhovaná úprava p</w:t>
      </w:r>
      <w:r>
        <w:rPr>
          <w:rFonts w:ascii="Times New Roman" w:hAnsi="Times New Roman"/>
        </w:rPr>
        <w:t xml:space="preserve">řílohy č. 25 navazuje na </w:t>
      </w:r>
      <w:r w:rsidR="00B40524">
        <w:rPr>
          <w:rFonts w:ascii="Times New Roman" w:hAnsi="Times New Roman"/>
        </w:rPr>
        <w:t xml:space="preserve">nově zaváděnou </w:t>
      </w:r>
      <w:r w:rsidR="00B40524">
        <w:rPr>
          <w:rFonts w:ascii="Times New Roman" w:eastAsiaTheme="minorHAnsi" w:hAnsi="Times New Roman" w:cs="Times New Roman"/>
        </w:rPr>
        <w:t>specifickou úpravu</w:t>
      </w:r>
      <w:r w:rsidR="00B40524" w:rsidRPr="003D7FBF">
        <w:rPr>
          <w:rFonts w:ascii="Times New Roman" w:eastAsiaTheme="minorHAnsi" w:hAnsi="Times New Roman" w:cs="Times New Roman"/>
        </w:rPr>
        <w:t xml:space="preserve"> </w:t>
      </w:r>
      <w:r w:rsidR="00B40524" w:rsidRPr="00AD484D">
        <w:rPr>
          <w:rFonts w:ascii="Times New Roman" w:eastAsiaTheme="minorHAnsi" w:hAnsi="Times New Roman" w:cs="Times New Roman"/>
        </w:rPr>
        <w:t xml:space="preserve">předávání údajů pro </w:t>
      </w:r>
      <w:r w:rsidR="00B40524">
        <w:rPr>
          <w:rFonts w:ascii="Times New Roman" w:eastAsiaTheme="minorHAnsi" w:hAnsi="Times New Roman" w:cs="Times New Roman"/>
        </w:rPr>
        <w:t>vyhodnocování</w:t>
      </w:r>
      <w:r w:rsidR="00B40524" w:rsidRPr="00E27173">
        <w:rPr>
          <w:rFonts w:ascii="Times New Roman" w:eastAsiaTheme="minorHAnsi" w:hAnsi="Times New Roman" w:cs="Times New Roman"/>
        </w:rPr>
        <w:t xml:space="preserve"> </w:t>
      </w:r>
      <w:r w:rsidR="00B40524">
        <w:rPr>
          <w:rFonts w:ascii="Times New Roman" w:eastAsiaTheme="minorHAnsi" w:hAnsi="Times New Roman" w:cs="Times New Roman"/>
        </w:rPr>
        <w:t>(</w:t>
      </w:r>
      <w:r w:rsidR="00B40524" w:rsidRPr="00E27173">
        <w:rPr>
          <w:rFonts w:ascii="Times New Roman" w:eastAsiaTheme="minorHAnsi" w:hAnsi="Times New Roman" w:cs="Times New Roman"/>
        </w:rPr>
        <w:t>zúčtování</w:t>
      </w:r>
      <w:r w:rsidR="00B40524">
        <w:rPr>
          <w:rFonts w:ascii="Times New Roman" w:eastAsiaTheme="minorHAnsi" w:hAnsi="Times New Roman" w:cs="Times New Roman"/>
        </w:rPr>
        <w:t>)</w:t>
      </w:r>
      <w:r w:rsidR="00B40524" w:rsidRPr="00E27173">
        <w:rPr>
          <w:rFonts w:ascii="Times New Roman" w:eastAsiaTheme="minorHAnsi" w:hAnsi="Times New Roman" w:cs="Times New Roman"/>
        </w:rPr>
        <w:t xml:space="preserve"> odchylek a pro vyúčtování </w:t>
      </w:r>
      <w:r w:rsidR="00B40524">
        <w:rPr>
          <w:rFonts w:ascii="Times New Roman" w:eastAsiaTheme="minorHAnsi" w:hAnsi="Times New Roman" w:cs="Times New Roman"/>
        </w:rPr>
        <w:t>elektřiny</w:t>
      </w:r>
      <w:r w:rsidR="00B40524" w:rsidRPr="00E27173">
        <w:rPr>
          <w:rFonts w:ascii="Times New Roman" w:eastAsiaTheme="minorHAnsi" w:hAnsi="Times New Roman" w:cs="Times New Roman"/>
        </w:rPr>
        <w:t xml:space="preserve"> zohled</w:t>
      </w:r>
      <w:r w:rsidR="00B40524">
        <w:rPr>
          <w:rFonts w:ascii="Times New Roman" w:eastAsiaTheme="minorHAnsi" w:hAnsi="Times New Roman" w:cs="Times New Roman"/>
        </w:rPr>
        <w:t>ňující</w:t>
      </w:r>
      <w:r w:rsidR="00B40524" w:rsidRPr="00E27173">
        <w:rPr>
          <w:rFonts w:ascii="Times New Roman" w:eastAsiaTheme="minorHAnsi" w:hAnsi="Times New Roman" w:cs="Times New Roman"/>
        </w:rPr>
        <w:t xml:space="preserve"> </w:t>
      </w:r>
      <w:r w:rsidR="00B40524">
        <w:rPr>
          <w:rFonts w:ascii="Times New Roman" w:eastAsiaTheme="minorHAnsi" w:hAnsi="Times New Roman" w:cs="Times New Roman"/>
        </w:rPr>
        <w:t xml:space="preserve">pro předávací místa odběrného místa </w:t>
      </w:r>
      <w:r w:rsidR="00B40524" w:rsidRPr="00E27173">
        <w:rPr>
          <w:rFonts w:ascii="Times New Roman" w:eastAsiaTheme="minorHAnsi" w:hAnsi="Times New Roman" w:cs="Times New Roman"/>
        </w:rPr>
        <w:t>množství elektřiny vyrobené v</w:t>
      </w:r>
      <w:r w:rsidR="00B40524">
        <w:rPr>
          <w:rFonts w:ascii="Times New Roman" w:eastAsiaTheme="minorHAnsi" w:hAnsi="Times New Roman" w:cs="Times New Roman"/>
        </w:rPr>
        <w:t> </w:t>
      </w:r>
      <w:r w:rsidR="00B40524" w:rsidRPr="00E27173">
        <w:rPr>
          <w:rFonts w:ascii="Times New Roman" w:eastAsiaTheme="minorHAnsi" w:hAnsi="Times New Roman" w:cs="Times New Roman"/>
        </w:rPr>
        <w:t>rámci</w:t>
      </w:r>
      <w:r w:rsidR="00B40524">
        <w:rPr>
          <w:rFonts w:ascii="Times New Roman" w:eastAsiaTheme="minorHAnsi" w:hAnsi="Times New Roman" w:cs="Times New Roman"/>
        </w:rPr>
        <w:t xml:space="preserve"> téhož</w:t>
      </w:r>
      <w:r w:rsidR="00B40524" w:rsidRPr="00E27173">
        <w:rPr>
          <w:rFonts w:ascii="Times New Roman" w:eastAsiaTheme="minorHAnsi" w:hAnsi="Times New Roman" w:cs="Times New Roman"/>
        </w:rPr>
        <w:t xml:space="preserve"> bytového domu ve výrobně elektřiny</w:t>
      </w:r>
      <w:r>
        <w:rPr>
          <w:rFonts w:ascii="Times New Roman" w:eastAsiaTheme="minorHAnsi" w:hAnsi="Times New Roman" w:cs="Times New Roman"/>
        </w:rPr>
        <w:t xml:space="preserve">. Podle této přílohy se stanoví informace, které předává zákazník a zákazník s připojenou výrobnou v odběrném místě provozovateli distribuční soustavy (viz bod </w:t>
      </w:r>
      <w:r w:rsidR="002D1F1E">
        <w:rPr>
          <w:rFonts w:ascii="Times New Roman" w:eastAsiaTheme="minorHAnsi" w:hAnsi="Times New Roman" w:cs="Times New Roman"/>
        </w:rPr>
        <w:t>11)</w:t>
      </w:r>
      <w:r>
        <w:rPr>
          <w:rFonts w:ascii="Times New Roman" w:eastAsiaTheme="minorHAnsi" w:hAnsi="Times New Roman" w:cs="Times New Roman"/>
        </w:rPr>
        <w:t>.</w:t>
      </w:r>
    </w:p>
    <w:p w14:paraId="7981C824" w14:textId="0F69AC2C" w:rsidR="003444C5" w:rsidRPr="003444C5" w:rsidRDefault="003444C5" w:rsidP="003444C5">
      <w:pPr>
        <w:widowControl w:val="0"/>
        <w:autoSpaceDE w:val="0"/>
        <w:autoSpaceDN w:val="0"/>
        <w:adjustRightInd w:val="0"/>
        <w:spacing w:after="120" w:line="312" w:lineRule="auto"/>
        <w:jc w:val="both"/>
        <w:rPr>
          <w:rFonts w:ascii="Times New Roman" w:hAnsi="Times New Roman"/>
        </w:rPr>
      </w:pPr>
      <w:r>
        <w:rPr>
          <w:rFonts w:ascii="Times New Roman" w:hAnsi="Times New Roman"/>
        </w:rPr>
        <w:t>Navrho</w:t>
      </w:r>
      <w:r w:rsidR="002D1F1E">
        <w:rPr>
          <w:rFonts w:ascii="Times New Roman" w:hAnsi="Times New Roman"/>
        </w:rPr>
        <w:t xml:space="preserve">vaná úprava přílohy č. 26 navazuje na provedené úpravy § 42 odst. 7, podle kterého se stanoví (přílohou) metodika výpočtu hodnoty odběru </w:t>
      </w:r>
      <w:r w:rsidR="002D1F1E" w:rsidRPr="002D1F1E">
        <w:rPr>
          <w:rFonts w:ascii="Times New Roman" w:hAnsi="Times New Roman"/>
        </w:rPr>
        <w:t>elektřiny zákazníkem s měřením typu C, který zahrnuje více kalendářních let</w:t>
      </w:r>
      <w:r w:rsidR="002D1F1E">
        <w:rPr>
          <w:rFonts w:ascii="Times New Roman" w:hAnsi="Times New Roman"/>
        </w:rPr>
        <w:t>.</w:t>
      </w:r>
    </w:p>
    <w:p w14:paraId="29FA2CA2" w14:textId="77777777" w:rsidR="00005DA3" w:rsidRDefault="00005DA3" w:rsidP="00422605">
      <w:pPr>
        <w:widowControl w:val="0"/>
        <w:autoSpaceDE w:val="0"/>
        <w:autoSpaceDN w:val="0"/>
        <w:adjustRightInd w:val="0"/>
        <w:spacing w:after="120" w:line="312" w:lineRule="auto"/>
        <w:jc w:val="both"/>
        <w:rPr>
          <w:rFonts w:ascii="Times New Roman" w:hAnsi="Times New Roman"/>
        </w:rPr>
      </w:pPr>
    </w:p>
    <w:p w14:paraId="29FA2CA3" w14:textId="18AB24D3" w:rsidR="00422605" w:rsidRPr="00422605" w:rsidRDefault="00422605" w:rsidP="00422605">
      <w:pPr>
        <w:widowControl w:val="0"/>
        <w:autoSpaceDE w:val="0"/>
        <w:autoSpaceDN w:val="0"/>
        <w:adjustRightInd w:val="0"/>
        <w:spacing w:after="120" w:line="312" w:lineRule="auto"/>
        <w:jc w:val="both"/>
        <w:rPr>
          <w:rFonts w:ascii="Times New Roman" w:hAnsi="Times New Roman"/>
          <w:b/>
        </w:rPr>
      </w:pPr>
      <w:r w:rsidRPr="00422605">
        <w:rPr>
          <w:rFonts w:ascii="Times New Roman" w:hAnsi="Times New Roman"/>
          <w:b/>
        </w:rPr>
        <w:t>Čl. II</w:t>
      </w:r>
    </w:p>
    <w:p w14:paraId="26EFC841" w14:textId="1C7B4465" w:rsidR="000A2E15" w:rsidRDefault="00422605" w:rsidP="000A2E15">
      <w:pPr>
        <w:widowControl w:val="0"/>
        <w:autoSpaceDE w:val="0"/>
        <w:autoSpaceDN w:val="0"/>
        <w:adjustRightInd w:val="0"/>
        <w:spacing w:after="120" w:line="312" w:lineRule="auto"/>
        <w:jc w:val="both"/>
        <w:rPr>
          <w:rFonts w:ascii="Times New Roman" w:hAnsi="Times New Roman"/>
          <w:b/>
        </w:rPr>
      </w:pPr>
      <w:r w:rsidRPr="00422605">
        <w:rPr>
          <w:rFonts w:ascii="Times New Roman" w:hAnsi="Times New Roman"/>
          <w:b/>
        </w:rPr>
        <w:t>K</w:t>
      </w:r>
      <w:r w:rsidR="000A2E15">
        <w:rPr>
          <w:rFonts w:ascii="Times New Roman" w:hAnsi="Times New Roman"/>
          <w:b/>
        </w:rPr>
        <w:t> </w:t>
      </w:r>
      <w:r w:rsidRPr="00422605">
        <w:rPr>
          <w:rFonts w:ascii="Times New Roman" w:hAnsi="Times New Roman"/>
          <w:b/>
        </w:rPr>
        <w:t>Účinnosti</w:t>
      </w:r>
    </w:p>
    <w:p w14:paraId="29FA2CA5" w14:textId="54E39E29" w:rsidR="00422605" w:rsidRPr="000A2E15" w:rsidRDefault="00422605" w:rsidP="000A2E15">
      <w:pPr>
        <w:widowControl w:val="0"/>
        <w:autoSpaceDE w:val="0"/>
        <w:autoSpaceDN w:val="0"/>
        <w:adjustRightInd w:val="0"/>
        <w:spacing w:after="120" w:line="312" w:lineRule="auto"/>
        <w:ind w:firstLine="708"/>
        <w:jc w:val="both"/>
        <w:rPr>
          <w:rFonts w:ascii="Times New Roman" w:hAnsi="Times New Roman"/>
          <w:b/>
        </w:rPr>
      </w:pPr>
      <w:r w:rsidRPr="00422605">
        <w:rPr>
          <w:rFonts w:ascii="Times New Roman" w:hAnsi="Times New Roman"/>
        </w:rPr>
        <w:t>Datum účin</w:t>
      </w:r>
      <w:r w:rsidR="00494A63">
        <w:rPr>
          <w:rFonts w:ascii="Times New Roman" w:hAnsi="Times New Roman"/>
        </w:rPr>
        <w:t xml:space="preserve">nosti je stanoveno na 1. 1. </w:t>
      </w:r>
      <w:r w:rsidR="00494A63" w:rsidRPr="00DC41B0">
        <w:rPr>
          <w:rFonts w:ascii="Times New Roman" w:hAnsi="Times New Roman"/>
        </w:rPr>
        <w:t>202</w:t>
      </w:r>
      <w:r w:rsidR="002E3FB6">
        <w:rPr>
          <w:rFonts w:ascii="Times New Roman" w:hAnsi="Times New Roman"/>
        </w:rPr>
        <w:t>3 s výjimkou budu 8 (§ 10 odst. 5) a 1</w:t>
      </w:r>
      <w:r w:rsidR="00212365">
        <w:rPr>
          <w:rFonts w:ascii="Times New Roman" w:hAnsi="Times New Roman"/>
        </w:rPr>
        <w:t>5</w:t>
      </w:r>
      <w:r w:rsidR="002E3FB6">
        <w:rPr>
          <w:rFonts w:ascii="Times New Roman" w:hAnsi="Times New Roman"/>
        </w:rPr>
        <w:t xml:space="preserve"> </w:t>
      </w:r>
      <w:r w:rsidR="006E007A">
        <w:rPr>
          <w:rFonts w:ascii="Times New Roman" w:hAnsi="Times New Roman"/>
        </w:rPr>
        <w:br/>
      </w:r>
      <w:bookmarkStart w:id="1" w:name="_GoBack"/>
      <w:bookmarkEnd w:id="1"/>
      <w:r w:rsidR="002E3FB6">
        <w:rPr>
          <w:rFonts w:ascii="Times New Roman" w:hAnsi="Times New Roman"/>
        </w:rPr>
        <w:t xml:space="preserve">(§ 16 odst. </w:t>
      </w:r>
      <w:r w:rsidR="00212365">
        <w:rPr>
          <w:rFonts w:ascii="Times New Roman" w:hAnsi="Times New Roman"/>
        </w:rPr>
        <w:t>7</w:t>
      </w:r>
      <w:r w:rsidR="002E3FB6">
        <w:rPr>
          <w:rFonts w:ascii="Times New Roman" w:hAnsi="Times New Roman"/>
        </w:rPr>
        <w:t>), kde se účinnost stanoví na 1. 7. 2023</w:t>
      </w:r>
      <w:r w:rsidR="00270464">
        <w:rPr>
          <w:rFonts w:ascii="Times New Roman" w:hAnsi="Times New Roman"/>
        </w:rPr>
        <w:t>.</w:t>
      </w:r>
    </w:p>
    <w:p w14:paraId="29FA2CA6" w14:textId="77777777" w:rsidR="00422605" w:rsidRPr="00422605" w:rsidRDefault="00422605" w:rsidP="00530FBE">
      <w:pPr>
        <w:widowControl w:val="0"/>
        <w:autoSpaceDE w:val="0"/>
        <w:autoSpaceDN w:val="0"/>
        <w:adjustRightInd w:val="0"/>
        <w:spacing w:after="120" w:line="312" w:lineRule="auto"/>
        <w:jc w:val="both"/>
        <w:rPr>
          <w:rFonts w:ascii="Times New Roman" w:hAnsi="Times New Roman"/>
        </w:rPr>
      </w:pPr>
    </w:p>
    <w:sectPr w:rsidR="00422605" w:rsidRPr="00422605" w:rsidSect="004540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8D5E9" w14:textId="77777777" w:rsidR="00EF01F3" w:rsidRDefault="00EF01F3" w:rsidP="003C038D">
      <w:pPr>
        <w:spacing w:after="0" w:line="240" w:lineRule="auto"/>
      </w:pPr>
      <w:r>
        <w:separator/>
      </w:r>
    </w:p>
  </w:endnote>
  <w:endnote w:type="continuationSeparator" w:id="0">
    <w:p w14:paraId="6DB8BBBA" w14:textId="77777777" w:rsidR="00EF01F3" w:rsidRDefault="00EF01F3" w:rsidP="003C038D">
      <w:pPr>
        <w:spacing w:after="0" w:line="240" w:lineRule="auto"/>
      </w:pPr>
      <w:r>
        <w:continuationSeparator/>
      </w:r>
    </w:p>
  </w:endnote>
  <w:endnote w:type="continuationNotice" w:id="1">
    <w:p w14:paraId="134F00AF" w14:textId="77777777" w:rsidR="00EF01F3" w:rsidRDefault="00EF01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2C32E" w14:textId="77777777" w:rsidR="00EF01F3" w:rsidRDefault="00EF01F3" w:rsidP="003C038D">
      <w:pPr>
        <w:spacing w:after="0" w:line="240" w:lineRule="auto"/>
      </w:pPr>
      <w:r>
        <w:separator/>
      </w:r>
    </w:p>
  </w:footnote>
  <w:footnote w:type="continuationSeparator" w:id="0">
    <w:p w14:paraId="5215F6C1" w14:textId="77777777" w:rsidR="00EF01F3" w:rsidRDefault="00EF01F3" w:rsidP="003C038D">
      <w:pPr>
        <w:spacing w:after="0" w:line="240" w:lineRule="auto"/>
      </w:pPr>
      <w:r>
        <w:continuationSeparator/>
      </w:r>
    </w:p>
  </w:footnote>
  <w:footnote w:type="continuationNotice" w:id="1">
    <w:p w14:paraId="637D5686" w14:textId="77777777" w:rsidR="00EF01F3" w:rsidRDefault="00EF01F3">
      <w:pPr>
        <w:spacing w:after="0" w:line="240" w:lineRule="auto"/>
      </w:pPr>
    </w:p>
  </w:footnote>
  <w:footnote w:id="2">
    <w:p w14:paraId="089172AE" w14:textId="5532553F" w:rsidR="00EF01F3" w:rsidRPr="00832890" w:rsidRDefault="00EF01F3">
      <w:pPr>
        <w:pStyle w:val="Textpoznpodarou"/>
        <w:rPr>
          <w:rFonts w:ascii="Times New Roman" w:hAnsi="Times New Roman" w:cs="Times New Roman"/>
        </w:rPr>
      </w:pPr>
      <w:r w:rsidRPr="00832890">
        <w:rPr>
          <w:rStyle w:val="Znakapoznpodarou"/>
          <w:rFonts w:ascii="Times New Roman" w:hAnsi="Times New Roman" w:cs="Times New Roman"/>
        </w:rPr>
        <w:footnoteRef/>
      </w:r>
      <w:r w:rsidRPr="00832890">
        <w:rPr>
          <w:rFonts w:ascii="Times New Roman" w:hAnsi="Times New Roman" w:cs="Times New Roman"/>
        </w:rPr>
        <w:t xml:space="preserve"> </w:t>
      </w:r>
      <w:hyperlink r:id="rId1" w:history="1">
        <w:r w:rsidRPr="00832890">
          <w:rPr>
            <w:rStyle w:val="Hypertextovodkaz"/>
            <w:rFonts w:ascii="Times New Roman" w:hAnsi="Times New Roman" w:cs="Times New Roman"/>
          </w:rPr>
          <w:t>https://korupce.cz/protikorupcni-agenda/metodika-cia/</w:t>
        </w:r>
      </w:hyperlink>
      <w:r w:rsidRPr="00832890">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23BCB"/>
    <w:multiLevelType w:val="hybridMultilevel"/>
    <w:tmpl w:val="545CC9F4"/>
    <w:lvl w:ilvl="0" w:tplc="AA12F1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5C90CA3"/>
    <w:multiLevelType w:val="hybridMultilevel"/>
    <w:tmpl w:val="518E3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96C1B85"/>
    <w:multiLevelType w:val="hybridMultilevel"/>
    <w:tmpl w:val="14205472"/>
    <w:lvl w:ilvl="0" w:tplc="69264650">
      <w:start w:val="1"/>
      <w:numFmt w:val="decimal"/>
      <w:lvlText w:val="%1."/>
      <w:lvlJc w:val="right"/>
      <w:pPr>
        <w:ind w:left="720" w:hanging="360"/>
      </w:pPr>
      <w:rPr>
        <w:rFonts w:ascii="Times New Roman" w:hAnsi="Times New Roman" w:cs="Times New Roman" w:hint="default"/>
        <w:b/>
        <w:i w:val="0"/>
        <w:strike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96D11C7"/>
    <w:multiLevelType w:val="hybridMultilevel"/>
    <w:tmpl w:val="F1D668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AC706C0"/>
    <w:multiLevelType w:val="multilevel"/>
    <w:tmpl w:val="5712A0A2"/>
    <w:lvl w:ilvl="0">
      <w:start w:val="1"/>
      <w:numFmt w:val="decimal"/>
      <w:lvlText w:val="%1."/>
      <w:lvlJc w:val="left"/>
      <w:pPr>
        <w:tabs>
          <w:tab w:val="num" w:pos="360"/>
        </w:tabs>
        <w:ind w:left="360" w:hanging="360"/>
      </w:pPr>
      <w:rPr>
        <w:rFonts w:hint="default"/>
      </w:rPr>
    </w:lvl>
    <w:lvl w:ilvl="1">
      <w:start w:val="1"/>
      <w:numFmt w:val="decimal"/>
      <w:pStyle w:val="Nadpis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1"/>
  </w:num>
  <w:num w:numId="3">
    <w:abstractNumId w:val="3"/>
  </w:num>
  <w:num w:numId="4">
    <w:abstractNumId w:val="0"/>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208"/>
    <w:rsid w:val="00005DA3"/>
    <w:rsid w:val="00006D23"/>
    <w:rsid w:val="00010A5E"/>
    <w:rsid w:val="00012356"/>
    <w:rsid w:val="000131F6"/>
    <w:rsid w:val="00021292"/>
    <w:rsid w:val="00035594"/>
    <w:rsid w:val="00036EC1"/>
    <w:rsid w:val="000376CA"/>
    <w:rsid w:val="000377ED"/>
    <w:rsid w:val="00040CA6"/>
    <w:rsid w:val="0004111F"/>
    <w:rsid w:val="0004199B"/>
    <w:rsid w:val="000436B4"/>
    <w:rsid w:val="000448CA"/>
    <w:rsid w:val="00047E5A"/>
    <w:rsid w:val="00065512"/>
    <w:rsid w:val="000762DF"/>
    <w:rsid w:val="00080E28"/>
    <w:rsid w:val="000822B6"/>
    <w:rsid w:val="0008237D"/>
    <w:rsid w:val="000871C5"/>
    <w:rsid w:val="00087B0B"/>
    <w:rsid w:val="0009232F"/>
    <w:rsid w:val="00093A9F"/>
    <w:rsid w:val="000943F9"/>
    <w:rsid w:val="00095F5E"/>
    <w:rsid w:val="000A2E15"/>
    <w:rsid w:val="000A6D68"/>
    <w:rsid w:val="000A6FEA"/>
    <w:rsid w:val="000A7F56"/>
    <w:rsid w:val="000B0DEA"/>
    <w:rsid w:val="000B17BF"/>
    <w:rsid w:val="000B54F2"/>
    <w:rsid w:val="000B7AEA"/>
    <w:rsid w:val="000B7F0B"/>
    <w:rsid w:val="000C01F7"/>
    <w:rsid w:val="000C0BD7"/>
    <w:rsid w:val="000C3688"/>
    <w:rsid w:val="000C5928"/>
    <w:rsid w:val="000D1708"/>
    <w:rsid w:val="000D1C1E"/>
    <w:rsid w:val="000E0789"/>
    <w:rsid w:val="000E090F"/>
    <w:rsid w:val="000E55C3"/>
    <w:rsid w:val="000E62B3"/>
    <w:rsid w:val="000E6A05"/>
    <w:rsid w:val="000F1F06"/>
    <w:rsid w:val="000F2C7B"/>
    <w:rsid w:val="000F3D43"/>
    <w:rsid w:val="000F555D"/>
    <w:rsid w:val="000F74DE"/>
    <w:rsid w:val="001059D3"/>
    <w:rsid w:val="001073E8"/>
    <w:rsid w:val="00107E69"/>
    <w:rsid w:val="00107FD0"/>
    <w:rsid w:val="00114683"/>
    <w:rsid w:val="001158D0"/>
    <w:rsid w:val="00126713"/>
    <w:rsid w:val="001337BA"/>
    <w:rsid w:val="00135078"/>
    <w:rsid w:val="0013537C"/>
    <w:rsid w:val="00135FCD"/>
    <w:rsid w:val="001368F2"/>
    <w:rsid w:val="00147975"/>
    <w:rsid w:val="001503D4"/>
    <w:rsid w:val="001508AE"/>
    <w:rsid w:val="0015332F"/>
    <w:rsid w:val="00153A0B"/>
    <w:rsid w:val="001543AA"/>
    <w:rsid w:val="00154A4A"/>
    <w:rsid w:val="00156CA7"/>
    <w:rsid w:val="00160340"/>
    <w:rsid w:val="0016224D"/>
    <w:rsid w:val="00164B23"/>
    <w:rsid w:val="00170814"/>
    <w:rsid w:val="001722A2"/>
    <w:rsid w:val="0017318C"/>
    <w:rsid w:val="001736BC"/>
    <w:rsid w:val="00176A7B"/>
    <w:rsid w:val="00183071"/>
    <w:rsid w:val="00185DD4"/>
    <w:rsid w:val="00191BCD"/>
    <w:rsid w:val="001B22C2"/>
    <w:rsid w:val="001B4890"/>
    <w:rsid w:val="001B4907"/>
    <w:rsid w:val="001B64FD"/>
    <w:rsid w:val="001B73A3"/>
    <w:rsid w:val="001C190C"/>
    <w:rsid w:val="001C3838"/>
    <w:rsid w:val="001C645D"/>
    <w:rsid w:val="001C77F8"/>
    <w:rsid w:val="001C7993"/>
    <w:rsid w:val="001D0065"/>
    <w:rsid w:val="001D3161"/>
    <w:rsid w:val="001D4991"/>
    <w:rsid w:val="001D7722"/>
    <w:rsid w:val="001D7AC6"/>
    <w:rsid w:val="001E23FE"/>
    <w:rsid w:val="001E2678"/>
    <w:rsid w:val="001F2395"/>
    <w:rsid w:val="001F362F"/>
    <w:rsid w:val="001F49D4"/>
    <w:rsid w:val="001F7BB4"/>
    <w:rsid w:val="0020179E"/>
    <w:rsid w:val="00206D9A"/>
    <w:rsid w:val="002075B0"/>
    <w:rsid w:val="002104BE"/>
    <w:rsid w:val="0021065B"/>
    <w:rsid w:val="00212365"/>
    <w:rsid w:val="00217234"/>
    <w:rsid w:val="00223F3E"/>
    <w:rsid w:val="00230763"/>
    <w:rsid w:val="002321DB"/>
    <w:rsid w:val="002337E8"/>
    <w:rsid w:val="00233A42"/>
    <w:rsid w:val="0023508D"/>
    <w:rsid w:val="00236F76"/>
    <w:rsid w:val="002373DD"/>
    <w:rsid w:val="00237B11"/>
    <w:rsid w:val="00247301"/>
    <w:rsid w:val="002529C5"/>
    <w:rsid w:val="00253E4F"/>
    <w:rsid w:val="002551CC"/>
    <w:rsid w:val="002610F7"/>
    <w:rsid w:val="00261EFA"/>
    <w:rsid w:val="002643EA"/>
    <w:rsid w:val="00264BC0"/>
    <w:rsid w:val="0026615F"/>
    <w:rsid w:val="00266449"/>
    <w:rsid w:val="00270464"/>
    <w:rsid w:val="00277600"/>
    <w:rsid w:val="00287FC5"/>
    <w:rsid w:val="002944AC"/>
    <w:rsid w:val="00295A8D"/>
    <w:rsid w:val="002A2884"/>
    <w:rsid w:val="002A49B7"/>
    <w:rsid w:val="002A5995"/>
    <w:rsid w:val="002B27F7"/>
    <w:rsid w:val="002B2AA1"/>
    <w:rsid w:val="002B7169"/>
    <w:rsid w:val="002C00F0"/>
    <w:rsid w:val="002C2C9C"/>
    <w:rsid w:val="002C35DD"/>
    <w:rsid w:val="002C481C"/>
    <w:rsid w:val="002C6284"/>
    <w:rsid w:val="002C63B4"/>
    <w:rsid w:val="002D1ECF"/>
    <w:rsid w:val="002D1F1E"/>
    <w:rsid w:val="002D5CD2"/>
    <w:rsid w:val="002D6534"/>
    <w:rsid w:val="002E077F"/>
    <w:rsid w:val="002E2435"/>
    <w:rsid w:val="002E3FB6"/>
    <w:rsid w:val="002E407C"/>
    <w:rsid w:val="002E601B"/>
    <w:rsid w:val="002E76C3"/>
    <w:rsid w:val="002E7F73"/>
    <w:rsid w:val="002F23C0"/>
    <w:rsid w:val="002F3C6F"/>
    <w:rsid w:val="002F405F"/>
    <w:rsid w:val="002F5EDC"/>
    <w:rsid w:val="002F7104"/>
    <w:rsid w:val="00301D89"/>
    <w:rsid w:val="00301E14"/>
    <w:rsid w:val="003038F0"/>
    <w:rsid w:val="00305395"/>
    <w:rsid w:val="0031268B"/>
    <w:rsid w:val="00316191"/>
    <w:rsid w:val="00322136"/>
    <w:rsid w:val="00323542"/>
    <w:rsid w:val="00331924"/>
    <w:rsid w:val="00332A2D"/>
    <w:rsid w:val="0033386C"/>
    <w:rsid w:val="003425E6"/>
    <w:rsid w:val="00342DE7"/>
    <w:rsid w:val="003444C5"/>
    <w:rsid w:val="0034711E"/>
    <w:rsid w:val="00347D43"/>
    <w:rsid w:val="00355447"/>
    <w:rsid w:val="0036536E"/>
    <w:rsid w:val="00365BF7"/>
    <w:rsid w:val="0036603C"/>
    <w:rsid w:val="00371A35"/>
    <w:rsid w:val="003720B5"/>
    <w:rsid w:val="00374B35"/>
    <w:rsid w:val="00374CE1"/>
    <w:rsid w:val="00374FBA"/>
    <w:rsid w:val="00376EC0"/>
    <w:rsid w:val="003776D8"/>
    <w:rsid w:val="00381FAE"/>
    <w:rsid w:val="00387682"/>
    <w:rsid w:val="003937A5"/>
    <w:rsid w:val="003939A3"/>
    <w:rsid w:val="00394511"/>
    <w:rsid w:val="003963D9"/>
    <w:rsid w:val="003A2134"/>
    <w:rsid w:val="003B0A86"/>
    <w:rsid w:val="003B2CFE"/>
    <w:rsid w:val="003B3308"/>
    <w:rsid w:val="003B3F5A"/>
    <w:rsid w:val="003B42C3"/>
    <w:rsid w:val="003B43C2"/>
    <w:rsid w:val="003B5042"/>
    <w:rsid w:val="003C038D"/>
    <w:rsid w:val="003D0F1E"/>
    <w:rsid w:val="003D3BC1"/>
    <w:rsid w:val="003D3DEC"/>
    <w:rsid w:val="003E190A"/>
    <w:rsid w:val="003E21C6"/>
    <w:rsid w:val="003E46AB"/>
    <w:rsid w:val="003E483F"/>
    <w:rsid w:val="003E7DD7"/>
    <w:rsid w:val="003F0A26"/>
    <w:rsid w:val="003F0DF2"/>
    <w:rsid w:val="004027E4"/>
    <w:rsid w:val="004034C2"/>
    <w:rsid w:val="00403DF3"/>
    <w:rsid w:val="004071FE"/>
    <w:rsid w:val="0041106F"/>
    <w:rsid w:val="00413719"/>
    <w:rsid w:val="00420764"/>
    <w:rsid w:val="00422605"/>
    <w:rsid w:val="00423672"/>
    <w:rsid w:val="00426D7B"/>
    <w:rsid w:val="00431DD6"/>
    <w:rsid w:val="004343FE"/>
    <w:rsid w:val="00436005"/>
    <w:rsid w:val="00445A5D"/>
    <w:rsid w:val="00445AA8"/>
    <w:rsid w:val="0044634F"/>
    <w:rsid w:val="004531DB"/>
    <w:rsid w:val="004540B3"/>
    <w:rsid w:val="004552F5"/>
    <w:rsid w:val="0045532C"/>
    <w:rsid w:val="004620E8"/>
    <w:rsid w:val="00462166"/>
    <w:rsid w:val="00464016"/>
    <w:rsid w:val="004704AD"/>
    <w:rsid w:val="00477C18"/>
    <w:rsid w:val="00480BAE"/>
    <w:rsid w:val="00482949"/>
    <w:rsid w:val="004829D9"/>
    <w:rsid w:val="00483C59"/>
    <w:rsid w:val="00483DA2"/>
    <w:rsid w:val="004851E7"/>
    <w:rsid w:val="004877D8"/>
    <w:rsid w:val="00490A0E"/>
    <w:rsid w:val="00493B4F"/>
    <w:rsid w:val="00494140"/>
    <w:rsid w:val="00494577"/>
    <w:rsid w:val="00494A63"/>
    <w:rsid w:val="00495EBB"/>
    <w:rsid w:val="004A3B23"/>
    <w:rsid w:val="004A53FC"/>
    <w:rsid w:val="004A68F2"/>
    <w:rsid w:val="004A7A3C"/>
    <w:rsid w:val="004B0AF0"/>
    <w:rsid w:val="004B0EE0"/>
    <w:rsid w:val="004B0F7D"/>
    <w:rsid w:val="004B13ED"/>
    <w:rsid w:val="004B3422"/>
    <w:rsid w:val="004C1FB4"/>
    <w:rsid w:val="004C31B8"/>
    <w:rsid w:val="004C3BBF"/>
    <w:rsid w:val="004C4827"/>
    <w:rsid w:val="004C4A8F"/>
    <w:rsid w:val="004C751F"/>
    <w:rsid w:val="004D01B5"/>
    <w:rsid w:val="004D182C"/>
    <w:rsid w:val="004D1DB0"/>
    <w:rsid w:val="004D5174"/>
    <w:rsid w:val="004D701D"/>
    <w:rsid w:val="004E2FC2"/>
    <w:rsid w:val="004E3FD6"/>
    <w:rsid w:val="004E664C"/>
    <w:rsid w:val="004E78BC"/>
    <w:rsid w:val="004E7DB8"/>
    <w:rsid w:val="004F1208"/>
    <w:rsid w:val="004F1C54"/>
    <w:rsid w:val="004F2A85"/>
    <w:rsid w:val="004F55F2"/>
    <w:rsid w:val="00500B5E"/>
    <w:rsid w:val="00501964"/>
    <w:rsid w:val="0050347C"/>
    <w:rsid w:val="0051076A"/>
    <w:rsid w:val="005119A5"/>
    <w:rsid w:val="005133B2"/>
    <w:rsid w:val="00524468"/>
    <w:rsid w:val="00525484"/>
    <w:rsid w:val="00526E31"/>
    <w:rsid w:val="00527625"/>
    <w:rsid w:val="00530FBE"/>
    <w:rsid w:val="005316AA"/>
    <w:rsid w:val="00535243"/>
    <w:rsid w:val="0053673E"/>
    <w:rsid w:val="00536BA1"/>
    <w:rsid w:val="00550053"/>
    <w:rsid w:val="005501A0"/>
    <w:rsid w:val="00551AB6"/>
    <w:rsid w:val="005547DB"/>
    <w:rsid w:val="0055642F"/>
    <w:rsid w:val="00557936"/>
    <w:rsid w:val="00557ADF"/>
    <w:rsid w:val="00557CBE"/>
    <w:rsid w:val="0056354D"/>
    <w:rsid w:val="00563CBA"/>
    <w:rsid w:val="00564449"/>
    <w:rsid w:val="00564649"/>
    <w:rsid w:val="00566C42"/>
    <w:rsid w:val="00566F27"/>
    <w:rsid w:val="0057014B"/>
    <w:rsid w:val="005701BA"/>
    <w:rsid w:val="00586758"/>
    <w:rsid w:val="00586AF8"/>
    <w:rsid w:val="00586B01"/>
    <w:rsid w:val="00591A6C"/>
    <w:rsid w:val="00596B6A"/>
    <w:rsid w:val="005A1558"/>
    <w:rsid w:val="005A326F"/>
    <w:rsid w:val="005A5B7D"/>
    <w:rsid w:val="005A69B7"/>
    <w:rsid w:val="005B0C29"/>
    <w:rsid w:val="005B179E"/>
    <w:rsid w:val="005B4F97"/>
    <w:rsid w:val="005B6814"/>
    <w:rsid w:val="005B778D"/>
    <w:rsid w:val="005B7CDC"/>
    <w:rsid w:val="005C2D2E"/>
    <w:rsid w:val="005C3989"/>
    <w:rsid w:val="005C5B51"/>
    <w:rsid w:val="005D0C70"/>
    <w:rsid w:val="005D7A9F"/>
    <w:rsid w:val="005E35B4"/>
    <w:rsid w:val="005E3707"/>
    <w:rsid w:val="005E7585"/>
    <w:rsid w:val="005F226D"/>
    <w:rsid w:val="005F3D80"/>
    <w:rsid w:val="005F3D9B"/>
    <w:rsid w:val="005F52A0"/>
    <w:rsid w:val="005F623E"/>
    <w:rsid w:val="005F650D"/>
    <w:rsid w:val="006027F9"/>
    <w:rsid w:val="006037EE"/>
    <w:rsid w:val="00613065"/>
    <w:rsid w:val="006235BD"/>
    <w:rsid w:val="006241A2"/>
    <w:rsid w:val="006265BC"/>
    <w:rsid w:val="00627123"/>
    <w:rsid w:val="00632157"/>
    <w:rsid w:val="006348D8"/>
    <w:rsid w:val="00635C05"/>
    <w:rsid w:val="00635F34"/>
    <w:rsid w:val="00637139"/>
    <w:rsid w:val="00641651"/>
    <w:rsid w:val="00641EC4"/>
    <w:rsid w:val="0064309B"/>
    <w:rsid w:val="0064350C"/>
    <w:rsid w:val="00647557"/>
    <w:rsid w:val="00653F58"/>
    <w:rsid w:val="006550E7"/>
    <w:rsid w:val="00657613"/>
    <w:rsid w:val="00660287"/>
    <w:rsid w:val="006609CD"/>
    <w:rsid w:val="00664C0D"/>
    <w:rsid w:val="006660C7"/>
    <w:rsid w:val="006716C7"/>
    <w:rsid w:val="00671B15"/>
    <w:rsid w:val="00672125"/>
    <w:rsid w:val="00675C8B"/>
    <w:rsid w:val="00680DCD"/>
    <w:rsid w:val="00682899"/>
    <w:rsid w:val="0068369F"/>
    <w:rsid w:val="006867D3"/>
    <w:rsid w:val="00691F6E"/>
    <w:rsid w:val="0069549A"/>
    <w:rsid w:val="006A1245"/>
    <w:rsid w:val="006A3011"/>
    <w:rsid w:val="006A3339"/>
    <w:rsid w:val="006A4FBB"/>
    <w:rsid w:val="006A54BB"/>
    <w:rsid w:val="006A6BCA"/>
    <w:rsid w:val="006C03BF"/>
    <w:rsid w:val="006C254C"/>
    <w:rsid w:val="006C4B2A"/>
    <w:rsid w:val="006C5630"/>
    <w:rsid w:val="006C7C99"/>
    <w:rsid w:val="006D2A3E"/>
    <w:rsid w:val="006E007A"/>
    <w:rsid w:val="006E38AF"/>
    <w:rsid w:val="006E543A"/>
    <w:rsid w:val="006E61A5"/>
    <w:rsid w:val="006F16FD"/>
    <w:rsid w:val="006F43CA"/>
    <w:rsid w:val="006F51DA"/>
    <w:rsid w:val="00700355"/>
    <w:rsid w:val="00703124"/>
    <w:rsid w:val="00706F6A"/>
    <w:rsid w:val="00712B9F"/>
    <w:rsid w:val="00720533"/>
    <w:rsid w:val="00721244"/>
    <w:rsid w:val="007249FE"/>
    <w:rsid w:val="00726925"/>
    <w:rsid w:val="007324B8"/>
    <w:rsid w:val="00742B42"/>
    <w:rsid w:val="0074320E"/>
    <w:rsid w:val="00750247"/>
    <w:rsid w:val="00750EEB"/>
    <w:rsid w:val="007521B4"/>
    <w:rsid w:val="007532F5"/>
    <w:rsid w:val="00753835"/>
    <w:rsid w:val="00756EA1"/>
    <w:rsid w:val="00757F90"/>
    <w:rsid w:val="0076102B"/>
    <w:rsid w:val="00761429"/>
    <w:rsid w:val="00765D36"/>
    <w:rsid w:val="007762F2"/>
    <w:rsid w:val="0077683A"/>
    <w:rsid w:val="00776F5C"/>
    <w:rsid w:val="00785C7A"/>
    <w:rsid w:val="00790BAA"/>
    <w:rsid w:val="007918A3"/>
    <w:rsid w:val="00791D8D"/>
    <w:rsid w:val="00792F6C"/>
    <w:rsid w:val="00794DCC"/>
    <w:rsid w:val="0079626C"/>
    <w:rsid w:val="007965EB"/>
    <w:rsid w:val="00797B4A"/>
    <w:rsid w:val="007A1F92"/>
    <w:rsid w:val="007A3ED9"/>
    <w:rsid w:val="007B59A3"/>
    <w:rsid w:val="007D1567"/>
    <w:rsid w:val="007D24F8"/>
    <w:rsid w:val="007D2957"/>
    <w:rsid w:val="007D4A76"/>
    <w:rsid w:val="007E58CB"/>
    <w:rsid w:val="007E7B27"/>
    <w:rsid w:val="007F1CF0"/>
    <w:rsid w:val="007F1D14"/>
    <w:rsid w:val="007F36AC"/>
    <w:rsid w:val="007F4380"/>
    <w:rsid w:val="007F4F6F"/>
    <w:rsid w:val="007F76CF"/>
    <w:rsid w:val="007F7DFF"/>
    <w:rsid w:val="00802ABC"/>
    <w:rsid w:val="008066D5"/>
    <w:rsid w:val="008124E0"/>
    <w:rsid w:val="00812863"/>
    <w:rsid w:val="00812A5C"/>
    <w:rsid w:val="00820C52"/>
    <w:rsid w:val="008214F4"/>
    <w:rsid w:val="008306BC"/>
    <w:rsid w:val="008314D0"/>
    <w:rsid w:val="00832890"/>
    <w:rsid w:val="00834064"/>
    <w:rsid w:val="00835EF3"/>
    <w:rsid w:val="00837D54"/>
    <w:rsid w:val="00845BFD"/>
    <w:rsid w:val="00854EF1"/>
    <w:rsid w:val="008557FF"/>
    <w:rsid w:val="008573F6"/>
    <w:rsid w:val="00870673"/>
    <w:rsid w:val="00870BBB"/>
    <w:rsid w:val="00870FD3"/>
    <w:rsid w:val="00871305"/>
    <w:rsid w:val="008731F4"/>
    <w:rsid w:val="00886BC6"/>
    <w:rsid w:val="00890EF4"/>
    <w:rsid w:val="008938DC"/>
    <w:rsid w:val="0089519F"/>
    <w:rsid w:val="008A149C"/>
    <w:rsid w:val="008A20F0"/>
    <w:rsid w:val="008A4591"/>
    <w:rsid w:val="008A4AE2"/>
    <w:rsid w:val="008A5417"/>
    <w:rsid w:val="008B548F"/>
    <w:rsid w:val="008B7E95"/>
    <w:rsid w:val="008C0108"/>
    <w:rsid w:val="008C1FA0"/>
    <w:rsid w:val="008C219A"/>
    <w:rsid w:val="008C2766"/>
    <w:rsid w:val="008C5E56"/>
    <w:rsid w:val="008C638F"/>
    <w:rsid w:val="008D1E05"/>
    <w:rsid w:val="008D62BD"/>
    <w:rsid w:val="008D6BA1"/>
    <w:rsid w:val="008E1B97"/>
    <w:rsid w:val="008E1D36"/>
    <w:rsid w:val="008E29BB"/>
    <w:rsid w:val="008E326A"/>
    <w:rsid w:val="008F0229"/>
    <w:rsid w:val="008F26F7"/>
    <w:rsid w:val="008F55A9"/>
    <w:rsid w:val="008F715D"/>
    <w:rsid w:val="0090073A"/>
    <w:rsid w:val="00901ACE"/>
    <w:rsid w:val="00903559"/>
    <w:rsid w:val="00906C0B"/>
    <w:rsid w:val="009103E1"/>
    <w:rsid w:val="009112AC"/>
    <w:rsid w:val="00913A72"/>
    <w:rsid w:val="00916510"/>
    <w:rsid w:val="009167AE"/>
    <w:rsid w:val="00916D90"/>
    <w:rsid w:val="00917BFF"/>
    <w:rsid w:val="00927EC1"/>
    <w:rsid w:val="00931964"/>
    <w:rsid w:val="00933479"/>
    <w:rsid w:val="00933BF1"/>
    <w:rsid w:val="0093690B"/>
    <w:rsid w:val="00936CD2"/>
    <w:rsid w:val="00936FD3"/>
    <w:rsid w:val="009408E5"/>
    <w:rsid w:val="00942DF5"/>
    <w:rsid w:val="0095449E"/>
    <w:rsid w:val="00960ACF"/>
    <w:rsid w:val="009637B5"/>
    <w:rsid w:val="0096682C"/>
    <w:rsid w:val="009672DC"/>
    <w:rsid w:val="00970380"/>
    <w:rsid w:val="009712F6"/>
    <w:rsid w:val="00976AB4"/>
    <w:rsid w:val="009772D4"/>
    <w:rsid w:val="009812F2"/>
    <w:rsid w:val="0098590C"/>
    <w:rsid w:val="009936AE"/>
    <w:rsid w:val="009A150F"/>
    <w:rsid w:val="009A1E39"/>
    <w:rsid w:val="009A3326"/>
    <w:rsid w:val="009A5EC0"/>
    <w:rsid w:val="009A6037"/>
    <w:rsid w:val="009B095B"/>
    <w:rsid w:val="009B172C"/>
    <w:rsid w:val="009B323F"/>
    <w:rsid w:val="009B7845"/>
    <w:rsid w:val="009B7AB6"/>
    <w:rsid w:val="009B7BBF"/>
    <w:rsid w:val="009C0AEF"/>
    <w:rsid w:val="009C21D0"/>
    <w:rsid w:val="009C33AC"/>
    <w:rsid w:val="009D03A2"/>
    <w:rsid w:val="009D2C1B"/>
    <w:rsid w:val="009D2DB1"/>
    <w:rsid w:val="009D2E1A"/>
    <w:rsid w:val="009D6075"/>
    <w:rsid w:val="009D6609"/>
    <w:rsid w:val="009E11A2"/>
    <w:rsid w:val="009E2E21"/>
    <w:rsid w:val="009E3332"/>
    <w:rsid w:val="009E683E"/>
    <w:rsid w:val="009F2351"/>
    <w:rsid w:val="009F238D"/>
    <w:rsid w:val="009F4B70"/>
    <w:rsid w:val="009F76C9"/>
    <w:rsid w:val="009F7FA4"/>
    <w:rsid w:val="00A011AC"/>
    <w:rsid w:val="00A01FC9"/>
    <w:rsid w:val="00A0644A"/>
    <w:rsid w:val="00A067EE"/>
    <w:rsid w:val="00A123C4"/>
    <w:rsid w:val="00A12903"/>
    <w:rsid w:val="00A148C2"/>
    <w:rsid w:val="00A16BF8"/>
    <w:rsid w:val="00A2077F"/>
    <w:rsid w:val="00A24191"/>
    <w:rsid w:val="00A3050E"/>
    <w:rsid w:val="00A3181C"/>
    <w:rsid w:val="00A3234C"/>
    <w:rsid w:val="00A336DF"/>
    <w:rsid w:val="00A353C1"/>
    <w:rsid w:val="00A4530B"/>
    <w:rsid w:val="00A56640"/>
    <w:rsid w:val="00A57ABB"/>
    <w:rsid w:val="00A60CF1"/>
    <w:rsid w:val="00A63DC9"/>
    <w:rsid w:val="00A65BF9"/>
    <w:rsid w:val="00A7006D"/>
    <w:rsid w:val="00A7014A"/>
    <w:rsid w:val="00A71341"/>
    <w:rsid w:val="00A7139C"/>
    <w:rsid w:val="00A76E36"/>
    <w:rsid w:val="00A869AF"/>
    <w:rsid w:val="00A86F88"/>
    <w:rsid w:val="00A936EF"/>
    <w:rsid w:val="00A95786"/>
    <w:rsid w:val="00AA2117"/>
    <w:rsid w:val="00AA5C21"/>
    <w:rsid w:val="00AA7A86"/>
    <w:rsid w:val="00AB52D0"/>
    <w:rsid w:val="00AB7246"/>
    <w:rsid w:val="00AC228A"/>
    <w:rsid w:val="00AD44B2"/>
    <w:rsid w:val="00AD484D"/>
    <w:rsid w:val="00AD6DEB"/>
    <w:rsid w:val="00AE20B6"/>
    <w:rsid w:val="00AE2637"/>
    <w:rsid w:val="00AE2B5E"/>
    <w:rsid w:val="00AE6894"/>
    <w:rsid w:val="00AF0C2B"/>
    <w:rsid w:val="00AF1BF4"/>
    <w:rsid w:val="00AF26A2"/>
    <w:rsid w:val="00AF54F2"/>
    <w:rsid w:val="00B041F4"/>
    <w:rsid w:val="00B05339"/>
    <w:rsid w:val="00B0627E"/>
    <w:rsid w:val="00B06D99"/>
    <w:rsid w:val="00B14AD1"/>
    <w:rsid w:val="00B17A11"/>
    <w:rsid w:val="00B20EB0"/>
    <w:rsid w:val="00B2231D"/>
    <w:rsid w:val="00B23DAE"/>
    <w:rsid w:val="00B2530F"/>
    <w:rsid w:val="00B25C94"/>
    <w:rsid w:val="00B26C8C"/>
    <w:rsid w:val="00B334F6"/>
    <w:rsid w:val="00B33D6C"/>
    <w:rsid w:val="00B40524"/>
    <w:rsid w:val="00B4266E"/>
    <w:rsid w:val="00B47849"/>
    <w:rsid w:val="00B5259A"/>
    <w:rsid w:val="00B53FC2"/>
    <w:rsid w:val="00B5523B"/>
    <w:rsid w:val="00B61B3F"/>
    <w:rsid w:val="00B705D1"/>
    <w:rsid w:val="00B74C09"/>
    <w:rsid w:val="00B765AE"/>
    <w:rsid w:val="00B76E77"/>
    <w:rsid w:val="00B774BB"/>
    <w:rsid w:val="00B80FE9"/>
    <w:rsid w:val="00B8235C"/>
    <w:rsid w:val="00B831A1"/>
    <w:rsid w:val="00B86DAB"/>
    <w:rsid w:val="00B94946"/>
    <w:rsid w:val="00B95ACB"/>
    <w:rsid w:val="00BA129C"/>
    <w:rsid w:val="00BA332E"/>
    <w:rsid w:val="00BA459B"/>
    <w:rsid w:val="00BA648E"/>
    <w:rsid w:val="00BB7173"/>
    <w:rsid w:val="00BC0EE1"/>
    <w:rsid w:val="00BC16DD"/>
    <w:rsid w:val="00BD1F5A"/>
    <w:rsid w:val="00BD23BD"/>
    <w:rsid w:val="00BD47FE"/>
    <w:rsid w:val="00BE0886"/>
    <w:rsid w:val="00BE1F0E"/>
    <w:rsid w:val="00BE21DE"/>
    <w:rsid w:val="00BE2862"/>
    <w:rsid w:val="00BF14BF"/>
    <w:rsid w:val="00BF238C"/>
    <w:rsid w:val="00BF691A"/>
    <w:rsid w:val="00C008FD"/>
    <w:rsid w:val="00C07492"/>
    <w:rsid w:val="00C11C68"/>
    <w:rsid w:val="00C126F5"/>
    <w:rsid w:val="00C21374"/>
    <w:rsid w:val="00C21BEE"/>
    <w:rsid w:val="00C25901"/>
    <w:rsid w:val="00C31108"/>
    <w:rsid w:val="00C33330"/>
    <w:rsid w:val="00C36553"/>
    <w:rsid w:val="00C37F6A"/>
    <w:rsid w:val="00C40734"/>
    <w:rsid w:val="00C426EE"/>
    <w:rsid w:val="00C4674F"/>
    <w:rsid w:val="00C4797A"/>
    <w:rsid w:val="00C50BBB"/>
    <w:rsid w:val="00C5305A"/>
    <w:rsid w:val="00C53694"/>
    <w:rsid w:val="00C55824"/>
    <w:rsid w:val="00C570F2"/>
    <w:rsid w:val="00C618B1"/>
    <w:rsid w:val="00C6223B"/>
    <w:rsid w:val="00C713AC"/>
    <w:rsid w:val="00C85586"/>
    <w:rsid w:val="00C86ECE"/>
    <w:rsid w:val="00C94B0A"/>
    <w:rsid w:val="00CA10B5"/>
    <w:rsid w:val="00CA7527"/>
    <w:rsid w:val="00CB5C8D"/>
    <w:rsid w:val="00CB7F07"/>
    <w:rsid w:val="00CC07A4"/>
    <w:rsid w:val="00CC100D"/>
    <w:rsid w:val="00CC22DF"/>
    <w:rsid w:val="00CC31FE"/>
    <w:rsid w:val="00CC3295"/>
    <w:rsid w:val="00CC48BC"/>
    <w:rsid w:val="00CD4EEF"/>
    <w:rsid w:val="00CD5C66"/>
    <w:rsid w:val="00CE1381"/>
    <w:rsid w:val="00CE1948"/>
    <w:rsid w:val="00CE67C4"/>
    <w:rsid w:val="00D00016"/>
    <w:rsid w:val="00D07D46"/>
    <w:rsid w:val="00D16980"/>
    <w:rsid w:val="00D17679"/>
    <w:rsid w:val="00D224AA"/>
    <w:rsid w:val="00D309F1"/>
    <w:rsid w:val="00D31F6C"/>
    <w:rsid w:val="00D42399"/>
    <w:rsid w:val="00D46919"/>
    <w:rsid w:val="00D46F9F"/>
    <w:rsid w:val="00D478A3"/>
    <w:rsid w:val="00D542FF"/>
    <w:rsid w:val="00D55090"/>
    <w:rsid w:val="00D574BC"/>
    <w:rsid w:val="00D641F0"/>
    <w:rsid w:val="00D66098"/>
    <w:rsid w:val="00D80B7C"/>
    <w:rsid w:val="00D82419"/>
    <w:rsid w:val="00D835F2"/>
    <w:rsid w:val="00D977C7"/>
    <w:rsid w:val="00DA260D"/>
    <w:rsid w:val="00DA44CF"/>
    <w:rsid w:val="00DA7837"/>
    <w:rsid w:val="00DB1D25"/>
    <w:rsid w:val="00DB67B8"/>
    <w:rsid w:val="00DC06AF"/>
    <w:rsid w:val="00DC37A3"/>
    <w:rsid w:val="00DC3964"/>
    <w:rsid w:val="00DC41B0"/>
    <w:rsid w:val="00DD6B88"/>
    <w:rsid w:val="00DE2C83"/>
    <w:rsid w:val="00DE33AF"/>
    <w:rsid w:val="00DE4918"/>
    <w:rsid w:val="00DE517E"/>
    <w:rsid w:val="00DF2829"/>
    <w:rsid w:val="00DF3AAF"/>
    <w:rsid w:val="00DF734D"/>
    <w:rsid w:val="00E075D6"/>
    <w:rsid w:val="00E13F5D"/>
    <w:rsid w:val="00E1481D"/>
    <w:rsid w:val="00E1569E"/>
    <w:rsid w:val="00E2214D"/>
    <w:rsid w:val="00E23330"/>
    <w:rsid w:val="00E322B7"/>
    <w:rsid w:val="00E3321C"/>
    <w:rsid w:val="00E338C5"/>
    <w:rsid w:val="00E34645"/>
    <w:rsid w:val="00E361C8"/>
    <w:rsid w:val="00E40E37"/>
    <w:rsid w:val="00E46637"/>
    <w:rsid w:val="00E5197A"/>
    <w:rsid w:val="00E72BC6"/>
    <w:rsid w:val="00E72D8F"/>
    <w:rsid w:val="00E8297C"/>
    <w:rsid w:val="00E85AE9"/>
    <w:rsid w:val="00E878BF"/>
    <w:rsid w:val="00E92334"/>
    <w:rsid w:val="00E93942"/>
    <w:rsid w:val="00E93B5A"/>
    <w:rsid w:val="00E94268"/>
    <w:rsid w:val="00E94677"/>
    <w:rsid w:val="00E97603"/>
    <w:rsid w:val="00EA0D4C"/>
    <w:rsid w:val="00EA14A7"/>
    <w:rsid w:val="00EA1EE3"/>
    <w:rsid w:val="00EA2D68"/>
    <w:rsid w:val="00EA6100"/>
    <w:rsid w:val="00EB0DBA"/>
    <w:rsid w:val="00EB1C9C"/>
    <w:rsid w:val="00EB5FE1"/>
    <w:rsid w:val="00EC22E4"/>
    <w:rsid w:val="00EC31B2"/>
    <w:rsid w:val="00EC359C"/>
    <w:rsid w:val="00EC57DE"/>
    <w:rsid w:val="00EC7DAD"/>
    <w:rsid w:val="00ED201E"/>
    <w:rsid w:val="00ED6DD1"/>
    <w:rsid w:val="00EE502A"/>
    <w:rsid w:val="00EF01F3"/>
    <w:rsid w:val="00EF524D"/>
    <w:rsid w:val="00EF5873"/>
    <w:rsid w:val="00F055BB"/>
    <w:rsid w:val="00F05E27"/>
    <w:rsid w:val="00F07053"/>
    <w:rsid w:val="00F22360"/>
    <w:rsid w:val="00F30705"/>
    <w:rsid w:val="00F31E73"/>
    <w:rsid w:val="00F34393"/>
    <w:rsid w:val="00F3587E"/>
    <w:rsid w:val="00F35CAF"/>
    <w:rsid w:val="00F372A9"/>
    <w:rsid w:val="00F42293"/>
    <w:rsid w:val="00F42BAF"/>
    <w:rsid w:val="00F459C1"/>
    <w:rsid w:val="00F47614"/>
    <w:rsid w:val="00F50FCE"/>
    <w:rsid w:val="00F54588"/>
    <w:rsid w:val="00F55B06"/>
    <w:rsid w:val="00F65651"/>
    <w:rsid w:val="00F67EA7"/>
    <w:rsid w:val="00F721B2"/>
    <w:rsid w:val="00F7636C"/>
    <w:rsid w:val="00F802A6"/>
    <w:rsid w:val="00F829DA"/>
    <w:rsid w:val="00F83FA6"/>
    <w:rsid w:val="00F86AD9"/>
    <w:rsid w:val="00F92B2B"/>
    <w:rsid w:val="00FA1BFC"/>
    <w:rsid w:val="00FB31FC"/>
    <w:rsid w:val="00FB4646"/>
    <w:rsid w:val="00FC06EA"/>
    <w:rsid w:val="00FC0AA8"/>
    <w:rsid w:val="00FC1F1A"/>
    <w:rsid w:val="00FC3744"/>
    <w:rsid w:val="00FC4978"/>
    <w:rsid w:val="00FC4AA9"/>
    <w:rsid w:val="00FC5C47"/>
    <w:rsid w:val="00FC70AE"/>
    <w:rsid w:val="00FC7CA4"/>
    <w:rsid w:val="00FE0EDE"/>
    <w:rsid w:val="00FE1CFA"/>
    <w:rsid w:val="00FE2C26"/>
    <w:rsid w:val="00FE326B"/>
    <w:rsid w:val="00FE4D20"/>
    <w:rsid w:val="00FE4F9F"/>
    <w:rsid w:val="00FE6696"/>
    <w:rsid w:val="00FE7AF0"/>
    <w:rsid w:val="00FF0E40"/>
    <w:rsid w:val="00FF1DCD"/>
    <w:rsid w:val="00FF266F"/>
    <w:rsid w:val="00FF371F"/>
    <w:rsid w:val="00FF430C"/>
    <w:rsid w:val="00FF43D3"/>
    <w:rsid w:val="00FF52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A2BB1"/>
  <w15:docId w15:val="{05C29262-3BB7-48F8-9F9F-20A26D39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B7F07"/>
  </w:style>
  <w:style w:type="paragraph" w:styleId="Nadpis1">
    <w:name w:val="heading 1"/>
    <w:basedOn w:val="Normln"/>
    <w:next w:val="Normln"/>
    <w:link w:val="Nadpis1Char"/>
    <w:uiPriority w:val="9"/>
    <w:qFormat/>
    <w:rsid w:val="00095F5E"/>
    <w:pPr>
      <w:keepNext/>
      <w:keepLines/>
      <w:spacing w:before="480" w:after="0" w:line="240" w:lineRule="auto"/>
      <w:jc w:val="both"/>
      <w:outlineLvl w:val="0"/>
    </w:pPr>
    <w:rPr>
      <w:rFonts w:ascii="Cambria" w:eastAsia="Times New Roman" w:hAnsi="Cambria" w:cs="Times New Roman"/>
      <w:b/>
      <w:bCs/>
      <w:color w:val="365F91"/>
      <w:sz w:val="28"/>
      <w:szCs w:val="28"/>
    </w:rPr>
  </w:style>
  <w:style w:type="paragraph" w:styleId="Nadpis2">
    <w:name w:val="heading 2"/>
    <w:basedOn w:val="Normln"/>
    <w:next w:val="Normln"/>
    <w:link w:val="Nadpis2Char"/>
    <w:qFormat/>
    <w:rsid w:val="00095F5E"/>
    <w:pPr>
      <w:keepNext/>
      <w:numPr>
        <w:ilvl w:val="1"/>
        <w:numId w:val="1"/>
      </w:numPr>
      <w:tabs>
        <w:tab w:val="left" w:pos="567"/>
      </w:tabs>
      <w:spacing w:before="240" w:after="60" w:line="240" w:lineRule="auto"/>
      <w:outlineLvl w:val="1"/>
    </w:pPr>
    <w:rPr>
      <w:rFonts w:ascii="Arial" w:eastAsia="Times New Roman"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1DCD"/>
    <w:pPr>
      <w:ind w:left="720"/>
      <w:contextualSpacing/>
    </w:pPr>
  </w:style>
  <w:style w:type="character" w:customStyle="1" w:styleId="Nadpis1Char">
    <w:name w:val="Nadpis 1 Char"/>
    <w:basedOn w:val="Standardnpsmoodstavce"/>
    <w:link w:val="Nadpis1"/>
    <w:uiPriority w:val="9"/>
    <w:rsid w:val="00095F5E"/>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rsid w:val="00095F5E"/>
    <w:rPr>
      <w:rFonts w:ascii="Arial" w:eastAsia="Times New Roman" w:hAnsi="Arial" w:cs="Arial"/>
      <w:b/>
      <w:bCs/>
      <w:i/>
      <w:iCs/>
      <w:sz w:val="28"/>
      <w:szCs w:val="28"/>
    </w:rPr>
  </w:style>
  <w:style w:type="paragraph" w:styleId="Textbubliny">
    <w:name w:val="Balloon Text"/>
    <w:basedOn w:val="Normln"/>
    <w:link w:val="TextbublinyChar"/>
    <w:uiPriority w:val="99"/>
    <w:semiHidden/>
    <w:unhideWhenUsed/>
    <w:rsid w:val="00FF52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52AD"/>
    <w:rPr>
      <w:rFonts w:ascii="Tahoma" w:hAnsi="Tahoma" w:cs="Tahoma"/>
      <w:sz w:val="16"/>
      <w:szCs w:val="16"/>
    </w:rPr>
  </w:style>
  <w:style w:type="character" w:styleId="Odkaznakoment">
    <w:name w:val="annotation reference"/>
    <w:basedOn w:val="Standardnpsmoodstavce"/>
    <w:uiPriority w:val="99"/>
    <w:semiHidden/>
    <w:unhideWhenUsed/>
    <w:rsid w:val="00490A0E"/>
    <w:rPr>
      <w:rFonts w:ascii="Times New Roman" w:hAnsi="Times New Roman" w:cs="Times New Roman" w:hint="default"/>
      <w:sz w:val="16"/>
      <w:szCs w:val="16"/>
    </w:rPr>
  </w:style>
  <w:style w:type="paragraph" w:styleId="Normlnweb">
    <w:name w:val="Normal (Web)"/>
    <w:basedOn w:val="Normln"/>
    <w:uiPriority w:val="99"/>
    <w:unhideWhenUsed/>
    <w:rsid w:val="00490A0E"/>
    <w:pPr>
      <w:spacing w:before="100" w:beforeAutospacing="1" w:after="100" w:afterAutospacing="1" w:line="240" w:lineRule="auto"/>
    </w:pPr>
    <w:rPr>
      <w:rFonts w:ascii="Times New Roman" w:eastAsia="Times New Roman" w:hAnsi="Times New Roman" w:cs="Times New Roman"/>
      <w:sz w:val="24"/>
      <w:szCs w:val="24"/>
    </w:rPr>
  </w:style>
  <w:style w:type="paragraph" w:styleId="Textkomente">
    <w:name w:val="annotation text"/>
    <w:basedOn w:val="Normln"/>
    <w:link w:val="TextkomenteChar"/>
    <w:uiPriority w:val="99"/>
    <w:semiHidden/>
    <w:unhideWhenUsed/>
    <w:rsid w:val="00A4530B"/>
    <w:pPr>
      <w:spacing w:line="240" w:lineRule="auto"/>
    </w:pPr>
    <w:rPr>
      <w:sz w:val="20"/>
      <w:szCs w:val="20"/>
    </w:rPr>
  </w:style>
  <w:style w:type="character" w:customStyle="1" w:styleId="TextkomenteChar">
    <w:name w:val="Text komentáře Char"/>
    <w:basedOn w:val="Standardnpsmoodstavce"/>
    <w:link w:val="Textkomente"/>
    <w:uiPriority w:val="99"/>
    <w:semiHidden/>
    <w:rsid w:val="00A4530B"/>
    <w:rPr>
      <w:sz w:val="20"/>
      <w:szCs w:val="20"/>
    </w:rPr>
  </w:style>
  <w:style w:type="paragraph" w:styleId="Pedmtkomente">
    <w:name w:val="annotation subject"/>
    <w:basedOn w:val="Textkomente"/>
    <w:next w:val="Textkomente"/>
    <w:link w:val="PedmtkomenteChar"/>
    <w:uiPriority w:val="99"/>
    <w:semiHidden/>
    <w:unhideWhenUsed/>
    <w:rsid w:val="00A4530B"/>
    <w:rPr>
      <w:b/>
      <w:bCs/>
    </w:rPr>
  </w:style>
  <w:style w:type="character" w:customStyle="1" w:styleId="PedmtkomenteChar">
    <w:name w:val="Předmět komentáře Char"/>
    <w:basedOn w:val="TextkomenteChar"/>
    <w:link w:val="Pedmtkomente"/>
    <w:uiPriority w:val="99"/>
    <w:semiHidden/>
    <w:rsid w:val="00A4530B"/>
    <w:rPr>
      <w:b/>
      <w:bCs/>
      <w:sz w:val="20"/>
      <w:szCs w:val="20"/>
    </w:rPr>
  </w:style>
  <w:style w:type="paragraph" w:customStyle="1" w:styleId="aStyl">
    <w:name w:val="aStyl §"/>
    <w:basedOn w:val="Normln"/>
    <w:next w:val="Normln"/>
    <w:rsid w:val="00A24191"/>
    <w:pPr>
      <w:tabs>
        <w:tab w:val="left" w:pos="567"/>
        <w:tab w:val="num" w:pos="1065"/>
      </w:tabs>
      <w:spacing w:before="120" w:after="120" w:line="240" w:lineRule="auto"/>
      <w:jc w:val="center"/>
    </w:pPr>
    <w:rPr>
      <w:rFonts w:ascii="Arial" w:hAnsi="Arial" w:cs="Arial"/>
      <w:b/>
      <w:bCs/>
      <w:sz w:val="24"/>
      <w:szCs w:val="24"/>
      <w:lang w:eastAsia="en-US"/>
    </w:rPr>
  </w:style>
  <w:style w:type="paragraph" w:customStyle="1" w:styleId="Standard">
    <w:name w:val="Standard"/>
    <w:rsid w:val="00301E14"/>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styleId="Hypertextovodkaz">
    <w:name w:val="Hyperlink"/>
    <w:basedOn w:val="Standardnpsmoodstavce"/>
    <w:uiPriority w:val="99"/>
    <w:unhideWhenUsed/>
    <w:rsid w:val="00557936"/>
    <w:rPr>
      <w:color w:val="0000FF" w:themeColor="hyperlink"/>
      <w:u w:val="single"/>
    </w:rPr>
  </w:style>
  <w:style w:type="character" w:styleId="Nevyeenzmnka">
    <w:name w:val="Unresolved Mention"/>
    <w:basedOn w:val="Standardnpsmoodstavce"/>
    <w:uiPriority w:val="99"/>
    <w:semiHidden/>
    <w:unhideWhenUsed/>
    <w:rsid w:val="00557936"/>
    <w:rPr>
      <w:color w:val="605E5C"/>
      <w:shd w:val="clear" w:color="auto" w:fill="E1DFDD"/>
    </w:rPr>
  </w:style>
  <w:style w:type="character" w:styleId="Sledovanodkaz">
    <w:name w:val="FollowedHyperlink"/>
    <w:basedOn w:val="Standardnpsmoodstavce"/>
    <w:uiPriority w:val="99"/>
    <w:semiHidden/>
    <w:unhideWhenUsed/>
    <w:rsid w:val="003C038D"/>
    <w:rPr>
      <w:color w:val="800080" w:themeColor="followedHyperlink"/>
      <w:u w:val="single"/>
    </w:rPr>
  </w:style>
  <w:style w:type="paragraph" w:styleId="Textpoznpodarou">
    <w:name w:val="footnote text"/>
    <w:basedOn w:val="Normln"/>
    <w:link w:val="TextpoznpodarouChar"/>
    <w:uiPriority w:val="99"/>
    <w:semiHidden/>
    <w:unhideWhenUsed/>
    <w:rsid w:val="003C038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C038D"/>
    <w:rPr>
      <w:sz w:val="20"/>
      <w:szCs w:val="20"/>
    </w:rPr>
  </w:style>
  <w:style w:type="character" w:styleId="Znakapoznpodarou">
    <w:name w:val="footnote reference"/>
    <w:basedOn w:val="Standardnpsmoodstavce"/>
    <w:uiPriority w:val="99"/>
    <w:semiHidden/>
    <w:unhideWhenUsed/>
    <w:rsid w:val="003C038D"/>
    <w:rPr>
      <w:vertAlign w:val="superscript"/>
    </w:rPr>
  </w:style>
  <w:style w:type="paragraph" w:styleId="Zhlav">
    <w:name w:val="header"/>
    <w:basedOn w:val="Normln"/>
    <w:link w:val="ZhlavChar"/>
    <w:uiPriority w:val="99"/>
    <w:semiHidden/>
    <w:unhideWhenUsed/>
    <w:rsid w:val="00480BA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80BAE"/>
  </w:style>
  <w:style w:type="paragraph" w:styleId="Zpat">
    <w:name w:val="footer"/>
    <w:basedOn w:val="Normln"/>
    <w:link w:val="ZpatChar"/>
    <w:uiPriority w:val="99"/>
    <w:semiHidden/>
    <w:unhideWhenUsed/>
    <w:rsid w:val="00480BA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80BAE"/>
  </w:style>
  <w:style w:type="paragraph" w:styleId="Revize">
    <w:name w:val="Revision"/>
    <w:hidden/>
    <w:uiPriority w:val="99"/>
    <w:semiHidden/>
    <w:rsid w:val="00834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117557">
      <w:bodyDiv w:val="1"/>
      <w:marLeft w:val="0"/>
      <w:marRight w:val="0"/>
      <w:marTop w:val="0"/>
      <w:marBottom w:val="0"/>
      <w:divBdr>
        <w:top w:val="none" w:sz="0" w:space="0" w:color="auto"/>
        <w:left w:val="none" w:sz="0" w:space="0" w:color="auto"/>
        <w:bottom w:val="none" w:sz="0" w:space="0" w:color="auto"/>
        <w:right w:val="none" w:sz="0" w:space="0" w:color="auto"/>
      </w:divBdr>
    </w:div>
    <w:div w:id="598416239">
      <w:bodyDiv w:val="1"/>
      <w:marLeft w:val="0"/>
      <w:marRight w:val="0"/>
      <w:marTop w:val="0"/>
      <w:marBottom w:val="0"/>
      <w:divBdr>
        <w:top w:val="none" w:sz="0" w:space="0" w:color="auto"/>
        <w:left w:val="none" w:sz="0" w:space="0" w:color="auto"/>
        <w:bottom w:val="none" w:sz="0" w:space="0" w:color="auto"/>
        <w:right w:val="none" w:sz="0" w:space="0" w:color="auto"/>
      </w:divBdr>
    </w:div>
    <w:div w:id="702484711">
      <w:bodyDiv w:val="1"/>
      <w:marLeft w:val="0"/>
      <w:marRight w:val="0"/>
      <w:marTop w:val="0"/>
      <w:marBottom w:val="0"/>
      <w:divBdr>
        <w:top w:val="none" w:sz="0" w:space="0" w:color="auto"/>
        <w:left w:val="none" w:sz="0" w:space="0" w:color="auto"/>
        <w:bottom w:val="none" w:sz="0" w:space="0" w:color="auto"/>
        <w:right w:val="none" w:sz="0" w:space="0" w:color="auto"/>
      </w:divBdr>
    </w:div>
    <w:div w:id="827206063">
      <w:bodyDiv w:val="1"/>
      <w:marLeft w:val="0"/>
      <w:marRight w:val="0"/>
      <w:marTop w:val="0"/>
      <w:marBottom w:val="0"/>
      <w:divBdr>
        <w:top w:val="none" w:sz="0" w:space="0" w:color="auto"/>
        <w:left w:val="none" w:sz="0" w:space="0" w:color="auto"/>
        <w:bottom w:val="none" w:sz="0" w:space="0" w:color="auto"/>
        <w:right w:val="none" w:sz="0" w:space="0" w:color="auto"/>
      </w:divBdr>
    </w:div>
    <w:div w:id="1101416427">
      <w:bodyDiv w:val="1"/>
      <w:marLeft w:val="0"/>
      <w:marRight w:val="0"/>
      <w:marTop w:val="0"/>
      <w:marBottom w:val="0"/>
      <w:divBdr>
        <w:top w:val="none" w:sz="0" w:space="0" w:color="auto"/>
        <w:left w:val="none" w:sz="0" w:space="0" w:color="auto"/>
        <w:bottom w:val="none" w:sz="0" w:space="0" w:color="auto"/>
        <w:right w:val="none" w:sz="0" w:space="0" w:color="auto"/>
      </w:divBdr>
    </w:div>
    <w:div w:id="1133018598">
      <w:bodyDiv w:val="1"/>
      <w:marLeft w:val="0"/>
      <w:marRight w:val="0"/>
      <w:marTop w:val="0"/>
      <w:marBottom w:val="0"/>
      <w:divBdr>
        <w:top w:val="none" w:sz="0" w:space="0" w:color="auto"/>
        <w:left w:val="none" w:sz="0" w:space="0" w:color="auto"/>
        <w:bottom w:val="none" w:sz="0" w:space="0" w:color="auto"/>
        <w:right w:val="none" w:sz="0" w:space="0" w:color="auto"/>
      </w:divBdr>
    </w:div>
    <w:div w:id="1664162003">
      <w:bodyDiv w:val="1"/>
      <w:marLeft w:val="390"/>
      <w:marRight w:val="390"/>
      <w:marTop w:val="0"/>
      <w:marBottom w:val="0"/>
      <w:divBdr>
        <w:top w:val="none" w:sz="0" w:space="0" w:color="auto"/>
        <w:left w:val="none" w:sz="0" w:space="0" w:color="auto"/>
        <w:bottom w:val="none" w:sz="0" w:space="0" w:color="auto"/>
        <w:right w:val="none" w:sz="0" w:space="0" w:color="auto"/>
      </w:divBdr>
      <w:divsChild>
        <w:div w:id="1386878737">
          <w:marLeft w:val="0"/>
          <w:marRight w:val="0"/>
          <w:marTop w:val="0"/>
          <w:marBottom w:val="0"/>
          <w:divBdr>
            <w:top w:val="none" w:sz="0" w:space="0" w:color="auto"/>
            <w:left w:val="none" w:sz="0" w:space="0" w:color="auto"/>
            <w:bottom w:val="none" w:sz="0" w:space="0" w:color="auto"/>
            <w:right w:val="none" w:sz="0" w:space="0" w:color="auto"/>
          </w:divBdr>
          <w:divsChild>
            <w:div w:id="2025352165">
              <w:marLeft w:val="0"/>
              <w:marRight w:val="0"/>
              <w:marTop w:val="0"/>
              <w:marBottom w:val="0"/>
              <w:divBdr>
                <w:top w:val="none" w:sz="0" w:space="0" w:color="auto"/>
                <w:left w:val="none" w:sz="0" w:space="0" w:color="auto"/>
                <w:bottom w:val="none" w:sz="0" w:space="0" w:color="auto"/>
                <w:right w:val="none" w:sz="0" w:space="0" w:color="auto"/>
              </w:divBdr>
              <w:divsChild>
                <w:div w:id="1368719516">
                  <w:marLeft w:val="-150"/>
                  <w:marRight w:val="-150"/>
                  <w:marTop w:val="0"/>
                  <w:marBottom w:val="0"/>
                  <w:divBdr>
                    <w:top w:val="none" w:sz="0" w:space="0" w:color="auto"/>
                    <w:left w:val="none" w:sz="0" w:space="0" w:color="auto"/>
                    <w:bottom w:val="none" w:sz="0" w:space="0" w:color="auto"/>
                    <w:right w:val="none" w:sz="0" w:space="0" w:color="auto"/>
                  </w:divBdr>
                  <w:divsChild>
                    <w:div w:id="1898396481">
                      <w:marLeft w:val="0"/>
                      <w:marRight w:val="0"/>
                      <w:marTop w:val="0"/>
                      <w:marBottom w:val="0"/>
                      <w:divBdr>
                        <w:top w:val="none" w:sz="0" w:space="0" w:color="auto"/>
                        <w:left w:val="none" w:sz="0" w:space="0" w:color="auto"/>
                        <w:bottom w:val="none" w:sz="0" w:space="0" w:color="auto"/>
                        <w:right w:val="none" w:sz="0" w:space="0" w:color="auto"/>
                      </w:divBdr>
                      <w:divsChild>
                        <w:div w:id="7638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86606">
      <w:bodyDiv w:val="1"/>
      <w:marLeft w:val="0"/>
      <w:marRight w:val="0"/>
      <w:marTop w:val="0"/>
      <w:marBottom w:val="0"/>
      <w:divBdr>
        <w:top w:val="none" w:sz="0" w:space="0" w:color="auto"/>
        <w:left w:val="none" w:sz="0" w:space="0" w:color="auto"/>
        <w:bottom w:val="none" w:sz="0" w:space="0" w:color="auto"/>
        <w:right w:val="none" w:sz="0" w:space="0" w:color="auto"/>
      </w:divBdr>
    </w:div>
    <w:div w:id="1825272650">
      <w:bodyDiv w:val="1"/>
      <w:marLeft w:val="0"/>
      <w:marRight w:val="0"/>
      <w:marTop w:val="0"/>
      <w:marBottom w:val="0"/>
      <w:divBdr>
        <w:top w:val="none" w:sz="0" w:space="0" w:color="auto"/>
        <w:left w:val="none" w:sz="0" w:space="0" w:color="auto"/>
        <w:bottom w:val="none" w:sz="0" w:space="0" w:color="auto"/>
        <w:right w:val="none" w:sz="0" w:space="0" w:color="auto"/>
      </w:divBdr>
    </w:div>
    <w:div w:id="20975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orupce.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korupce.cz/protikorupcni-agenda/metodika-c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3AF7B7AF85CC74481A24F119EEBE2F4" ma:contentTypeVersion="2" ma:contentTypeDescription="Vytvoří nový dokument" ma:contentTypeScope="" ma:versionID="58e72a8fffeeb5a6f34aa1f7d33a75c9">
  <xsd:schema xmlns:xsd="http://www.w3.org/2001/XMLSchema" xmlns:xs="http://www.w3.org/2001/XMLSchema" xmlns:p="http://schemas.microsoft.com/office/2006/metadata/properties" xmlns:ns2="f32210cd-666d-4d11-ab48-bfef9714ab3b" targetNamespace="http://schemas.microsoft.com/office/2006/metadata/properties" ma:root="true" ma:fieldsID="2546dc4a1fd471bfac57a8c4eb1d9b2b" ns2:_="">
    <xsd:import namespace="f32210cd-666d-4d11-ab48-bfef9714ab3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210cd-666d-4d11-ab48-bfef9714ab3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CF904-A2E7-464D-A2B5-B5C17D3EB77A}">
  <ds:schemaRefs>
    <ds:schemaRef ds:uri="http://schemas.microsoft.com/sharepoint/v3/contenttype/forms"/>
  </ds:schemaRefs>
</ds:datastoreItem>
</file>

<file path=customXml/itemProps2.xml><?xml version="1.0" encoding="utf-8"?>
<ds:datastoreItem xmlns:ds="http://schemas.openxmlformats.org/officeDocument/2006/customXml" ds:itemID="{6BFE67E8-4FE6-442B-99AE-97ECC9337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210cd-666d-4d11-ab48-bfef9714a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05991-3DA0-46BB-9792-139CDF48CC5F}">
  <ds:schemaRefs>
    <ds:schemaRef ds:uri="http://schemas.microsoft.com/office/2006/documentManagement/types"/>
    <ds:schemaRef ds:uri="f32210cd-666d-4d11-ab48-bfef9714ab3b"/>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B4FC574-6171-43F7-AAA8-050F5CE0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2742</TotalTime>
  <Pages>16</Pages>
  <Words>6374</Words>
  <Characters>37610</Characters>
  <Application>Microsoft Office Word</Application>
  <DocSecurity>0</DocSecurity>
  <Lines>313</Lines>
  <Paragraphs>87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Microsoft</Company>
  <LinksUpToDate>false</LinksUpToDate>
  <CharactersWithSpaces>43897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Apaja</dc:creator>
  <cp:lastModifiedBy>Šimončík Pavel Ing.</cp:lastModifiedBy>
  <cp:revision>85</cp:revision>
  <dcterms:created xsi:type="dcterms:W3CDTF">2019-10-15T11:18:00Z</dcterms:created>
  <dcterms:modified xsi:type="dcterms:W3CDTF">2022-09-16T12:24:00Z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0x010100E3AF7B7AF85CC74481A24F119EEBE2F4</vt:lpwstr>
  </property>
</Properties>
</file>