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8E587" w14:textId="77777777" w:rsidR="00622C21" w:rsidRPr="00622C21" w:rsidRDefault="00622C21" w:rsidP="00237AFE">
      <w:pPr>
        <w:pStyle w:val="Nadpis1"/>
        <w:spacing w:before="0" w:line="276" w:lineRule="auto"/>
        <w:jc w:val="center"/>
        <w:rPr>
          <w:rFonts w:ascii="Times New Roman" w:hAnsi="Times New Roman" w:cs="Times New Roman"/>
          <w:color w:val="auto"/>
        </w:rPr>
      </w:pPr>
      <w:r w:rsidRPr="00622C21">
        <w:rPr>
          <w:rFonts w:ascii="Times New Roman" w:hAnsi="Times New Roman" w:cs="Times New Roman"/>
          <w:color w:val="auto"/>
        </w:rPr>
        <w:t>Závěrečná zpráva o hodnocení dopadů regulace</w:t>
      </w:r>
    </w:p>
    <w:p w14:paraId="6E68E588" w14:textId="77777777" w:rsidR="00622C21" w:rsidRPr="00622C21" w:rsidRDefault="00622C21" w:rsidP="00237AFE">
      <w:pPr>
        <w:pStyle w:val="Nadpis2-zvren"/>
        <w:spacing w:line="276" w:lineRule="auto"/>
        <w:rPr>
          <w:rFonts w:ascii="Times New Roman" w:hAnsi="Times New Roman" w:cs="Times New Roman"/>
          <w:color w:val="auto"/>
        </w:rPr>
      </w:pPr>
      <w:r w:rsidRPr="00622C21">
        <w:rPr>
          <w:rFonts w:ascii="Times New Roman" w:hAnsi="Times New Roman" w:cs="Times New Roman"/>
          <w:color w:val="auto"/>
        </w:rPr>
        <w:t>Důvod předložení a cíle</w:t>
      </w:r>
    </w:p>
    <w:p w14:paraId="1D6B72D3" w14:textId="77777777" w:rsidR="00A7598B" w:rsidRDefault="00A7598B" w:rsidP="00237AFE">
      <w:pPr>
        <w:rPr>
          <w:rFonts w:ascii="Times New Roman" w:hAnsi="Times New Roman" w:cs="Times New Roman"/>
          <w:b/>
        </w:rPr>
      </w:pPr>
    </w:p>
    <w:p w14:paraId="6E68E58A" w14:textId="3E20D9CD" w:rsidR="00622C21" w:rsidRPr="000A3EA6" w:rsidRDefault="00622C21" w:rsidP="00237AFE">
      <w:pPr>
        <w:rPr>
          <w:rFonts w:ascii="Times New Roman" w:hAnsi="Times New Roman" w:cs="Times New Roman"/>
          <w:b/>
        </w:rPr>
      </w:pPr>
      <w:r w:rsidRPr="000A3EA6">
        <w:rPr>
          <w:rFonts w:ascii="Times New Roman" w:hAnsi="Times New Roman" w:cs="Times New Roman"/>
          <w:b/>
        </w:rPr>
        <w:t>Název</w:t>
      </w:r>
    </w:p>
    <w:p w14:paraId="6E68E58B" w14:textId="62D2E0E7" w:rsidR="00622C21" w:rsidRPr="00622C21" w:rsidRDefault="00622C21" w:rsidP="00237AFE">
      <w:pPr>
        <w:rPr>
          <w:rFonts w:ascii="Times New Roman" w:hAnsi="Times New Roman" w:cs="Times New Roman"/>
        </w:rPr>
      </w:pPr>
      <w:r w:rsidRPr="00622C21">
        <w:rPr>
          <w:rFonts w:ascii="Times New Roman" w:hAnsi="Times New Roman" w:cs="Times New Roman"/>
        </w:rPr>
        <w:t>Návrh vyhlášky</w:t>
      </w:r>
      <w:r w:rsidR="00F92580">
        <w:rPr>
          <w:rFonts w:ascii="Times New Roman" w:hAnsi="Times New Roman" w:cs="Times New Roman"/>
        </w:rPr>
        <w:t>, kterou se mění vyhláška č. 408/2015 Sb.,</w:t>
      </w:r>
      <w:r w:rsidRPr="00622C21">
        <w:rPr>
          <w:rFonts w:ascii="Times New Roman" w:hAnsi="Times New Roman" w:cs="Times New Roman"/>
        </w:rPr>
        <w:t xml:space="preserve"> o </w:t>
      </w:r>
      <w:r>
        <w:rPr>
          <w:rFonts w:ascii="Times New Roman" w:hAnsi="Times New Roman" w:cs="Times New Roman"/>
        </w:rPr>
        <w:t>Pravidlech trhu s</w:t>
      </w:r>
      <w:r w:rsidR="00F92580">
        <w:rPr>
          <w:rFonts w:ascii="Times New Roman" w:hAnsi="Times New Roman" w:cs="Times New Roman"/>
        </w:rPr>
        <w:t> </w:t>
      </w:r>
      <w:r>
        <w:rPr>
          <w:rFonts w:ascii="Times New Roman" w:hAnsi="Times New Roman" w:cs="Times New Roman"/>
        </w:rPr>
        <w:t>elektřinou</w:t>
      </w:r>
      <w:r w:rsidR="00F92580">
        <w:rPr>
          <w:rFonts w:ascii="Times New Roman" w:hAnsi="Times New Roman" w:cs="Times New Roman"/>
        </w:rPr>
        <w:t xml:space="preserve">, ve znění vyhlášky č. </w:t>
      </w:r>
      <w:r w:rsidR="00084E99">
        <w:rPr>
          <w:rFonts w:ascii="Times New Roman" w:hAnsi="Times New Roman" w:cs="Times New Roman"/>
        </w:rPr>
        <w:t>490</w:t>
      </w:r>
      <w:r w:rsidR="00F92580">
        <w:rPr>
          <w:rFonts w:ascii="Times New Roman" w:hAnsi="Times New Roman" w:cs="Times New Roman"/>
        </w:rPr>
        <w:t>/20</w:t>
      </w:r>
      <w:r w:rsidR="00084E99">
        <w:rPr>
          <w:rFonts w:ascii="Times New Roman" w:hAnsi="Times New Roman" w:cs="Times New Roman"/>
        </w:rPr>
        <w:t>21</w:t>
      </w:r>
      <w:r w:rsidR="00F92580">
        <w:rPr>
          <w:rFonts w:ascii="Times New Roman" w:hAnsi="Times New Roman" w:cs="Times New Roman"/>
        </w:rPr>
        <w:t xml:space="preserve"> Sb</w:t>
      </w:r>
      <w:r w:rsidRPr="00622C21">
        <w:rPr>
          <w:rFonts w:ascii="Times New Roman" w:hAnsi="Times New Roman" w:cs="Times New Roman"/>
        </w:rPr>
        <w:t>.</w:t>
      </w:r>
    </w:p>
    <w:p w14:paraId="6E68E58C" w14:textId="77777777" w:rsidR="00622C21" w:rsidRPr="00040CD5" w:rsidRDefault="00622C21" w:rsidP="00237AFE">
      <w:pPr>
        <w:pStyle w:val="Odstavecseseznamem"/>
        <w:numPr>
          <w:ilvl w:val="1"/>
          <w:numId w:val="1"/>
        </w:numPr>
        <w:ind w:left="426"/>
        <w:rPr>
          <w:rFonts w:ascii="Times New Roman" w:hAnsi="Times New Roman" w:cs="Times New Roman"/>
          <w:b/>
        </w:rPr>
      </w:pPr>
      <w:r w:rsidRPr="00040CD5">
        <w:rPr>
          <w:rFonts w:ascii="Times New Roman" w:hAnsi="Times New Roman" w:cs="Times New Roman"/>
          <w:b/>
        </w:rPr>
        <w:t>Definice problému</w:t>
      </w:r>
    </w:p>
    <w:p w14:paraId="6E68E58D" w14:textId="7FA99536" w:rsidR="00E24C5B" w:rsidRPr="00753C8B" w:rsidRDefault="00622C21" w:rsidP="00237AFE">
      <w:pPr>
        <w:rPr>
          <w:rFonts w:ascii="Times New Roman" w:hAnsi="Times New Roman" w:cs="Times New Roman"/>
        </w:rPr>
      </w:pPr>
      <w:r w:rsidRPr="00753C8B">
        <w:rPr>
          <w:rFonts w:ascii="Times New Roman" w:hAnsi="Times New Roman" w:cs="Times New Roman"/>
        </w:rPr>
        <w:t>Podstata problému</w:t>
      </w:r>
      <w:r w:rsidR="005E3868" w:rsidRPr="00753C8B">
        <w:rPr>
          <w:rFonts w:ascii="Times New Roman" w:hAnsi="Times New Roman" w:cs="Times New Roman"/>
        </w:rPr>
        <w:t xml:space="preserve"> a jeho příčiny</w:t>
      </w:r>
      <w:r w:rsidRPr="00753C8B">
        <w:rPr>
          <w:rFonts w:ascii="Times New Roman" w:hAnsi="Times New Roman" w:cs="Times New Roman"/>
        </w:rPr>
        <w:t>:</w:t>
      </w:r>
    </w:p>
    <w:p w14:paraId="6A5C2335" w14:textId="37040CE1" w:rsidR="003D3006" w:rsidRPr="00753C8B" w:rsidRDefault="002803D2" w:rsidP="00237AFE">
      <w:pPr>
        <w:jc w:val="both"/>
        <w:rPr>
          <w:rFonts w:ascii="Times New Roman" w:hAnsi="Times New Roman" w:cs="Times New Roman"/>
        </w:rPr>
      </w:pPr>
      <w:r w:rsidRPr="00753C8B">
        <w:rPr>
          <w:rFonts w:ascii="Times New Roman" w:hAnsi="Times New Roman" w:cs="Times New Roman"/>
        </w:rPr>
        <w:t>Návrh úpravy vyhlášky č. 408/2015 Sb.</w:t>
      </w:r>
      <w:r w:rsidR="00BB0BF4" w:rsidRPr="00753C8B">
        <w:rPr>
          <w:rFonts w:ascii="Times New Roman" w:hAnsi="Times New Roman" w:cs="Times New Roman"/>
        </w:rPr>
        <w:t>, o Pravidlech trhu s elektřinou (dále také jen „vyhláška o PTE“)</w:t>
      </w:r>
      <w:r w:rsidRPr="00753C8B">
        <w:rPr>
          <w:rFonts w:ascii="Times New Roman" w:hAnsi="Times New Roman" w:cs="Times New Roman"/>
        </w:rPr>
        <w:t xml:space="preserve"> má za cíl </w:t>
      </w:r>
      <w:r w:rsidR="00BB0BF4" w:rsidRPr="00753C8B">
        <w:rPr>
          <w:rFonts w:ascii="Times New Roman" w:hAnsi="Times New Roman" w:cs="Times New Roman"/>
        </w:rPr>
        <w:t>upravit zejména tři hlavní problematické situace vyplývající ze současného stavu právní úpravy.</w:t>
      </w:r>
    </w:p>
    <w:p w14:paraId="316EDFB7" w14:textId="235F9B5A" w:rsidR="00BB0BF4" w:rsidRPr="00753C8B" w:rsidRDefault="00BB0BF4" w:rsidP="00237AFE">
      <w:pPr>
        <w:jc w:val="both"/>
        <w:rPr>
          <w:rFonts w:ascii="Times New Roman" w:hAnsi="Times New Roman" w:cs="Times New Roman"/>
        </w:rPr>
      </w:pPr>
      <w:r w:rsidRPr="00753C8B">
        <w:rPr>
          <w:rFonts w:ascii="Times New Roman" w:hAnsi="Times New Roman" w:cs="Times New Roman"/>
        </w:rPr>
        <w:t>Dne 5. června 2019 byla vydána směrnice Evropského parlamentu a Rady (EU) 2019/944 o společných pravidlech pro vnitřní trh s elektřinou a o změně směrnice 2012/27/EU (dále také jen „směrnice 2019/944“).</w:t>
      </w:r>
      <w:r w:rsidR="005D6540" w:rsidRPr="00753C8B">
        <w:rPr>
          <w:rFonts w:ascii="Times New Roman" w:hAnsi="Times New Roman" w:cs="Times New Roman"/>
        </w:rPr>
        <w:t xml:space="preserve"> Tato směrnice nahradila stávající směrnici Evropského parlamentu a Rady 2009/72/ES ze dne 13. července 2009 o společných pravidlech pro vnitřní trh s elektřinou. Oproti této směrnici směrnice 2019/944 zavedla ve svém čl. 18 a příloze I. institut tzv. informace o vyúčtování</w:t>
      </w:r>
      <w:r w:rsidR="0023782A" w:rsidRPr="00753C8B">
        <w:rPr>
          <w:rFonts w:ascii="Times New Roman" w:hAnsi="Times New Roman" w:cs="Times New Roman"/>
        </w:rPr>
        <w:t xml:space="preserve">, která měla být transponována do českého vnitrostátního práva do 31. prosince 2020. Z důvodu chybějící zákonného zmocnění Energetický regulační úřad nemohl přistoupit k transpozici tohoto institutu v transpoziční lhůtě. </w:t>
      </w:r>
      <w:r w:rsidR="00BE08E0" w:rsidRPr="00753C8B">
        <w:rPr>
          <w:rFonts w:ascii="Times New Roman" w:hAnsi="Times New Roman" w:cs="Times New Roman"/>
        </w:rPr>
        <w:t xml:space="preserve">Aktuální problém tedy spočívá v neexistenci právní úpravy institutu tzv. informace o </w:t>
      </w:r>
      <w:r w:rsidR="004F27AD" w:rsidRPr="00753C8B">
        <w:rPr>
          <w:rFonts w:ascii="Times New Roman" w:hAnsi="Times New Roman" w:cs="Times New Roman"/>
        </w:rPr>
        <w:t>vyúčtování,</w:t>
      </w:r>
      <w:r w:rsidR="00BE08E0" w:rsidRPr="00753C8B">
        <w:rPr>
          <w:rFonts w:ascii="Times New Roman" w:hAnsi="Times New Roman" w:cs="Times New Roman"/>
        </w:rPr>
        <w:t xml:space="preserve"> a tedy v nesplnění dílčí transpoziční povinnosti vyplývající ze směrnice 2019/944. </w:t>
      </w:r>
      <w:r w:rsidR="00DA30B1" w:rsidRPr="00753C8B">
        <w:rPr>
          <w:rFonts w:ascii="Times New Roman" w:hAnsi="Times New Roman" w:cs="Times New Roman"/>
        </w:rPr>
        <w:t>Jelikož s účinností od 1. ledna 2022 již Energetický regulační úřad potřebn</w:t>
      </w:r>
      <w:r w:rsidR="004F27AD" w:rsidRPr="00753C8B">
        <w:rPr>
          <w:rFonts w:ascii="Times New Roman" w:hAnsi="Times New Roman" w:cs="Times New Roman"/>
        </w:rPr>
        <w:t>ým zmocněním disponuje</w:t>
      </w:r>
      <w:r w:rsidR="00DA30B1" w:rsidRPr="00753C8B">
        <w:rPr>
          <w:rFonts w:ascii="Times New Roman" w:hAnsi="Times New Roman" w:cs="Times New Roman"/>
        </w:rPr>
        <w:t xml:space="preserve">, přistupuje </w:t>
      </w:r>
      <w:r w:rsidR="00BE08E0" w:rsidRPr="00753C8B">
        <w:rPr>
          <w:rFonts w:ascii="Times New Roman" w:hAnsi="Times New Roman" w:cs="Times New Roman"/>
        </w:rPr>
        <w:t>k úpravě tohoto institutu</w:t>
      </w:r>
      <w:r w:rsidR="00E43CB9" w:rsidRPr="00753C8B">
        <w:rPr>
          <w:rFonts w:ascii="Times New Roman" w:hAnsi="Times New Roman" w:cs="Times New Roman"/>
        </w:rPr>
        <w:t>.</w:t>
      </w:r>
    </w:p>
    <w:p w14:paraId="1CBA0411" w14:textId="201729DB" w:rsidR="000F2667" w:rsidRPr="00753C8B" w:rsidRDefault="00E43CB9" w:rsidP="00237AFE">
      <w:pPr>
        <w:jc w:val="both"/>
        <w:rPr>
          <w:rFonts w:ascii="Times New Roman" w:hAnsi="Times New Roman" w:cs="Times New Roman"/>
        </w:rPr>
      </w:pPr>
      <w:r w:rsidRPr="00753C8B">
        <w:rPr>
          <w:rFonts w:ascii="Times New Roman" w:hAnsi="Times New Roman" w:cs="Times New Roman"/>
        </w:rPr>
        <w:t xml:space="preserve">Směrnice 2019/944 rovněž oproti předchozí unijní právní úpravě upravuje problematiku energetických společenství, aktivního zákazníka a sdílení elektřiny. Základem pro komunitní energetiku je pak čl. 16 upravující občanská energetická společenství. Transpoziční lhůta pro dotčená ustanovení uplynula k 31. prosinci 2020. Směrnice </w:t>
      </w:r>
      <w:r w:rsidR="008871A2" w:rsidRPr="00753C8B">
        <w:rPr>
          <w:rFonts w:ascii="Times New Roman" w:hAnsi="Times New Roman" w:cs="Times New Roman"/>
        </w:rPr>
        <w:t xml:space="preserve">Evropského parlamentu a Rady (EU) </w:t>
      </w:r>
      <w:r w:rsidRPr="00753C8B">
        <w:rPr>
          <w:rFonts w:ascii="Times New Roman" w:hAnsi="Times New Roman" w:cs="Times New Roman"/>
        </w:rPr>
        <w:t>2018/2001</w:t>
      </w:r>
      <w:r w:rsidR="00BA5555" w:rsidRPr="00753C8B">
        <w:rPr>
          <w:rFonts w:ascii="Times New Roman" w:hAnsi="Times New Roman" w:cs="Times New Roman"/>
        </w:rPr>
        <w:t xml:space="preserve"> ze dne 11. prosince 2018 o podpoře využívání energie z obnovitelných zdrojů</w:t>
      </w:r>
      <w:r w:rsidRPr="00753C8B">
        <w:rPr>
          <w:rFonts w:ascii="Times New Roman" w:hAnsi="Times New Roman" w:cs="Times New Roman"/>
        </w:rPr>
        <w:t xml:space="preserve"> upravuje rovněž problematiku energetických komunit, konkrétně v čl. 22 společenství pro obnovitelné zdroje s transpoziční lhůtou do 30. června 2021.</w:t>
      </w:r>
      <w:r w:rsidR="00EF4693" w:rsidRPr="00753C8B">
        <w:rPr>
          <w:rFonts w:ascii="Times New Roman" w:hAnsi="Times New Roman" w:cs="Times New Roman"/>
        </w:rPr>
        <w:t xml:space="preserve"> Účelem zavedení požadavku na umožnění fungování komunitní energetiky a sdílení energetiky, je podpora zavádění obnovitelných zdrojů energie, větší flexibilita elektrizační soustavy a podpora výhod plynoucích </w:t>
      </w:r>
      <w:proofErr w:type="gramStart"/>
      <w:r w:rsidR="00EF4693" w:rsidRPr="00753C8B">
        <w:rPr>
          <w:rFonts w:ascii="Times New Roman" w:hAnsi="Times New Roman" w:cs="Times New Roman"/>
        </w:rPr>
        <w:t>ze</w:t>
      </w:r>
      <w:proofErr w:type="gramEnd"/>
      <w:r w:rsidR="00EF4693" w:rsidRPr="00753C8B">
        <w:rPr>
          <w:rFonts w:ascii="Times New Roman" w:hAnsi="Times New Roman" w:cs="Times New Roman"/>
        </w:rPr>
        <w:t xml:space="preserve"> sdílení energie co nejblíže místu spotřeby pro zákazníky, výrobce i celou elektrizační soustavu. S</w:t>
      </w:r>
      <w:r w:rsidR="008C5A4E" w:rsidRPr="00753C8B">
        <w:rPr>
          <w:rFonts w:ascii="Times New Roman" w:hAnsi="Times New Roman" w:cs="Times New Roman"/>
        </w:rPr>
        <w:t> </w:t>
      </w:r>
      <w:r w:rsidR="00EF4693" w:rsidRPr="00753C8B">
        <w:rPr>
          <w:rFonts w:ascii="Times New Roman" w:hAnsi="Times New Roman" w:cs="Times New Roman"/>
        </w:rPr>
        <w:t>ohledem</w:t>
      </w:r>
      <w:r w:rsidR="008C5A4E" w:rsidRPr="00753C8B">
        <w:rPr>
          <w:rFonts w:ascii="Times New Roman" w:hAnsi="Times New Roman" w:cs="Times New Roman"/>
        </w:rPr>
        <w:t xml:space="preserve"> na neuskutečněnou dílčí transpozici právní úpravy komunitní energetiky Energetický regulační úřad nemůže plnohodnotně upravit a nastavit procesy, které by sdílení elektřiny a fungování energetických společenství umožnily</w:t>
      </w:r>
      <w:r w:rsidR="000F2667" w:rsidRPr="00753C8B">
        <w:rPr>
          <w:rFonts w:ascii="Times New Roman" w:hAnsi="Times New Roman" w:cs="Times New Roman"/>
        </w:rPr>
        <w:t xml:space="preserve"> v rozsahu odpovídajícím unijním požadavkům</w:t>
      </w:r>
      <w:r w:rsidR="008C5A4E" w:rsidRPr="00753C8B">
        <w:rPr>
          <w:rFonts w:ascii="Times New Roman" w:hAnsi="Times New Roman" w:cs="Times New Roman"/>
        </w:rPr>
        <w:t>.</w:t>
      </w:r>
      <w:r w:rsidR="000F2667" w:rsidRPr="00753C8B">
        <w:rPr>
          <w:rFonts w:ascii="Times New Roman" w:hAnsi="Times New Roman" w:cs="Times New Roman"/>
        </w:rPr>
        <w:t xml:space="preserve"> Úpravy spojené se zavedením modelu sdílení elektřiny v bytových domech budou provedeny v důsledku</w:t>
      </w:r>
      <w:r w:rsidR="000F2667">
        <w:rPr>
          <w:rFonts w:ascii="Times New Roman" w:hAnsi="Times New Roman" w:cs="Times New Roman"/>
        </w:rPr>
        <w:t xml:space="preserve"> několika podnětů, a to (i) evropská právní úprava explicitně cílí na podporu aktivních zákazníků na trhu s elektřinou, (</w:t>
      </w:r>
      <w:proofErr w:type="spellStart"/>
      <w:r w:rsidR="000F2667">
        <w:rPr>
          <w:rFonts w:ascii="Times New Roman" w:hAnsi="Times New Roman" w:cs="Times New Roman"/>
        </w:rPr>
        <w:t>ii</w:t>
      </w:r>
      <w:proofErr w:type="spellEnd"/>
      <w:r w:rsidR="000F2667">
        <w:rPr>
          <w:rFonts w:ascii="Times New Roman" w:hAnsi="Times New Roman" w:cs="Times New Roman"/>
        </w:rPr>
        <w:t xml:space="preserve">) na elektroenergetickém trhu v České republice roste poptávka po možnosti výroby </w:t>
      </w:r>
      <w:r w:rsidR="000F2667" w:rsidRPr="00753C8B">
        <w:rPr>
          <w:rFonts w:ascii="Times New Roman" w:hAnsi="Times New Roman" w:cs="Times New Roman"/>
        </w:rPr>
        <w:t>elektřiny a sdílení této vyrobené elektřiny v bytových domech a (</w:t>
      </w:r>
      <w:proofErr w:type="spellStart"/>
      <w:r w:rsidR="000F2667" w:rsidRPr="00753C8B">
        <w:rPr>
          <w:rFonts w:ascii="Times New Roman" w:hAnsi="Times New Roman" w:cs="Times New Roman"/>
        </w:rPr>
        <w:t>iii</w:t>
      </w:r>
      <w:proofErr w:type="spellEnd"/>
      <w:r w:rsidR="000F2667" w:rsidRPr="00753C8B">
        <w:rPr>
          <w:rFonts w:ascii="Times New Roman" w:hAnsi="Times New Roman" w:cs="Times New Roman"/>
        </w:rPr>
        <w:t xml:space="preserve">) na elektroenergetickém trhu existují způsoby výroby elektřiny a sdílení této elektřiny v bytových domech, nicméně tyto způsoby jsou ať už z ekonomických důvodů nebo z hlediska ochrany práv zákazníků nežádoucí. </w:t>
      </w:r>
      <w:r w:rsidR="008C5A4E" w:rsidRPr="00753C8B">
        <w:rPr>
          <w:rFonts w:ascii="Times New Roman" w:hAnsi="Times New Roman" w:cs="Times New Roman"/>
        </w:rPr>
        <w:t xml:space="preserve">Alespoň částečná úprava sdílení elektřiny je nutná, a to s ohledem na aktuální situaci na trzích s energiemi, neúnosně vysokými cenami za energie a voláním veřejnosti, zejména z řad obyvatel bytových domů, </w:t>
      </w:r>
      <w:r w:rsidR="009153CB" w:rsidRPr="00753C8B">
        <w:rPr>
          <w:rFonts w:ascii="Times New Roman" w:hAnsi="Times New Roman" w:cs="Times New Roman"/>
        </w:rPr>
        <w:t>po umožnění instalace výrobny elektřiny tak, aby vyrobená elektřina mohla být sdílena s ostatními zákazníky. Zákazníci s odběrnými místy v bytových domech na rozdíl od zákazníků, kteří bydlí v rodinných domech, nemohou za současné situace jednoduše a efektivně vybudovat na svém bytovém domě výrobnu elektřiny tak, aby si každé odběrné místo v souladu s unijní legislativou zachovalo „statut“ zákazníka s právem volby dodavatele. Nemohou tak těžit z výhod vlastní výrobny elektřiny tak, jako skupina zákazníků s rodinnými domy.</w:t>
      </w:r>
      <w:r w:rsidR="001D596A" w:rsidRPr="00753C8B">
        <w:rPr>
          <w:rFonts w:ascii="Times New Roman" w:hAnsi="Times New Roman" w:cs="Times New Roman"/>
        </w:rPr>
        <w:t xml:space="preserve"> Energetický regulační úřad proto přistoupil k navržení modelu „virtuálního“ sdílení elektřiny, které lze uskutečnit i v rámci stávajícího zákonného zmocnění (tedy bez výše uvedené transpozice) a které bude popsáno v dalších částech této Závěrečné zprávy.</w:t>
      </w:r>
      <w:r w:rsidR="000F2667" w:rsidRPr="00753C8B">
        <w:rPr>
          <w:rFonts w:ascii="Times New Roman" w:hAnsi="Times New Roman" w:cs="Times New Roman"/>
        </w:rPr>
        <w:t xml:space="preserve"> </w:t>
      </w:r>
    </w:p>
    <w:p w14:paraId="4ABE6A5B" w14:textId="739306B3" w:rsidR="00F860FA" w:rsidRPr="00753C8B" w:rsidRDefault="00684DB8" w:rsidP="00237AFE">
      <w:pPr>
        <w:jc w:val="both"/>
        <w:rPr>
          <w:rFonts w:ascii="Times New Roman" w:hAnsi="Times New Roman" w:cs="Times New Roman"/>
        </w:rPr>
      </w:pPr>
      <w:r w:rsidRPr="00753C8B">
        <w:rPr>
          <w:rFonts w:ascii="Times New Roman" w:hAnsi="Times New Roman" w:cs="Times New Roman"/>
        </w:rPr>
        <w:t>Zákonem č. 176/2022 Sb.</w:t>
      </w:r>
      <w:r w:rsidR="00B50545" w:rsidRPr="00753C8B">
        <w:rPr>
          <w:rFonts w:ascii="Times New Roman" w:hAnsi="Times New Roman" w:cs="Times New Roman"/>
        </w:rPr>
        <w:t xml:space="preserve"> byla s ohledem na turbulentní vývoj na trzích s energiemi a za účelem větší ochrany zákazníků a lepšího fungování institutu dodávek poslední instance s účinností od 15. června 2022 podstatně modifikována zákonná úprava dodavatele poslední instance v rámci energetického zákona (§</w:t>
      </w:r>
      <w:proofErr w:type="gramStart"/>
      <w:r w:rsidR="00B50545" w:rsidRPr="00753C8B">
        <w:rPr>
          <w:rFonts w:ascii="Times New Roman" w:hAnsi="Times New Roman" w:cs="Times New Roman"/>
        </w:rPr>
        <w:t>12a</w:t>
      </w:r>
      <w:proofErr w:type="gramEnd"/>
      <w:r w:rsidR="00B50545" w:rsidRPr="00753C8B">
        <w:rPr>
          <w:rFonts w:ascii="Times New Roman" w:hAnsi="Times New Roman" w:cs="Times New Roman"/>
        </w:rPr>
        <w:t xml:space="preserve"> až § 12d). Současný právní stav obsažený ve vyhlášce o Pravidlech trhu s elektřinou zatím neodpovídá novelizovanému znění a s ohledem na zmocnění Energetického regulačního úřadu podle § </w:t>
      </w:r>
      <w:proofErr w:type="gramStart"/>
      <w:r w:rsidR="00B50545" w:rsidRPr="00753C8B">
        <w:rPr>
          <w:rFonts w:ascii="Times New Roman" w:hAnsi="Times New Roman" w:cs="Times New Roman"/>
        </w:rPr>
        <w:t>98a</w:t>
      </w:r>
      <w:proofErr w:type="gramEnd"/>
      <w:r w:rsidR="00B50545" w:rsidRPr="00753C8B">
        <w:rPr>
          <w:rFonts w:ascii="Times New Roman" w:hAnsi="Times New Roman" w:cs="Times New Roman"/>
        </w:rPr>
        <w:t xml:space="preserve"> odst. 2 písm. h) energetického zákona je nezbytné uvést podzákonnou právní úpravu uvést do souladu se zákonnými ustanoveními, která má provádět.</w:t>
      </w:r>
      <w:r w:rsidR="000F2667" w:rsidRPr="00753C8B">
        <w:rPr>
          <w:rFonts w:ascii="Times New Roman" w:hAnsi="Times New Roman" w:cs="Times New Roman"/>
        </w:rPr>
        <w:t xml:space="preserve"> </w:t>
      </w:r>
    </w:p>
    <w:p w14:paraId="632B8B3D" w14:textId="38869503" w:rsidR="00A42337" w:rsidRPr="00753C8B" w:rsidRDefault="00A42337" w:rsidP="00237AFE">
      <w:pPr>
        <w:jc w:val="both"/>
        <w:rPr>
          <w:rFonts w:ascii="Times New Roman" w:hAnsi="Times New Roman" w:cs="Times New Roman"/>
        </w:rPr>
      </w:pPr>
      <w:r w:rsidRPr="00753C8B">
        <w:rPr>
          <w:rFonts w:ascii="Times New Roman" w:hAnsi="Times New Roman" w:cs="Times New Roman"/>
        </w:rPr>
        <w:lastRenderedPageBreak/>
        <w:t xml:space="preserve">Dále stávající praxe </w:t>
      </w:r>
      <w:r w:rsidR="002E5316" w:rsidRPr="00753C8B">
        <w:rPr>
          <w:rFonts w:ascii="Times New Roman" w:hAnsi="Times New Roman" w:cs="Times New Roman"/>
        </w:rPr>
        <w:t xml:space="preserve">ukázala problematická místa v dalších oblastech, které vyhláška o Pravidlech trhu s elektřinou upravuje. V oblasti regulační energie se objevují nedostatky v naplnění zákonného zmocnění podle § </w:t>
      </w:r>
      <w:proofErr w:type="gramStart"/>
      <w:r w:rsidR="002E5316" w:rsidRPr="00753C8B">
        <w:rPr>
          <w:rFonts w:ascii="Times New Roman" w:hAnsi="Times New Roman" w:cs="Times New Roman"/>
        </w:rPr>
        <w:t>98a</w:t>
      </w:r>
      <w:proofErr w:type="gramEnd"/>
      <w:r w:rsidR="002E5316" w:rsidRPr="00753C8B">
        <w:rPr>
          <w:rFonts w:ascii="Times New Roman" w:hAnsi="Times New Roman" w:cs="Times New Roman"/>
        </w:rPr>
        <w:t xml:space="preserve"> odst. 2 písm. h) bod 5.</w:t>
      </w:r>
      <w:r w:rsidR="006415A0" w:rsidRPr="00753C8B">
        <w:rPr>
          <w:rFonts w:ascii="Times New Roman" w:hAnsi="Times New Roman" w:cs="Times New Roman"/>
        </w:rPr>
        <w:t>, co se týče forem regulační energie a postupu způsobu uplatnění obstaraného množstvím energie v rámci vypořádání odchylek. Dosavadní praxe v oblasti uzavírání smluv o zajištění služby přenosové nebo distribuční soustavy v nedávných měsících ukázala nedostatky v oblasti přechodu zákazníka z režimu DPI. Obchodníci neaktualizují údaje o svých zákaznících u provozovatelů soustav, čímž dochází ke značným časovým průtahům při přechodu zákazníků z režimu dodávky DPI do režimu standardní dodávky.</w:t>
      </w:r>
      <w:r w:rsidR="001A5E71" w:rsidRPr="00753C8B">
        <w:rPr>
          <w:rFonts w:ascii="Times New Roman" w:hAnsi="Times New Roman" w:cs="Times New Roman"/>
        </w:rPr>
        <w:t xml:space="preserve"> Není tak dostatečně zajištěno plynulé fungování trhu a posílení jistoty a postavení zákazníků.</w:t>
      </w:r>
      <w:r w:rsidR="00ED5F91" w:rsidRPr="00753C8B">
        <w:rPr>
          <w:rFonts w:ascii="Times New Roman" w:hAnsi="Times New Roman" w:cs="Times New Roman"/>
        </w:rPr>
        <w:t xml:space="preserve"> V rámci problematiky provozu pro ověření technologie pak současná praxe ukazuje, že v současnosti uplatňovaný postup pro podání žádosti je pro žadatele příliš svazující. Problematická místa praxe odhalila i v oblasti vykazovacích povinností provozovatelů lokálních distribučních soustav a výrobců elektřiny. Současné vzorce způsobují chybné zadávání hodnot ze strany výrobců elektřiny při výpočtu plateb za systémové služby a obdobně i u výkazů vyplňovaných provozovateli distribučních soustav.</w:t>
      </w:r>
      <w:r w:rsidR="000F2667" w:rsidRPr="00753C8B">
        <w:rPr>
          <w:rFonts w:ascii="Times New Roman" w:hAnsi="Times New Roman" w:cs="Times New Roman"/>
        </w:rPr>
        <w:t xml:space="preserve"> </w:t>
      </w:r>
    </w:p>
    <w:p w14:paraId="133C024D" w14:textId="48E52591" w:rsidR="007A1C99" w:rsidRPr="00753C8B" w:rsidRDefault="007A1C99" w:rsidP="00237AFE">
      <w:pPr>
        <w:jc w:val="both"/>
        <w:rPr>
          <w:rFonts w:ascii="Times New Roman" w:hAnsi="Times New Roman" w:cs="Times New Roman"/>
        </w:rPr>
      </w:pPr>
      <w:r w:rsidRPr="00753C8B">
        <w:rPr>
          <w:rFonts w:ascii="Times New Roman" w:hAnsi="Times New Roman" w:cs="Times New Roman"/>
        </w:rPr>
        <w:t>Návrh úpravy vyhlášky</w:t>
      </w:r>
      <w:r w:rsidR="0089761E" w:rsidRPr="00753C8B">
        <w:rPr>
          <w:rFonts w:ascii="Times New Roman" w:hAnsi="Times New Roman" w:cs="Times New Roman"/>
        </w:rPr>
        <w:t xml:space="preserve"> č. 408/2015 Sb.,</w:t>
      </w:r>
      <w:r w:rsidRPr="00753C8B">
        <w:rPr>
          <w:rFonts w:ascii="Times New Roman" w:hAnsi="Times New Roman" w:cs="Times New Roman"/>
        </w:rPr>
        <w:t xml:space="preserve"> o Pravidlech trhu s elektřinou </w:t>
      </w:r>
      <w:r w:rsidR="0089761E" w:rsidRPr="00753C8B">
        <w:rPr>
          <w:rFonts w:ascii="Times New Roman" w:hAnsi="Times New Roman" w:cs="Times New Roman"/>
        </w:rPr>
        <w:t xml:space="preserve">(dále také jen „vyhláška o PTE“) </w:t>
      </w:r>
      <w:r w:rsidRPr="00753C8B">
        <w:rPr>
          <w:rFonts w:ascii="Times New Roman" w:hAnsi="Times New Roman" w:cs="Times New Roman"/>
        </w:rPr>
        <w:t>obsahuje tři</w:t>
      </w:r>
      <w:r w:rsidR="00537152" w:rsidRPr="00753C8B">
        <w:rPr>
          <w:rFonts w:ascii="Times New Roman" w:hAnsi="Times New Roman" w:cs="Times New Roman"/>
        </w:rPr>
        <w:t xml:space="preserve"> hlavní</w:t>
      </w:r>
      <w:r w:rsidRPr="00753C8B">
        <w:rPr>
          <w:rFonts w:ascii="Times New Roman" w:hAnsi="Times New Roman" w:cs="Times New Roman"/>
        </w:rPr>
        <w:t xml:space="preserve"> tematické okruhy. Za prvé se jedná o úpravy postupů pro předání tzv. informace o</w:t>
      </w:r>
      <w:r w:rsidR="0089761E" w:rsidRPr="00753C8B">
        <w:rPr>
          <w:rFonts w:ascii="Times New Roman" w:hAnsi="Times New Roman" w:cs="Times New Roman"/>
        </w:rPr>
        <w:t> </w:t>
      </w:r>
      <w:r w:rsidRPr="00753C8B">
        <w:rPr>
          <w:rFonts w:ascii="Times New Roman" w:hAnsi="Times New Roman" w:cs="Times New Roman"/>
        </w:rPr>
        <w:t xml:space="preserve">vyúčtování, které souvisí zavedením tohoto institutu do vyhlášky č. 207/2021 Sb., o vyúčtování dodávek a souvisejících služeb v energetických odvětvích na základě </w:t>
      </w:r>
      <w:r w:rsidR="00C12FC7" w:rsidRPr="00753C8B">
        <w:rPr>
          <w:rFonts w:ascii="Times New Roman" w:hAnsi="Times New Roman" w:cs="Times New Roman"/>
        </w:rPr>
        <w:t xml:space="preserve">povinnosti transpozice příslušných ustanovení </w:t>
      </w:r>
      <w:r w:rsidRPr="00753C8B">
        <w:rPr>
          <w:rFonts w:ascii="Times New Roman" w:hAnsi="Times New Roman" w:cs="Times New Roman"/>
        </w:rPr>
        <w:t xml:space="preserve">směrnice Evropského parlamentu a Rady (EU) 2019/944 a </w:t>
      </w:r>
      <w:r w:rsidR="00C12FC7" w:rsidRPr="00753C8B">
        <w:rPr>
          <w:rFonts w:ascii="Times New Roman" w:hAnsi="Times New Roman" w:cs="Times New Roman"/>
        </w:rPr>
        <w:t>směrnice Evropského parlamentu a Rady (EU) 2018/2002 ze dne 11. prosince 2018, kterou se mění směrnice 2012/27/EU o energetické účinnosti. Druhým tematickým okruhem je zohlednění změn právní úpravy dodavatele poslední instance</w:t>
      </w:r>
      <w:r w:rsidR="009E0042" w:rsidRPr="00753C8B">
        <w:rPr>
          <w:rFonts w:ascii="Times New Roman" w:hAnsi="Times New Roman" w:cs="Times New Roman"/>
        </w:rPr>
        <w:t xml:space="preserve"> (dále </w:t>
      </w:r>
      <w:r w:rsidR="0089761E" w:rsidRPr="00753C8B">
        <w:rPr>
          <w:rFonts w:ascii="Times New Roman" w:hAnsi="Times New Roman" w:cs="Times New Roman"/>
        </w:rPr>
        <w:t>také jako</w:t>
      </w:r>
      <w:r w:rsidR="009E0042" w:rsidRPr="00753C8B">
        <w:rPr>
          <w:rFonts w:ascii="Times New Roman" w:hAnsi="Times New Roman" w:cs="Times New Roman"/>
        </w:rPr>
        <w:t xml:space="preserve"> „DPI“)</w:t>
      </w:r>
      <w:r w:rsidR="00C12FC7" w:rsidRPr="00753C8B">
        <w:rPr>
          <w:rFonts w:ascii="Times New Roman" w:hAnsi="Times New Roman" w:cs="Times New Roman"/>
        </w:rPr>
        <w:t xml:space="preserve"> provedených zákonem č. 232/2022 Sb., kterým se mění zákon č. 458/2000 Sb., o podmínkách podnikání a o výkonu státní správy v energetických odvětvích a o změně některých zákonů (energetický zákon), ve znění pozdějších předpisů, a zákon č. 165/2012 Sb., o podporovaných zdrojích energie a o změně některých zákonů, ve znění pozdějších předpisů. Návrh vyhlášky dále nově uprav</w:t>
      </w:r>
      <w:r w:rsidR="00B01B4C" w:rsidRPr="00753C8B">
        <w:rPr>
          <w:rFonts w:ascii="Times New Roman" w:hAnsi="Times New Roman" w:cs="Times New Roman"/>
        </w:rPr>
        <w:t>uje</w:t>
      </w:r>
      <w:r w:rsidR="00C12FC7" w:rsidRPr="00753C8B">
        <w:rPr>
          <w:rFonts w:ascii="Times New Roman" w:hAnsi="Times New Roman" w:cs="Times New Roman"/>
        </w:rPr>
        <w:t xml:space="preserve"> </w:t>
      </w:r>
      <w:r w:rsidR="00B01B4C" w:rsidRPr="00753C8B">
        <w:rPr>
          <w:rFonts w:ascii="Times New Roman" w:hAnsi="Times New Roman" w:cs="Times New Roman"/>
        </w:rPr>
        <w:t>modifikaci tzv. sdílení elektřiny v bytových domech</w:t>
      </w:r>
      <w:r w:rsidR="0045413D" w:rsidRPr="00753C8B">
        <w:rPr>
          <w:rFonts w:ascii="Times New Roman" w:hAnsi="Times New Roman" w:cs="Times New Roman"/>
        </w:rPr>
        <w:t xml:space="preserve">, čímž Energetický regulační úřad reaguje na rostoucí poptávku na trhu po umožnění instalace výrobny elektřiny (zejména fotovoltaických panelů) </w:t>
      </w:r>
      <w:r w:rsidR="0032218F" w:rsidRPr="00753C8B">
        <w:rPr>
          <w:rFonts w:ascii="Times New Roman" w:hAnsi="Times New Roman" w:cs="Times New Roman"/>
        </w:rPr>
        <w:t>a sdílení takto vyrobené elektřiny mezi jednotlivými byty</w:t>
      </w:r>
      <w:r w:rsidR="00B01B4C" w:rsidRPr="00753C8B">
        <w:rPr>
          <w:rFonts w:ascii="Times New Roman" w:hAnsi="Times New Roman" w:cs="Times New Roman"/>
        </w:rPr>
        <w:t>.</w:t>
      </w:r>
      <w:r w:rsidR="00223805" w:rsidRPr="00753C8B">
        <w:rPr>
          <w:rFonts w:ascii="Times New Roman" w:hAnsi="Times New Roman" w:cs="Times New Roman"/>
        </w:rPr>
        <w:t xml:space="preserve"> </w:t>
      </w:r>
    </w:p>
    <w:p w14:paraId="70C25348" w14:textId="77777777" w:rsidR="00FE676B" w:rsidRDefault="00FE676B" w:rsidP="00237AFE">
      <w:pPr>
        <w:jc w:val="both"/>
        <w:rPr>
          <w:rFonts w:ascii="Times New Roman" w:hAnsi="Times New Roman" w:cs="Times New Roman"/>
          <w:u w:val="single"/>
        </w:rPr>
      </w:pPr>
    </w:p>
    <w:p w14:paraId="1418288B" w14:textId="45EB9149" w:rsidR="00894AE9" w:rsidRDefault="00894AE9" w:rsidP="00237AFE">
      <w:pPr>
        <w:jc w:val="both"/>
        <w:rPr>
          <w:rFonts w:ascii="Times New Roman" w:hAnsi="Times New Roman" w:cs="Times New Roman"/>
          <w:u w:val="single"/>
        </w:rPr>
      </w:pPr>
    </w:p>
    <w:p w14:paraId="7807B5E9" w14:textId="482B0857" w:rsidR="008518AA" w:rsidRDefault="008518AA" w:rsidP="00237AFE">
      <w:pPr>
        <w:jc w:val="both"/>
        <w:rPr>
          <w:rFonts w:ascii="Times New Roman" w:hAnsi="Times New Roman" w:cs="Times New Roman"/>
        </w:rPr>
      </w:pPr>
      <w:r>
        <w:rPr>
          <w:rFonts w:ascii="Times New Roman" w:hAnsi="Times New Roman" w:cs="Times New Roman"/>
        </w:rPr>
        <w:t>Další cíle</w:t>
      </w:r>
      <w:r w:rsidR="00BC5037">
        <w:rPr>
          <w:rFonts w:ascii="Times New Roman" w:hAnsi="Times New Roman" w:cs="Times New Roman"/>
        </w:rPr>
        <w:t xml:space="preserve"> prováděných úprav</w:t>
      </w:r>
      <w:r>
        <w:rPr>
          <w:rFonts w:ascii="Times New Roman" w:hAnsi="Times New Roman" w:cs="Times New Roman"/>
        </w:rPr>
        <w:t xml:space="preserve"> byly stanoveny na základě průběžného vyhodnocování praktické aplikace pravidel vyhlášky o Pravidlech trhu a vývoje trhu s elektřinou, zejména za účelem:</w:t>
      </w:r>
    </w:p>
    <w:p w14:paraId="5ADAB3CA" w14:textId="31646C09" w:rsidR="008518AA" w:rsidRDefault="008518AA" w:rsidP="00237AFE">
      <w:pPr>
        <w:ind w:firstLine="708"/>
        <w:jc w:val="both"/>
        <w:rPr>
          <w:rFonts w:ascii="Times New Roman" w:hAnsi="Times New Roman" w:cs="Times New Roman"/>
        </w:rPr>
      </w:pPr>
      <w:r>
        <w:rPr>
          <w:rFonts w:ascii="Times New Roman" w:hAnsi="Times New Roman" w:cs="Times New Roman"/>
        </w:rPr>
        <w:t>- zamezení výkladových nejasností,</w:t>
      </w:r>
      <w:r w:rsidR="00BC5037">
        <w:rPr>
          <w:rFonts w:ascii="Times New Roman" w:hAnsi="Times New Roman" w:cs="Times New Roman"/>
        </w:rPr>
        <w:t xml:space="preserve"> a</w:t>
      </w:r>
    </w:p>
    <w:p w14:paraId="133027E0" w14:textId="77777777" w:rsidR="008518AA" w:rsidRDefault="008518AA" w:rsidP="00237AFE">
      <w:pPr>
        <w:ind w:firstLine="708"/>
        <w:jc w:val="both"/>
        <w:rPr>
          <w:rFonts w:ascii="Times New Roman" w:hAnsi="Times New Roman" w:cs="Times New Roman"/>
        </w:rPr>
      </w:pPr>
      <w:r>
        <w:rPr>
          <w:rFonts w:ascii="Times New Roman" w:hAnsi="Times New Roman" w:cs="Times New Roman"/>
        </w:rPr>
        <w:t>- sjednocení postupů,</w:t>
      </w:r>
    </w:p>
    <w:p w14:paraId="02AEDDC8" w14:textId="5A783D33" w:rsidR="008518AA" w:rsidRPr="00753C8B" w:rsidRDefault="008518AA" w:rsidP="00237AFE">
      <w:pPr>
        <w:jc w:val="both"/>
        <w:rPr>
          <w:rFonts w:ascii="Times New Roman" w:hAnsi="Times New Roman" w:cs="Times New Roman"/>
        </w:rPr>
      </w:pPr>
      <w:r>
        <w:rPr>
          <w:rFonts w:ascii="Times New Roman" w:hAnsi="Times New Roman" w:cs="Times New Roman"/>
        </w:rPr>
        <w:t xml:space="preserve">tak, aby nedošlo k založení nerovnováhy mezi jednotlivými </w:t>
      </w:r>
      <w:r w:rsidRPr="00753C8B">
        <w:rPr>
          <w:rFonts w:ascii="Times New Roman" w:hAnsi="Times New Roman" w:cs="Times New Roman"/>
        </w:rPr>
        <w:t>účastníky trhu s elektřinou.</w:t>
      </w:r>
      <w:r w:rsidR="00C7207C" w:rsidRPr="00753C8B">
        <w:rPr>
          <w:rFonts w:ascii="Times New Roman" w:hAnsi="Times New Roman" w:cs="Times New Roman"/>
        </w:rPr>
        <w:t xml:space="preserve"> Například pro provozovatele distribučních soustav se zavádí</w:t>
      </w:r>
      <w:r w:rsidR="006420E8" w:rsidRPr="00753C8B">
        <w:rPr>
          <w:rFonts w:ascii="Times New Roman" w:hAnsi="Times New Roman" w:cs="Times New Roman"/>
        </w:rPr>
        <w:t xml:space="preserve"> jednotná</w:t>
      </w:r>
      <w:r w:rsidR="00C7207C" w:rsidRPr="00753C8B">
        <w:rPr>
          <w:rFonts w:ascii="Times New Roman" w:hAnsi="Times New Roman" w:cs="Times New Roman"/>
        </w:rPr>
        <w:t xml:space="preserve"> metodika pro rozdělování spotřeby zákazníků s měřením typu C do více kalendářních let.</w:t>
      </w:r>
      <w:r w:rsidR="006420E8" w:rsidRPr="00753C8B">
        <w:rPr>
          <w:rFonts w:ascii="Times New Roman" w:hAnsi="Times New Roman" w:cs="Times New Roman"/>
        </w:rPr>
        <w:t xml:space="preserve"> Upravuje se rovněž postup provozovatele přenosové soustavy při zajišťování služeb výkonové rovnováhy formou agregace samostatně připojených výrobních zdrojů včetně výrobních zdrojů připojených v odběrném místě zákazníka na hladině vysokého napětí.</w:t>
      </w:r>
    </w:p>
    <w:p w14:paraId="6E68E594" w14:textId="77777777" w:rsidR="00FF3B3C" w:rsidRPr="00FF3B3C" w:rsidRDefault="00FF3B3C" w:rsidP="00237AFE">
      <w:pPr>
        <w:jc w:val="both"/>
        <w:rPr>
          <w:rFonts w:ascii="Times New Roman" w:hAnsi="Times New Roman" w:cs="Times New Roman"/>
          <w:u w:val="single"/>
        </w:rPr>
      </w:pPr>
      <w:r w:rsidRPr="00FF3B3C">
        <w:rPr>
          <w:rFonts w:ascii="Times New Roman" w:hAnsi="Times New Roman" w:cs="Times New Roman"/>
          <w:u w:val="single"/>
        </w:rPr>
        <w:t>Rozsah:</w:t>
      </w:r>
    </w:p>
    <w:p w14:paraId="6E68E596" w14:textId="2C4D6C49" w:rsidR="0063495E" w:rsidRDefault="00BD0172" w:rsidP="00237AFE">
      <w:pPr>
        <w:jc w:val="both"/>
        <w:rPr>
          <w:rFonts w:ascii="Times New Roman" w:hAnsi="Times New Roman" w:cs="Times New Roman"/>
        </w:rPr>
      </w:pPr>
      <w:r>
        <w:rPr>
          <w:rFonts w:ascii="Times New Roman" w:hAnsi="Times New Roman" w:cs="Times New Roman"/>
        </w:rPr>
        <w:t xml:space="preserve">Na základě výše uvedeného je </w:t>
      </w:r>
      <w:r w:rsidR="00FF3B3C" w:rsidRPr="00FF3B3C">
        <w:rPr>
          <w:rFonts w:ascii="Times New Roman" w:hAnsi="Times New Roman" w:cs="Times New Roman"/>
        </w:rPr>
        <w:t xml:space="preserve">ERÚ </w:t>
      </w:r>
      <w:r>
        <w:rPr>
          <w:rFonts w:ascii="Times New Roman" w:hAnsi="Times New Roman" w:cs="Times New Roman"/>
        </w:rPr>
        <w:t>nucen upravovat</w:t>
      </w:r>
      <w:r w:rsidR="00FF3B3C" w:rsidRPr="00FF3B3C">
        <w:rPr>
          <w:rFonts w:ascii="Times New Roman" w:hAnsi="Times New Roman" w:cs="Times New Roman"/>
        </w:rPr>
        <w:t xml:space="preserve"> následující oblasti, a to:</w:t>
      </w:r>
    </w:p>
    <w:p w14:paraId="6C2D3B68" w14:textId="77777777" w:rsidR="00053CC3" w:rsidRPr="00222DC3" w:rsidRDefault="00053CC3" w:rsidP="00237AFE">
      <w:pPr>
        <w:pStyle w:val="Odstavecseseznamem"/>
        <w:numPr>
          <w:ilvl w:val="0"/>
          <w:numId w:val="2"/>
        </w:numPr>
        <w:jc w:val="both"/>
        <w:rPr>
          <w:rFonts w:ascii="Times New Roman" w:hAnsi="Times New Roman" w:cs="Times New Roman"/>
        </w:rPr>
      </w:pPr>
      <w:r>
        <w:rPr>
          <w:rFonts w:ascii="Times New Roman" w:hAnsi="Times New Roman"/>
        </w:rPr>
        <w:t>postup pro organizaci trhu s regulační energií,</w:t>
      </w:r>
    </w:p>
    <w:p w14:paraId="6E68E597" w14:textId="36584CC4" w:rsidR="000F462C" w:rsidRPr="000F462C" w:rsidRDefault="00FF3B3C" w:rsidP="00237AFE">
      <w:pPr>
        <w:pStyle w:val="Odstavecseseznamem"/>
        <w:numPr>
          <w:ilvl w:val="0"/>
          <w:numId w:val="2"/>
        </w:numPr>
        <w:jc w:val="both"/>
        <w:rPr>
          <w:rFonts w:ascii="Times New Roman" w:hAnsi="Times New Roman" w:cs="Times New Roman"/>
        </w:rPr>
      </w:pPr>
      <w:r>
        <w:rPr>
          <w:rFonts w:ascii="Times New Roman" w:hAnsi="Times New Roman" w:cs="Times New Roman"/>
        </w:rPr>
        <w:t xml:space="preserve">postup pro </w:t>
      </w:r>
      <w:r w:rsidR="00BC5037">
        <w:rPr>
          <w:rFonts w:ascii="Times New Roman" w:hAnsi="Times New Roman" w:cs="Times New Roman"/>
        </w:rPr>
        <w:t>registraci odběrných míst a předávacích míst</w:t>
      </w:r>
      <w:r>
        <w:rPr>
          <w:rFonts w:ascii="Times New Roman" w:hAnsi="Times New Roman" w:cs="Times New Roman"/>
        </w:rPr>
        <w:t>,</w:t>
      </w:r>
    </w:p>
    <w:p w14:paraId="3B0E4B76" w14:textId="529C0C8F" w:rsidR="00BC5037" w:rsidRDefault="00FF3B3C" w:rsidP="00237AFE">
      <w:pPr>
        <w:pStyle w:val="Odstavecseseznamem"/>
        <w:numPr>
          <w:ilvl w:val="0"/>
          <w:numId w:val="2"/>
        </w:numPr>
        <w:jc w:val="both"/>
        <w:rPr>
          <w:rFonts w:ascii="Times New Roman" w:hAnsi="Times New Roman" w:cs="Times New Roman"/>
        </w:rPr>
      </w:pPr>
      <w:r>
        <w:rPr>
          <w:rFonts w:ascii="Times New Roman" w:hAnsi="Times New Roman" w:cs="Times New Roman"/>
        </w:rPr>
        <w:t>postup pro</w:t>
      </w:r>
      <w:r w:rsidR="00BC5037">
        <w:rPr>
          <w:rFonts w:ascii="Times New Roman" w:hAnsi="Times New Roman" w:cs="Times New Roman"/>
        </w:rPr>
        <w:t xml:space="preserve"> přenesení odpovědnosti za odchylku,</w:t>
      </w:r>
    </w:p>
    <w:p w14:paraId="7D6E4F61" w14:textId="77777777" w:rsidR="00053CC3" w:rsidRDefault="00BC5037" w:rsidP="00237AFE">
      <w:pPr>
        <w:pStyle w:val="Odstavecseseznamem"/>
        <w:widowControl w:val="0"/>
        <w:numPr>
          <w:ilvl w:val="0"/>
          <w:numId w:val="2"/>
        </w:numPr>
        <w:autoSpaceDE w:val="0"/>
        <w:autoSpaceDN w:val="0"/>
        <w:adjustRightInd w:val="0"/>
        <w:spacing w:after="120"/>
        <w:jc w:val="both"/>
        <w:rPr>
          <w:rFonts w:ascii="Times New Roman" w:hAnsi="Times New Roman"/>
        </w:rPr>
      </w:pPr>
      <w:r>
        <w:rPr>
          <w:rFonts w:ascii="Times New Roman" w:hAnsi="Times New Roman" w:cs="Times New Roman"/>
        </w:rPr>
        <w:t xml:space="preserve">postup pro předávání </w:t>
      </w:r>
      <w:r w:rsidR="00053CC3">
        <w:rPr>
          <w:rFonts w:ascii="Times New Roman" w:hAnsi="Times New Roman" w:cs="Times New Roman"/>
        </w:rPr>
        <w:t>údajů</w:t>
      </w:r>
      <w:r w:rsidR="00FF3B3C">
        <w:rPr>
          <w:rFonts w:ascii="Times New Roman" w:hAnsi="Times New Roman" w:cs="Times New Roman"/>
        </w:rPr>
        <w:t xml:space="preserve"> </w:t>
      </w:r>
      <w:r>
        <w:rPr>
          <w:rFonts w:ascii="Times New Roman" w:hAnsi="Times New Roman" w:cs="Times New Roman"/>
        </w:rPr>
        <w:t>pro vypořádání odchylek</w:t>
      </w:r>
      <w:r w:rsidR="00053CC3">
        <w:rPr>
          <w:rFonts w:ascii="Times New Roman" w:hAnsi="Times New Roman" w:cs="Times New Roman"/>
        </w:rPr>
        <w:t>,</w:t>
      </w:r>
      <w:r w:rsidR="00053CC3" w:rsidRPr="00053CC3">
        <w:rPr>
          <w:rFonts w:ascii="Times New Roman" w:hAnsi="Times New Roman"/>
        </w:rPr>
        <w:t xml:space="preserve"> </w:t>
      </w:r>
    </w:p>
    <w:p w14:paraId="50321820" w14:textId="75D8D0F0" w:rsidR="00BC5037" w:rsidRPr="00222DC3" w:rsidRDefault="00053CC3" w:rsidP="00237AFE">
      <w:pPr>
        <w:pStyle w:val="Odstavecseseznamem"/>
        <w:widowControl w:val="0"/>
        <w:numPr>
          <w:ilvl w:val="0"/>
          <w:numId w:val="2"/>
        </w:numPr>
        <w:autoSpaceDE w:val="0"/>
        <w:autoSpaceDN w:val="0"/>
        <w:adjustRightInd w:val="0"/>
        <w:spacing w:after="120"/>
        <w:jc w:val="both"/>
        <w:rPr>
          <w:rFonts w:ascii="Times New Roman" w:hAnsi="Times New Roman"/>
        </w:rPr>
      </w:pPr>
      <w:r>
        <w:rPr>
          <w:rFonts w:ascii="Times New Roman" w:hAnsi="Times New Roman"/>
        </w:rPr>
        <w:t>postup pro změnu dodavatele,</w:t>
      </w:r>
    </w:p>
    <w:p w14:paraId="4F856AF0" w14:textId="222231B2" w:rsidR="00053CC3" w:rsidRDefault="00053CC3" w:rsidP="00237AFE">
      <w:pPr>
        <w:pStyle w:val="Odstavecseseznamem"/>
        <w:numPr>
          <w:ilvl w:val="0"/>
          <w:numId w:val="2"/>
        </w:numPr>
        <w:jc w:val="both"/>
        <w:rPr>
          <w:rFonts w:ascii="Times New Roman" w:hAnsi="Times New Roman" w:cs="Times New Roman"/>
        </w:rPr>
      </w:pPr>
      <w:r>
        <w:rPr>
          <w:rFonts w:ascii="Times New Roman" w:hAnsi="Times New Roman" w:cs="Times New Roman"/>
        </w:rPr>
        <w:t>postup pro předávání údajů pro vyúčtování dodávek elektřiny a souvisejících služeb,</w:t>
      </w:r>
    </w:p>
    <w:p w14:paraId="088AFF27" w14:textId="795DA47C" w:rsidR="00053CC3" w:rsidRDefault="00053CC3" w:rsidP="00237AFE">
      <w:pPr>
        <w:pStyle w:val="Odstavecseseznamem"/>
        <w:numPr>
          <w:ilvl w:val="0"/>
          <w:numId w:val="2"/>
        </w:numPr>
        <w:jc w:val="both"/>
        <w:rPr>
          <w:rFonts w:ascii="Times New Roman" w:hAnsi="Times New Roman" w:cs="Times New Roman"/>
        </w:rPr>
      </w:pPr>
      <w:r>
        <w:rPr>
          <w:rFonts w:ascii="Times New Roman" w:hAnsi="Times New Roman" w:cs="Times New Roman"/>
        </w:rPr>
        <w:t>postup pro uzavření smluv o zajištění služby přenosové nebo distribuční soustavy,</w:t>
      </w:r>
    </w:p>
    <w:p w14:paraId="187C14F2" w14:textId="70A69D02" w:rsidR="00053CC3" w:rsidRDefault="00053CC3" w:rsidP="00237AFE">
      <w:pPr>
        <w:pStyle w:val="Odstavecseseznamem"/>
        <w:numPr>
          <w:ilvl w:val="0"/>
          <w:numId w:val="2"/>
        </w:numPr>
        <w:jc w:val="both"/>
        <w:rPr>
          <w:rFonts w:ascii="Times New Roman" w:hAnsi="Times New Roman" w:cs="Times New Roman"/>
        </w:rPr>
      </w:pPr>
      <w:r>
        <w:rPr>
          <w:rFonts w:ascii="Times New Roman" w:hAnsi="Times New Roman" w:cs="Times New Roman"/>
        </w:rPr>
        <w:t>postup pro předávání údajů mezi účastníky trhu,</w:t>
      </w:r>
    </w:p>
    <w:p w14:paraId="549C747C" w14:textId="77777777" w:rsidR="00222DC3" w:rsidRPr="00222DC3" w:rsidRDefault="00053CC3" w:rsidP="00237AFE">
      <w:pPr>
        <w:pStyle w:val="Odstavecseseznamem"/>
        <w:numPr>
          <w:ilvl w:val="0"/>
          <w:numId w:val="2"/>
        </w:numPr>
        <w:jc w:val="both"/>
      </w:pPr>
      <w:r>
        <w:rPr>
          <w:rFonts w:ascii="Times New Roman" w:hAnsi="Times New Roman" w:cs="Times New Roman"/>
        </w:rPr>
        <w:t>postup při zajištění dodávky dodavatelem poslední instance,</w:t>
      </w:r>
    </w:p>
    <w:p w14:paraId="7CD9C1C1" w14:textId="69509CCE" w:rsidR="00053CC3" w:rsidRDefault="000C2204" w:rsidP="00237AFE">
      <w:pPr>
        <w:pStyle w:val="Odstavecseseznamem"/>
        <w:numPr>
          <w:ilvl w:val="0"/>
          <w:numId w:val="2"/>
        </w:numPr>
        <w:jc w:val="both"/>
      </w:pPr>
      <w:r w:rsidRPr="00222DC3">
        <w:rPr>
          <w:rFonts w:ascii="Times New Roman" w:hAnsi="Times New Roman" w:cs="Times New Roman"/>
        </w:rPr>
        <w:t>postup pro provoz pro ověření technologie</w:t>
      </w:r>
      <w:r w:rsidR="00FF3B3C" w:rsidRPr="00222DC3">
        <w:rPr>
          <w:rFonts w:ascii="Times New Roman" w:hAnsi="Times New Roman" w:cs="Times New Roman"/>
        </w:rPr>
        <w:t>,</w:t>
      </w:r>
    </w:p>
    <w:p w14:paraId="339D8362" w14:textId="77777777" w:rsidR="00D90A85" w:rsidRDefault="00053CC3" w:rsidP="00237AFE">
      <w:pPr>
        <w:pStyle w:val="Odstavecseseznamem"/>
        <w:widowControl w:val="0"/>
        <w:numPr>
          <w:ilvl w:val="0"/>
          <w:numId w:val="2"/>
        </w:numPr>
        <w:autoSpaceDE w:val="0"/>
        <w:autoSpaceDN w:val="0"/>
        <w:adjustRightInd w:val="0"/>
        <w:spacing w:after="120"/>
        <w:jc w:val="both"/>
        <w:rPr>
          <w:rFonts w:ascii="Times New Roman" w:hAnsi="Times New Roman"/>
        </w:rPr>
      </w:pPr>
      <w:r>
        <w:rPr>
          <w:rFonts w:ascii="Times New Roman" w:hAnsi="Times New Roman"/>
        </w:rPr>
        <w:t>způsob vykazování výrobcem elektřiny a provozovatelem lokální distribuční soustavy</w:t>
      </w:r>
      <w:r w:rsidR="00D90A85">
        <w:rPr>
          <w:rFonts w:ascii="Times New Roman" w:hAnsi="Times New Roman"/>
        </w:rPr>
        <w:t>,</w:t>
      </w:r>
    </w:p>
    <w:p w14:paraId="19B37B22" w14:textId="77777777" w:rsidR="00D90A85" w:rsidRDefault="00D90A85" w:rsidP="00237AFE">
      <w:pPr>
        <w:pStyle w:val="Odstavecseseznamem"/>
        <w:widowControl w:val="0"/>
        <w:numPr>
          <w:ilvl w:val="0"/>
          <w:numId w:val="2"/>
        </w:numPr>
        <w:autoSpaceDE w:val="0"/>
        <w:autoSpaceDN w:val="0"/>
        <w:adjustRightInd w:val="0"/>
        <w:spacing w:after="120"/>
        <w:jc w:val="both"/>
        <w:rPr>
          <w:rFonts w:ascii="Times New Roman" w:hAnsi="Times New Roman"/>
        </w:rPr>
      </w:pPr>
      <w:r w:rsidRPr="00D90A85">
        <w:rPr>
          <w:rFonts w:ascii="Times New Roman" w:hAnsi="Times New Roman"/>
        </w:rPr>
        <w:t xml:space="preserve">způsob a postup stanovení rozdílu mezi hodinovou cenou a výkupní cenou, referenční výkupní cenou nebo referenční aukční cenou a jeho úhrady operátorovi trhu, </w:t>
      </w:r>
    </w:p>
    <w:p w14:paraId="6E68E5A0" w14:textId="012F96A9" w:rsidR="00FF3B3C" w:rsidRPr="00337EFA" w:rsidRDefault="00D90A85" w:rsidP="00237AFE">
      <w:pPr>
        <w:pStyle w:val="Odstavecseseznamem"/>
        <w:widowControl w:val="0"/>
        <w:numPr>
          <w:ilvl w:val="0"/>
          <w:numId w:val="2"/>
        </w:numPr>
        <w:autoSpaceDE w:val="0"/>
        <w:autoSpaceDN w:val="0"/>
        <w:adjustRightInd w:val="0"/>
        <w:spacing w:after="120"/>
        <w:jc w:val="both"/>
        <w:rPr>
          <w:rFonts w:ascii="Times New Roman" w:hAnsi="Times New Roman"/>
        </w:rPr>
      </w:pPr>
      <w:r w:rsidRPr="00337EFA">
        <w:rPr>
          <w:rFonts w:ascii="Times New Roman" w:hAnsi="Times New Roman"/>
        </w:rPr>
        <w:t>způsob stanovení hodinového zeleného bonusu na elektřinu, aukčního bonusu pro obnovitelné zdroje a ceny za činnost povinně vykupujícího</w:t>
      </w:r>
      <w:r w:rsidR="00BC5037" w:rsidRPr="00337EFA">
        <w:rPr>
          <w:rFonts w:ascii="Times New Roman" w:hAnsi="Times New Roman"/>
        </w:rPr>
        <w:t>.</w:t>
      </w:r>
    </w:p>
    <w:p w14:paraId="67FAFB4B" w14:textId="77777777" w:rsidR="00F27F8A" w:rsidRDefault="00F27F8A" w:rsidP="00237AFE">
      <w:pPr>
        <w:jc w:val="both"/>
        <w:rPr>
          <w:rFonts w:ascii="Times New Roman" w:hAnsi="Times New Roman" w:cs="Times New Roman"/>
        </w:rPr>
      </w:pPr>
      <w:r>
        <w:rPr>
          <w:rFonts w:ascii="Times New Roman" w:hAnsi="Times New Roman" w:cs="Times New Roman"/>
        </w:rPr>
        <w:t>V ostatních oblastech vyhlášky, u kterých jsou prováděny změny</w:t>
      </w:r>
      <w:r w:rsidR="002A5881">
        <w:rPr>
          <w:rFonts w:ascii="Times New Roman" w:hAnsi="Times New Roman" w:cs="Times New Roman"/>
        </w:rPr>
        <w:t>,</w:t>
      </w:r>
      <w:r>
        <w:rPr>
          <w:rFonts w:ascii="Times New Roman" w:hAnsi="Times New Roman" w:cs="Times New Roman"/>
        </w:rPr>
        <w:t xml:space="preserve"> se jedná o formulační a významové zpřesnění příslušného postupu.</w:t>
      </w:r>
    </w:p>
    <w:p w14:paraId="6E68E5AB" w14:textId="77777777" w:rsidR="002A5881" w:rsidRPr="00040CD5" w:rsidRDefault="002A5881" w:rsidP="00237AFE">
      <w:pPr>
        <w:pStyle w:val="Odstavecseseznamem"/>
        <w:numPr>
          <w:ilvl w:val="1"/>
          <w:numId w:val="1"/>
        </w:numPr>
        <w:ind w:left="426"/>
        <w:jc w:val="both"/>
        <w:rPr>
          <w:rFonts w:ascii="Times New Roman" w:hAnsi="Times New Roman" w:cs="Times New Roman"/>
          <w:b/>
        </w:rPr>
      </w:pPr>
      <w:r w:rsidRPr="00040CD5">
        <w:rPr>
          <w:rFonts w:ascii="Times New Roman" w:hAnsi="Times New Roman" w:cs="Times New Roman"/>
          <w:b/>
        </w:rPr>
        <w:t>Popis existujícího právního stavu v dané oblasti</w:t>
      </w:r>
    </w:p>
    <w:p w14:paraId="6E68E5AC" w14:textId="77777777" w:rsidR="00040CD5" w:rsidRDefault="00040CD5" w:rsidP="00237AFE">
      <w:pPr>
        <w:pStyle w:val="Odstavecseseznamem"/>
        <w:ind w:left="0"/>
        <w:jc w:val="both"/>
        <w:rPr>
          <w:rFonts w:ascii="Times New Roman" w:hAnsi="Times New Roman" w:cs="Times New Roman"/>
          <w:b/>
        </w:rPr>
      </w:pPr>
    </w:p>
    <w:p w14:paraId="6E68E5AD" w14:textId="1099BB31" w:rsidR="002A5881" w:rsidRPr="008E6B1B" w:rsidRDefault="008E6B1B" w:rsidP="00237AFE">
      <w:pPr>
        <w:pStyle w:val="Odstavecseseznamem"/>
        <w:ind w:left="0"/>
        <w:jc w:val="both"/>
        <w:rPr>
          <w:rFonts w:ascii="Times New Roman" w:hAnsi="Times New Roman" w:cs="Times New Roman"/>
        </w:rPr>
      </w:pPr>
      <w:r w:rsidRPr="008E6B1B">
        <w:rPr>
          <w:rFonts w:ascii="Times New Roman" w:hAnsi="Times New Roman" w:cs="Times New Roman"/>
          <w:b/>
        </w:rPr>
        <w:t>I.</w:t>
      </w:r>
      <w:r>
        <w:rPr>
          <w:rFonts w:ascii="Times New Roman" w:hAnsi="Times New Roman" w:cs="Times New Roman"/>
        </w:rPr>
        <w:t xml:space="preserve"> S účinností od</w:t>
      </w:r>
      <w:r w:rsidR="007A236C" w:rsidRPr="008E6B1B">
        <w:rPr>
          <w:rFonts w:ascii="Times New Roman" w:hAnsi="Times New Roman" w:cs="Times New Roman"/>
        </w:rPr>
        <w:t xml:space="preserve"> 1. </w:t>
      </w:r>
      <w:r w:rsidR="00090863">
        <w:rPr>
          <w:rFonts w:ascii="Times New Roman" w:hAnsi="Times New Roman" w:cs="Times New Roman"/>
        </w:rPr>
        <w:t>1</w:t>
      </w:r>
      <w:r w:rsidR="007A236C" w:rsidRPr="008E6B1B">
        <w:rPr>
          <w:rFonts w:ascii="Times New Roman" w:hAnsi="Times New Roman" w:cs="Times New Roman"/>
        </w:rPr>
        <w:t>. 20</w:t>
      </w:r>
      <w:r w:rsidR="00090863">
        <w:rPr>
          <w:rFonts w:ascii="Times New Roman" w:hAnsi="Times New Roman" w:cs="Times New Roman"/>
        </w:rPr>
        <w:t>22</w:t>
      </w:r>
      <w:r w:rsidR="002A5881" w:rsidRPr="008E6B1B">
        <w:rPr>
          <w:rFonts w:ascii="Times New Roman" w:hAnsi="Times New Roman" w:cs="Times New Roman"/>
        </w:rPr>
        <w:t xml:space="preserve"> vydal Energetický regulační úřad</w:t>
      </w:r>
      <w:r w:rsidR="00691A4A">
        <w:rPr>
          <w:rFonts w:ascii="Times New Roman" w:hAnsi="Times New Roman" w:cs="Times New Roman"/>
        </w:rPr>
        <w:t xml:space="preserve"> vyhlášku č. 490/2021 Sb., kterou se mění vyhláška č. 408/2015 Sb., o Pravidlech trhu s elektřinou, ve znění pozdějších předpisů.</w:t>
      </w:r>
    </w:p>
    <w:p w14:paraId="6E68E5AE" w14:textId="74AF0A62" w:rsidR="002A5881" w:rsidRPr="002A5881" w:rsidRDefault="008E6B1B" w:rsidP="00237AFE">
      <w:pPr>
        <w:jc w:val="both"/>
        <w:rPr>
          <w:rFonts w:ascii="Times New Roman" w:hAnsi="Times New Roman" w:cs="Times New Roman"/>
        </w:rPr>
      </w:pPr>
      <w:r w:rsidRPr="008E6B1B">
        <w:rPr>
          <w:rFonts w:ascii="Times New Roman" w:hAnsi="Times New Roman" w:cs="Times New Roman"/>
          <w:b/>
        </w:rPr>
        <w:t>II.</w:t>
      </w:r>
      <w:r>
        <w:rPr>
          <w:rFonts w:ascii="Times New Roman" w:hAnsi="Times New Roman" w:cs="Times New Roman"/>
        </w:rPr>
        <w:t xml:space="preserve"> </w:t>
      </w:r>
      <w:r w:rsidR="002A5881" w:rsidRPr="002A5881">
        <w:rPr>
          <w:rFonts w:ascii="Times New Roman" w:hAnsi="Times New Roman" w:cs="Times New Roman"/>
        </w:rPr>
        <w:t>Vyhláška o Pravidlech trhu s elektřinou je podzákonný právní předpis provádějící mj. zákon č.</w:t>
      </w:r>
      <w:r w:rsidR="00E1713B">
        <w:rPr>
          <w:rFonts w:ascii="Times New Roman" w:hAnsi="Times New Roman" w:cs="Times New Roman"/>
        </w:rPr>
        <w:t> </w:t>
      </w:r>
      <w:r w:rsidR="002A5881" w:rsidRPr="002A5881">
        <w:rPr>
          <w:rFonts w:ascii="Times New Roman" w:hAnsi="Times New Roman" w:cs="Times New Roman"/>
        </w:rPr>
        <w:t xml:space="preserve">458/2000 Sb., o podmínkách podnikání a o výkonu státní správy v energetických odvětvích a o změně některých zákonů (energetický zákon). Rozsah vyhlášky je dán na základě ustanovení § </w:t>
      </w:r>
      <w:proofErr w:type="gramStart"/>
      <w:r w:rsidR="002A5881" w:rsidRPr="002A5881">
        <w:rPr>
          <w:rFonts w:ascii="Times New Roman" w:hAnsi="Times New Roman" w:cs="Times New Roman"/>
        </w:rPr>
        <w:t>98a</w:t>
      </w:r>
      <w:proofErr w:type="gramEnd"/>
      <w:r w:rsidR="002A5881" w:rsidRPr="002A5881">
        <w:rPr>
          <w:rFonts w:ascii="Times New Roman" w:hAnsi="Times New Roman" w:cs="Times New Roman"/>
        </w:rPr>
        <w:t xml:space="preserve"> odst. 2 písm. h) energetického zákona, které zmocňuje ERÚ upravit touto vyhláškou následující</w:t>
      </w:r>
      <w:r w:rsidR="007A236C">
        <w:rPr>
          <w:rFonts w:ascii="Times New Roman" w:hAnsi="Times New Roman" w:cs="Times New Roman"/>
        </w:rPr>
        <w:t xml:space="preserve"> oblasti</w:t>
      </w:r>
      <w:r w:rsidR="002A5881" w:rsidRPr="002A5881">
        <w:rPr>
          <w:rFonts w:ascii="Times New Roman" w:hAnsi="Times New Roman" w:cs="Times New Roman"/>
        </w:rPr>
        <w:t>:</w:t>
      </w:r>
    </w:p>
    <w:p w14:paraId="6E68E5AF"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a) podmínky přístupu k přenosové soustavě a k distribučním soustavám, rozsah zveřejňovaných informací pro umožnění přístupu k přenosové a k distribuční soustavě a způsoby řešení nedostatku kapacit v elektrizační soustavě,  </w:t>
      </w:r>
    </w:p>
    <w:p w14:paraId="6E68E5B0"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b) termíny pro předkládání žádostí o uzavření smluv na trhu s elektřinou a termíny uzavírání smluv a jejich registrace u operátora trhu, </w:t>
      </w:r>
    </w:p>
    <w:p w14:paraId="6E68E5B1"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c) postupy a podmínky pro přenesení a převzetí odpovědnosti za odchylku,  </w:t>
      </w:r>
    </w:p>
    <w:p w14:paraId="6E68E5B2"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d) rozsah a termíny předávání údajů pro vyhodnocování odchylek a vyúčtování dodávek elektřiny, postupy pro vyhodnocování, zúčtování a vypořádání odchylek, včetně zúčtování a vypořádání regulační energie ve stavu nouze a při předcházení stavu nouze,  </w:t>
      </w:r>
    </w:p>
    <w:p w14:paraId="6E68E5B3"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e) postupy pro obstarávání regulační energie a způsoby zúčtování regulační energie, </w:t>
      </w:r>
    </w:p>
    <w:p w14:paraId="6E68E5B4"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f) pravidla organizace krátkodobého trhu s elektřinou a vyrovnávacího trhu a způsoby jejich vypořádání, </w:t>
      </w:r>
    </w:p>
    <w:p w14:paraId="6E68E5B5"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g) pravidla tvorby, přiřazení a užití typových diagramů dodávek elektřiny, </w:t>
      </w:r>
    </w:p>
    <w:p w14:paraId="6E68E5B6"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h) termíny a postup při volbě a změně dodavatele elektřiny včetně registrace odběrných a předávacích míst, </w:t>
      </w:r>
    </w:p>
    <w:p w14:paraId="6E68E5B7"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i) postup při přerušení, omezení a obnovení dodávky elektřiny při neoprávněném odběru, neoprávněné distribuci a neoprávněném přenosu, </w:t>
      </w:r>
    </w:p>
    <w:p w14:paraId="6E68E5B8"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j) postup při zajištění dodávky elektřiny dodavatelem poslední instance, </w:t>
      </w:r>
    </w:p>
    <w:p w14:paraId="6E68E5B9"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k) skladbu ceny služby přenosové soustavy, skladbu ceny služby distribuční soustavy a ostatních regulovaných cen v elektroenergetice a způsob a termíny předávání údajů mezi účastníky trhu s elektřinou pro vyúčtování regulovaných cen a způsob a termíny účtování a hrazení regulovaných cen mezi účastníky trhu s elektřinou, </w:t>
      </w:r>
    </w:p>
    <w:p w14:paraId="6E68E5BA"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l) technické požadavky na provoz pro ověření technologie, </w:t>
      </w:r>
    </w:p>
    <w:p w14:paraId="6E68E5BB" w14:textId="77777777" w:rsidR="002A5881" w:rsidRPr="002A5881" w:rsidRDefault="002A5881" w:rsidP="00237AFE">
      <w:pPr>
        <w:jc w:val="both"/>
        <w:rPr>
          <w:rFonts w:ascii="Times New Roman" w:hAnsi="Times New Roman" w:cs="Times New Roman"/>
        </w:rPr>
      </w:pPr>
      <w:r w:rsidRPr="002A5881">
        <w:rPr>
          <w:rFonts w:ascii="Times New Roman" w:hAnsi="Times New Roman" w:cs="Times New Roman"/>
        </w:rPr>
        <w:t xml:space="preserve">m) zveřejňování informací operátorem trhu a </w:t>
      </w:r>
    </w:p>
    <w:p w14:paraId="6E68E5BC" w14:textId="77777777" w:rsidR="002A5881" w:rsidRPr="007A236C" w:rsidRDefault="002A5881" w:rsidP="00237AFE">
      <w:pPr>
        <w:jc w:val="both"/>
        <w:rPr>
          <w:rFonts w:ascii="Times New Roman" w:hAnsi="Times New Roman" w:cs="Times New Roman"/>
        </w:rPr>
      </w:pPr>
      <w:r w:rsidRPr="002A5881">
        <w:rPr>
          <w:rFonts w:ascii="Times New Roman" w:hAnsi="Times New Roman" w:cs="Times New Roman"/>
        </w:rPr>
        <w:t xml:space="preserve">n) postup pro stanovení zálohových plateb. </w:t>
      </w:r>
    </w:p>
    <w:p w14:paraId="6E68E5BD" w14:textId="77777777" w:rsidR="002A5881" w:rsidRPr="007A236C" w:rsidRDefault="008E6B1B" w:rsidP="00237AFE">
      <w:pPr>
        <w:jc w:val="both"/>
        <w:rPr>
          <w:rFonts w:ascii="Times New Roman" w:hAnsi="Times New Roman" w:cs="Times New Roman"/>
        </w:rPr>
      </w:pPr>
      <w:r w:rsidRPr="008E6B1B">
        <w:rPr>
          <w:rFonts w:ascii="Times New Roman" w:hAnsi="Times New Roman" w:cs="Times New Roman"/>
          <w:b/>
        </w:rPr>
        <w:t>III.</w:t>
      </w:r>
      <w:r>
        <w:rPr>
          <w:rFonts w:ascii="Times New Roman" w:hAnsi="Times New Roman" w:cs="Times New Roman"/>
        </w:rPr>
        <w:t xml:space="preserve"> </w:t>
      </w:r>
      <w:r w:rsidR="002A5881" w:rsidRPr="007A236C">
        <w:rPr>
          <w:rFonts w:ascii="Times New Roman" w:hAnsi="Times New Roman" w:cs="Times New Roman"/>
        </w:rPr>
        <w:t xml:space="preserve">Dále je rozsah vyhlášky o Pravidlech trhu s elektřinou dán na základě zmocňovacího ustanovení § 53 odst. 3 písm. g), h), j) a k) zákona č. 165/2012 Sb., o podporovaných zdrojích energie a o změně některých zákonů, které zmocňuje ERÚ upravit v této vyhlášce: </w:t>
      </w:r>
    </w:p>
    <w:p w14:paraId="6E68E5BE" w14:textId="77777777" w:rsidR="002A5881" w:rsidRPr="007A236C" w:rsidRDefault="002A5881" w:rsidP="00237AFE">
      <w:pPr>
        <w:jc w:val="both"/>
        <w:rPr>
          <w:rFonts w:ascii="Times New Roman" w:hAnsi="Times New Roman" w:cs="Times New Roman"/>
        </w:rPr>
      </w:pPr>
      <w:r w:rsidRPr="007A236C">
        <w:rPr>
          <w:rFonts w:ascii="Times New Roman" w:hAnsi="Times New Roman" w:cs="Times New Roman"/>
        </w:rPr>
        <w:t xml:space="preserve">a) způsob a postup stanovení rozdílu mezi hodinovou cenou a výkupní cenou a jeho úhrady operátorovi trhu,  </w:t>
      </w:r>
    </w:p>
    <w:p w14:paraId="6E68E5BF" w14:textId="77777777" w:rsidR="002A5881" w:rsidRPr="007A236C" w:rsidRDefault="002A5881" w:rsidP="00237AFE">
      <w:pPr>
        <w:jc w:val="both"/>
        <w:rPr>
          <w:rFonts w:ascii="Times New Roman" w:hAnsi="Times New Roman" w:cs="Times New Roman"/>
        </w:rPr>
      </w:pPr>
      <w:r w:rsidRPr="007A236C">
        <w:rPr>
          <w:rFonts w:ascii="Times New Roman" w:hAnsi="Times New Roman" w:cs="Times New Roman"/>
        </w:rPr>
        <w:t xml:space="preserve">b) způsob stanovení hodinového zeleného bonusu na elektřinu, hodinové ceny a ceny za činnost povinně vykupujícího, </w:t>
      </w:r>
    </w:p>
    <w:p w14:paraId="6E68E5C0" w14:textId="77777777" w:rsidR="002A5881" w:rsidRPr="007A236C" w:rsidRDefault="002A5881" w:rsidP="00237AFE">
      <w:pPr>
        <w:jc w:val="both"/>
        <w:rPr>
          <w:rFonts w:ascii="Times New Roman" w:hAnsi="Times New Roman" w:cs="Times New Roman"/>
        </w:rPr>
      </w:pPr>
      <w:r w:rsidRPr="007A236C">
        <w:rPr>
          <w:rFonts w:ascii="Times New Roman" w:hAnsi="Times New Roman" w:cs="Times New Roman"/>
        </w:rPr>
        <w:t xml:space="preserve">c) termíny a způsob informování výrobce povinně vykupujícím nebo vykupujícím o dosažení záporné ceny na denním trhu s elektřinou a o situaci, kdy nedojde k sesouhlasení nabídky a poptávky elektřiny na denním trhu, </w:t>
      </w:r>
    </w:p>
    <w:p w14:paraId="6E68E5C1" w14:textId="77777777" w:rsidR="002A5881" w:rsidRDefault="002A5881" w:rsidP="00237AFE">
      <w:pPr>
        <w:jc w:val="both"/>
        <w:rPr>
          <w:rFonts w:ascii="Times New Roman" w:hAnsi="Times New Roman" w:cs="Times New Roman"/>
        </w:rPr>
      </w:pPr>
      <w:r w:rsidRPr="007A236C">
        <w:rPr>
          <w:rFonts w:ascii="Times New Roman" w:hAnsi="Times New Roman" w:cs="Times New Roman"/>
        </w:rPr>
        <w:t>d) způsob a termíny účtování a hrazení složky ceny služby distribuční soustavy a složky ceny služby přenosové soustavy na podporu elektřiny mezi operátorem trhu a provozovatelem přenosové soustavy a provozovatelem regionální distribuční soustavy a mezi provozovateli distribučních soustav.</w:t>
      </w:r>
    </w:p>
    <w:p w14:paraId="6E68E5C3" w14:textId="70388BDE" w:rsidR="007A236C" w:rsidRDefault="008E6B1B" w:rsidP="00237AFE">
      <w:pPr>
        <w:jc w:val="both"/>
        <w:rPr>
          <w:rFonts w:ascii="Times New Roman" w:hAnsi="Times New Roman"/>
        </w:rPr>
      </w:pPr>
      <w:r w:rsidRPr="008E6B1B">
        <w:rPr>
          <w:rFonts w:ascii="Times New Roman" w:hAnsi="Times New Roman" w:cs="Times New Roman"/>
          <w:b/>
        </w:rPr>
        <w:t>IV.</w:t>
      </w:r>
      <w:r>
        <w:rPr>
          <w:rFonts w:ascii="Times New Roman" w:hAnsi="Times New Roman" w:cs="Times New Roman"/>
        </w:rPr>
        <w:t xml:space="preserve"> </w:t>
      </w:r>
      <w:r w:rsidR="007A236C">
        <w:rPr>
          <w:rFonts w:ascii="Times New Roman" w:hAnsi="Times New Roman"/>
        </w:rPr>
        <w:t>Návrh vyhlášky je v souladu s </w:t>
      </w:r>
      <w:r w:rsidR="00557254">
        <w:rPr>
          <w:rFonts w:ascii="Times New Roman" w:hAnsi="Times New Roman"/>
        </w:rPr>
        <w:t>n</w:t>
      </w:r>
      <w:r w:rsidR="007A236C">
        <w:rPr>
          <w:rFonts w:ascii="Times New Roman" w:hAnsi="Times New Roman"/>
        </w:rPr>
        <w:t xml:space="preserve">ařízením Evropského parlamentu a Rady (EU) 2019/943 ze dne 5. června 2019, </w:t>
      </w:r>
      <w:r w:rsidR="007A236C" w:rsidRPr="0096682C">
        <w:rPr>
          <w:rFonts w:ascii="Times New Roman" w:hAnsi="Times New Roman"/>
        </w:rPr>
        <w:t>o vnitřním trhu s elektřinou</w:t>
      </w:r>
      <w:r w:rsidR="007A236C">
        <w:rPr>
          <w:rFonts w:ascii="Times New Roman" w:hAnsi="Times New Roman"/>
        </w:rPr>
        <w:t xml:space="preserve">, jakož i </w:t>
      </w:r>
      <w:r w:rsidR="00557254">
        <w:rPr>
          <w:rFonts w:ascii="Times New Roman" w:hAnsi="Times New Roman"/>
        </w:rPr>
        <w:t>n</w:t>
      </w:r>
      <w:r w:rsidR="007A236C">
        <w:rPr>
          <w:rFonts w:ascii="Times New Roman" w:hAnsi="Times New Roman"/>
        </w:rPr>
        <w:t xml:space="preserve">ařízením </w:t>
      </w:r>
      <w:r w:rsidR="00557254">
        <w:rPr>
          <w:rFonts w:ascii="Times New Roman" w:hAnsi="Times New Roman"/>
        </w:rPr>
        <w:t xml:space="preserve">Evropského parlamentu a Rady (EU) </w:t>
      </w:r>
      <w:r w:rsidR="007A236C">
        <w:rPr>
          <w:rFonts w:ascii="Times New Roman" w:hAnsi="Times New Roman"/>
        </w:rPr>
        <w:t xml:space="preserve">č. </w:t>
      </w:r>
      <w:r w:rsidR="00090863">
        <w:rPr>
          <w:rFonts w:ascii="Times New Roman" w:hAnsi="Times New Roman"/>
        </w:rPr>
        <w:t>2022</w:t>
      </w:r>
      <w:r w:rsidR="007A236C">
        <w:rPr>
          <w:rFonts w:ascii="Times New Roman" w:hAnsi="Times New Roman"/>
        </w:rPr>
        <w:t>/</w:t>
      </w:r>
      <w:r w:rsidR="00090863">
        <w:rPr>
          <w:rFonts w:ascii="Times New Roman" w:hAnsi="Times New Roman"/>
        </w:rPr>
        <w:t>869</w:t>
      </w:r>
      <w:r w:rsidR="007A236C">
        <w:rPr>
          <w:rFonts w:ascii="Times New Roman" w:hAnsi="Times New Roman"/>
        </w:rPr>
        <w:t>, kterým se stanoví hlavní směry pro transevropské energetické sítě a kterým se mění nařízení (ES) č. 715/2009</w:t>
      </w:r>
      <w:r w:rsidR="00090863">
        <w:rPr>
          <w:rFonts w:ascii="Times New Roman" w:hAnsi="Times New Roman"/>
        </w:rPr>
        <w:t>, (EU) 2019/942 a (EU) 2019/943 a směrnice 2009/73/ES a (EU) 2019/944 a zrušuje nařízení (EU) č. 347/2013</w:t>
      </w:r>
      <w:r w:rsidR="007A236C">
        <w:rPr>
          <w:rFonts w:ascii="Times New Roman" w:hAnsi="Times New Roman"/>
        </w:rPr>
        <w:t xml:space="preserve">. </w:t>
      </w:r>
    </w:p>
    <w:p w14:paraId="6E68E5C4" w14:textId="5932A7B1" w:rsidR="008E6B1B" w:rsidRDefault="007A236C" w:rsidP="00237AFE">
      <w:pPr>
        <w:jc w:val="both"/>
        <w:rPr>
          <w:rFonts w:ascii="Times New Roman" w:hAnsi="Times New Roman"/>
        </w:rPr>
      </w:pPr>
      <w:r>
        <w:rPr>
          <w:rFonts w:ascii="Times New Roman" w:hAnsi="Times New Roman"/>
        </w:rPr>
        <w:t>Návrh vyhlášky není v rozporu s žádným právním předpisem Evropské unie</w:t>
      </w:r>
      <w:r w:rsidR="008E6B1B">
        <w:rPr>
          <w:rFonts w:ascii="Times New Roman" w:hAnsi="Times New Roman"/>
        </w:rPr>
        <w:t>.</w:t>
      </w:r>
    </w:p>
    <w:p w14:paraId="29E0F0E4" w14:textId="24F22D79" w:rsidR="00F82394" w:rsidRDefault="008E6B1B" w:rsidP="00237AFE">
      <w:pPr>
        <w:jc w:val="both"/>
        <w:rPr>
          <w:rFonts w:ascii="Times New Roman" w:hAnsi="Times New Roman" w:cs="Times New Roman"/>
        </w:rPr>
      </w:pPr>
      <w:r w:rsidRPr="008E6B1B">
        <w:rPr>
          <w:rFonts w:ascii="Times New Roman" w:hAnsi="Times New Roman" w:cs="Times New Roman"/>
          <w:b/>
        </w:rPr>
        <w:t>V</w:t>
      </w:r>
      <w:r w:rsidR="00E84796">
        <w:rPr>
          <w:rFonts w:ascii="Times New Roman" w:hAnsi="Times New Roman" w:cs="Times New Roman"/>
          <w:b/>
        </w:rPr>
        <w:t>.</w:t>
      </w:r>
      <w:r w:rsidR="00E84796">
        <w:rPr>
          <w:rFonts w:ascii="Times New Roman" w:hAnsi="Times New Roman" w:cs="Times New Roman"/>
        </w:rPr>
        <w:t xml:space="preserve"> </w:t>
      </w:r>
      <w:r w:rsidR="00AE261A">
        <w:rPr>
          <w:rFonts w:ascii="Times New Roman" w:hAnsi="Times New Roman" w:cs="Times New Roman"/>
        </w:rPr>
        <w:t xml:space="preserve">Navrhovaná právní úprava je ve svém celku nezbytná, jelikož je </w:t>
      </w:r>
      <w:r w:rsidR="00E038D0">
        <w:rPr>
          <w:rFonts w:ascii="Times New Roman" w:hAnsi="Times New Roman" w:cs="Times New Roman"/>
        </w:rPr>
        <w:t xml:space="preserve">jejím </w:t>
      </w:r>
      <w:r w:rsidR="00AE261A">
        <w:rPr>
          <w:rFonts w:ascii="Times New Roman" w:hAnsi="Times New Roman" w:cs="Times New Roman"/>
        </w:rPr>
        <w:t>prostřednictvím možné poměrně jednoduše</w:t>
      </w:r>
      <w:r w:rsidR="00E038D0">
        <w:rPr>
          <w:rFonts w:ascii="Times New Roman" w:hAnsi="Times New Roman" w:cs="Times New Roman"/>
        </w:rPr>
        <w:t>, rychle</w:t>
      </w:r>
      <w:r w:rsidR="00AE261A">
        <w:rPr>
          <w:rFonts w:ascii="Times New Roman" w:hAnsi="Times New Roman" w:cs="Times New Roman"/>
        </w:rPr>
        <w:t xml:space="preserve"> a flexibilně reagovat na nedostatky a </w:t>
      </w:r>
      <w:r w:rsidR="00E038D0">
        <w:rPr>
          <w:rFonts w:ascii="Times New Roman" w:hAnsi="Times New Roman" w:cs="Times New Roman"/>
        </w:rPr>
        <w:t>problematická místa, které vyplynuly z praktického uplatňování dotčených ustanovení, a to zejména v kontextu současné energetické krize, způsobené extrémním nárůstem cen energií, ozbrojeným konfliktem na Ukrajině a ohrožením energetické bezpečnosti státu a plynulosti fungování trhu s elektřinou.</w:t>
      </w:r>
      <w:r w:rsidR="00327A03">
        <w:rPr>
          <w:rFonts w:ascii="Times New Roman" w:hAnsi="Times New Roman" w:cs="Times New Roman"/>
        </w:rPr>
        <w:t xml:space="preserve"> Energetický regulační úřad je v důsledku zákonného zmocnění povinen na tyto události reagovat a plnit svoji zákonnou roli.</w:t>
      </w:r>
      <w:r w:rsidR="00E84796">
        <w:rPr>
          <w:rFonts w:ascii="Times New Roman" w:hAnsi="Times New Roman" w:cs="Times New Roman"/>
        </w:rPr>
        <w:t xml:space="preserve"> </w:t>
      </w:r>
      <w:r w:rsidR="00F82394">
        <w:rPr>
          <w:rFonts w:ascii="Times New Roman" w:hAnsi="Times New Roman" w:cs="Times New Roman"/>
        </w:rPr>
        <w:t>Současný právní stav neumožňuje tzv. sdílení elektřiny mezi jednotlivými odběrnými místy</w:t>
      </w:r>
      <w:r w:rsidR="00E84796">
        <w:rPr>
          <w:rFonts w:ascii="Times New Roman" w:hAnsi="Times New Roman" w:cs="Times New Roman"/>
        </w:rPr>
        <w:t xml:space="preserve"> v rámci bytového domu, proto zavedení zjednodušeného systému </w:t>
      </w:r>
      <w:r w:rsidR="00E84796" w:rsidRPr="00E84796">
        <w:rPr>
          <w:rFonts w:ascii="Times New Roman" w:hAnsi="Times New Roman" w:cs="Times New Roman"/>
        </w:rPr>
        <w:t>předávání údajů pro zúčtování odchylek a pro vyúčtování pro zohlednění množství elektřiny vyrobené ve výrobně elektřiny v jiném předávacím místě odběrného místa v rámci bytového domu</w:t>
      </w:r>
      <w:r w:rsidR="00E84796">
        <w:rPr>
          <w:rFonts w:ascii="Times New Roman" w:hAnsi="Times New Roman" w:cs="Times New Roman"/>
        </w:rPr>
        <w:t xml:space="preserve"> je jedním z nástrojů, jak snížit závislost zákazníků na centrálních zdrojích energie</w:t>
      </w:r>
      <w:r w:rsidR="00F82394">
        <w:rPr>
          <w:rFonts w:ascii="Times New Roman" w:hAnsi="Times New Roman" w:cs="Times New Roman"/>
        </w:rPr>
        <w:t>.</w:t>
      </w:r>
    </w:p>
    <w:p w14:paraId="6E68E5C9" w14:textId="77777777" w:rsidR="00040CD5" w:rsidRPr="00040CD5" w:rsidRDefault="00040CD5" w:rsidP="00237AFE">
      <w:pPr>
        <w:pStyle w:val="Odstavecseseznamem"/>
        <w:numPr>
          <w:ilvl w:val="1"/>
          <w:numId w:val="1"/>
        </w:numPr>
        <w:ind w:left="0" w:firstLine="0"/>
        <w:rPr>
          <w:rFonts w:ascii="Times New Roman" w:hAnsi="Times New Roman" w:cs="Times New Roman"/>
          <w:b/>
        </w:rPr>
      </w:pPr>
      <w:r w:rsidRPr="00040CD5">
        <w:rPr>
          <w:rFonts w:ascii="Times New Roman" w:hAnsi="Times New Roman" w:cs="Times New Roman"/>
          <w:b/>
        </w:rPr>
        <w:t>Identifikace dotčených skupin</w:t>
      </w:r>
    </w:p>
    <w:p w14:paraId="6E68E5CA" w14:textId="6CA003B7" w:rsidR="007A236C" w:rsidRDefault="00040CD5" w:rsidP="00237AFE">
      <w:pPr>
        <w:jc w:val="both"/>
        <w:rPr>
          <w:rFonts w:ascii="Times New Roman" w:hAnsi="Times New Roman" w:cs="Times New Roman"/>
        </w:rPr>
      </w:pPr>
      <w:r w:rsidRPr="00040CD5">
        <w:rPr>
          <w:rFonts w:ascii="Times New Roman" w:hAnsi="Times New Roman" w:cs="Times New Roman"/>
        </w:rPr>
        <w:t xml:space="preserve">Dotčenými skupinami jsou </w:t>
      </w:r>
      <w:r w:rsidR="00877AA6">
        <w:rPr>
          <w:rFonts w:ascii="Times New Roman" w:hAnsi="Times New Roman" w:cs="Times New Roman"/>
        </w:rPr>
        <w:t xml:space="preserve">některé skupiny osob energetickým zákonem označovaných jako účastníci trhu. Jedná se o </w:t>
      </w:r>
      <w:r w:rsidRPr="00040CD5">
        <w:rPr>
          <w:rFonts w:ascii="Times New Roman" w:hAnsi="Times New Roman" w:cs="Times New Roman"/>
        </w:rPr>
        <w:t xml:space="preserve">fyzické a právnické osoby, které jsou držiteli licence na výrobu elektřiny, přenos elektřiny, distribuci elektřiny nebo obchod s elektřinou, na jejichž základě jsou oprávněny podnikat v odvětví elektroenergetiky na území České republiky. Dále </w:t>
      </w:r>
      <w:r w:rsidR="0086307F">
        <w:rPr>
          <w:rFonts w:ascii="Times New Roman" w:hAnsi="Times New Roman" w:cs="Times New Roman"/>
        </w:rPr>
        <w:t xml:space="preserve">se navrhovaná úprava dotýká práv a povinností </w:t>
      </w:r>
      <w:r w:rsidRPr="00040CD5">
        <w:rPr>
          <w:rFonts w:ascii="Times New Roman" w:hAnsi="Times New Roman" w:cs="Times New Roman"/>
        </w:rPr>
        <w:t>operátor</w:t>
      </w:r>
      <w:r w:rsidR="0086307F">
        <w:rPr>
          <w:rFonts w:ascii="Times New Roman" w:hAnsi="Times New Roman" w:cs="Times New Roman"/>
        </w:rPr>
        <w:t>a</w:t>
      </w:r>
      <w:r w:rsidRPr="00040CD5">
        <w:rPr>
          <w:rFonts w:ascii="Times New Roman" w:hAnsi="Times New Roman" w:cs="Times New Roman"/>
        </w:rPr>
        <w:t xml:space="preserve"> trhu s elektřinou a zákazní</w:t>
      </w:r>
      <w:r w:rsidR="0086307F">
        <w:rPr>
          <w:rFonts w:ascii="Times New Roman" w:hAnsi="Times New Roman" w:cs="Times New Roman"/>
        </w:rPr>
        <w:t>ků</w:t>
      </w:r>
      <w:r w:rsidRPr="00040CD5">
        <w:rPr>
          <w:rFonts w:ascii="Times New Roman" w:hAnsi="Times New Roman" w:cs="Times New Roman"/>
        </w:rPr>
        <w:t xml:space="preserve"> na území České republiky. </w:t>
      </w:r>
    </w:p>
    <w:p w14:paraId="6E68E5CB" w14:textId="77777777" w:rsidR="00040CD5" w:rsidRPr="00040CD5" w:rsidRDefault="00040CD5" w:rsidP="00237AFE">
      <w:pPr>
        <w:pStyle w:val="Odstavecseseznamem"/>
        <w:numPr>
          <w:ilvl w:val="1"/>
          <w:numId w:val="1"/>
        </w:numPr>
        <w:ind w:left="0" w:firstLine="0"/>
        <w:rPr>
          <w:rFonts w:ascii="Times New Roman" w:hAnsi="Times New Roman" w:cs="Times New Roman"/>
          <w:b/>
        </w:rPr>
      </w:pPr>
      <w:r w:rsidRPr="00040CD5">
        <w:rPr>
          <w:rFonts w:ascii="Times New Roman" w:hAnsi="Times New Roman" w:cs="Times New Roman"/>
          <w:b/>
        </w:rPr>
        <w:t>Popis cílového stavu</w:t>
      </w:r>
    </w:p>
    <w:p w14:paraId="6E68E5CC" w14:textId="23889932" w:rsidR="00010841" w:rsidRDefault="00040CD5" w:rsidP="00237AFE">
      <w:pPr>
        <w:jc w:val="both"/>
        <w:rPr>
          <w:rFonts w:ascii="Times New Roman" w:hAnsi="Times New Roman" w:cs="Times New Roman"/>
        </w:rPr>
      </w:pPr>
      <w:r w:rsidRPr="00040CD5">
        <w:rPr>
          <w:rFonts w:ascii="Times New Roman" w:hAnsi="Times New Roman" w:cs="Times New Roman"/>
        </w:rPr>
        <w:t xml:space="preserve">Cílem navrhované úpravy je upřesnit a rozvinout pravidla pro fungování trhu s elektřinou v České republice v návaznosti na zmocnění Energetického regulačního úřadu § 98a odst. 2 písm. h) zákona č. 458/2000 Sb., o podmínkách podnikání a o výkonu státní správy v energetických odvětvích a o změně některých zákonů (energetický zákona), ve znění pozdějších předpisů, a § 53 odst. 2 písm. k) zákona č. 165/2012 Sb., o podporovaných zdrojích energie a o změně některých zákonů, ve znění pozdějších předpisů. </w:t>
      </w:r>
    </w:p>
    <w:p w14:paraId="2324A2C8" w14:textId="77777777" w:rsidR="00451D1E" w:rsidRDefault="00451D1E" w:rsidP="00237AFE">
      <w:pPr>
        <w:jc w:val="both"/>
        <w:rPr>
          <w:rFonts w:ascii="Times New Roman" w:hAnsi="Times New Roman" w:cs="Times New Roman"/>
        </w:rPr>
      </w:pPr>
      <w:r>
        <w:rPr>
          <w:rFonts w:ascii="Times New Roman" w:hAnsi="Times New Roman" w:cs="Times New Roman"/>
        </w:rPr>
        <w:t>Oproti stávajícímu znění jsou vyhláškou zaváděny zcela nové postupy v oblasti:</w:t>
      </w:r>
    </w:p>
    <w:p w14:paraId="4F85A6CD" w14:textId="68DA7BA8" w:rsidR="00451D1E" w:rsidRDefault="00451D1E" w:rsidP="00237AFE">
      <w:pPr>
        <w:pStyle w:val="Odstavecseseznamem"/>
        <w:numPr>
          <w:ilvl w:val="0"/>
          <w:numId w:val="5"/>
        </w:numPr>
        <w:jc w:val="both"/>
        <w:rPr>
          <w:rFonts w:ascii="Times New Roman" w:hAnsi="Times New Roman" w:cs="Times New Roman"/>
        </w:rPr>
      </w:pPr>
      <w:r>
        <w:rPr>
          <w:rFonts w:ascii="Times New Roman" w:hAnsi="Times New Roman" w:cs="Times New Roman"/>
        </w:rPr>
        <w:t>stanovení hodnoty odběru elektřiny zákazníkem s měřením typu C, který zahrnuje více kalendářních let</w:t>
      </w:r>
      <w:r w:rsidR="00647F04">
        <w:rPr>
          <w:rFonts w:ascii="Times New Roman" w:hAnsi="Times New Roman" w:cs="Times New Roman"/>
        </w:rPr>
        <w:t>.</w:t>
      </w:r>
      <w:r>
        <w:rPr>
          <w:rFonts w:ascii="Times New Roman" w:hAnsi="Times New Roman" w:cs="Times New Roman"/>
        </w:rPr>
        <w:t xml:space="preserve"> Doposud neexistovala jednotná metodika, kterou by se tento postup stanovil. Cílem je zajistit jednotný přístup provozovatelů distribučních sousta</w:t>
      </w:r>
      <w:r w:rsidR="00647F04">
        <w:rPr>
          <w:rFonts w:ascii="Times New Roman" w:hAnsi="Times New Roman" w:cs="Times New Roman"/>
        </w:rPr>
        <w:t>v u nichž dochází k regulaci nákladů Energetickým regulačním úřadem.</w:t>
      </w:r>
    </w:p>
    <w:p w14:paraId="555CDFA3" w14:textId="089AAF29" w:rsidR="00451D1E" w:rsidRPr="00222DC3" w:rsidRDefault="00451D1E" w:rsidP="00237AFE">
      <w:pPr>
        <w:pStyle w:val="Odstavecseseznamem"/>
        <w:numPr>
          <w:ilvl w:val="0"/>
          <w:numId w:val="5"/>
        </w:numPr>
        <w:jc w:val="both"/>
        <w:rPr>
          <w:rFonts w:ascii="Times New Roman" w:hAnsi="Times New Roman" w:cs="Times New Roman"/>
        </w:rPr>
      </w:pPr>
      <w:r>
        <w:rPr>
          <w:rFonts w:ascii="Times New Roman" w:hAnsi="Times New Roman" w:cs="Times New Roman"/>
        </w:rPr>
        <w:t xml:space="preserve">zjednodušená varianta </w:t>
      </w:r>
      <w:r w:rsidRPr="00D90A85">
        <w:rPr>
          <w:rFonts w:ascii="Times New Roman" w:hAnsi="Times New Roman" w:cs="Times New Roman"/>
        </w:rPr>
        <w:t>systémů předávání údajů pro zúčtování odchylek a pro vyúčtování pro zohlednění množství elektřiny vyrobené ve výrobně elektřiny v jiném předávacím místě odběrného místa v rámci bytového domu</w:t>
      </w:r>
      <w:r w:rsidRPr="00222DC3">
        <w:rPr>
          <w:rFonts w:ascii="Times New Roman" w:hAnsi="Times New Roman" w:cs="Times New Roman"/>
        </w:rPr>
        <w:t>.</w:t>
      </w:r>
      <w:r w:rsidR="00647F04">
        <w:rPr>
          <w:rFonts w:ascii="Times New Roman" w:hAnsi="Times New Roman" w:cs="Times New Roman"/>
        </w:rPr>
        <w:t xml:space="preserve"> Cílem je zavést zjednodušený postup, který nebude v rozporu s platnou právní úpravou, současně jej bude možné v budoucnu dále modifikovat dle podmínek na trhu s elektřinou, a umožní zákazníkům snížení závislosti na centrálních zdrojích energie. </w:t>
      </w:r>
    </w:p>
    <w:p w14:paraId="66FC4FE5" w14:textId="77777777" w:rsidR="00451D1E" w:rsidRDefault="00451D1E" w:rsidP="00237AFE">
      <w:pPr>
        <w:jc w:val="both"/>
        <w:rPr>
          <w:rFonts w:ascii="Times New Roman" w:hAnsi="Times New Roman" w:cs="Times New Roman"/>
        </w:rPr>
      </w:pPr>
      <w:r>
        <w:rPr>
          <w:rFonts w:ascii="Times New Roman" w:hAnsi="Times New Roman" w:cs="Times New Roman"/>
        </w:rPr>
        <w:t>Oproti stávajícímu znění jsou vyhláškou zaváděny podstatné změny v postupu v oblasti:</w:t>
      </w:r>
    </w:p>
    <w:p w14:paraId="789202AB" w14:textId="77777777" w:rsidR="00451D1E" w:rsidRDefault="00451D1E" w:rsidP="00237AFE">
      <w:pPr>
        <w:pStyle w:val="Odstavecseseznamem"/>
        <w:numPr>
          <w:ilvl w:val="0"/>
          <w:numId w:val="4"/>
        </w:numPr>
        <w:jc w:val="both"/>
        <w:rPr>
          <w:rFonts w:ascii="Times New Roman" w:hAnsi="Times New Roman" w:cs="Times New Roman"/>
        </w:rPr>
      </w:pPr>
      <w:r>
        <w:rPr>
          <w:rFonts w:ascii="Times New Roman" w:hAnsi="Times New Roman" w:cs="Times New Roman"/>
        </w:rPr>
        <w:t xml:space="preserve">registrace odběrných míst a předávacích míst, kde dochází jednak k úpravě postupu registrace odběrného místa s připojenou výrobnou elektřiny do 10 kW a provozovanou v souladu s § 28 odst. 5 energetického zákona (změna postupu registrace odběrného místa s výrobnou elektřiny do 10 kW podle § 28 odst. 5 energetického zákona, u niž je sjednán nenulový rezervovaný výkon) a současně se upravuje postup registrace odběrných míst a předávacích míst v návaznosti na zavedení </w:t>
      </w:r>
      <w:r w:rsidRPr="00D90A85">
        <w:rPr>
          <w:rFonts w:ascii="Times New Roman" w:hAnsi="Times New Roman" w:cs="Times New Roman"/>
        </w:rPr>
        <w:t>systémů předávání údajů pro zúčtování odchylek a pro vyúčtování pro zohlednění množství elektřiny vyrobené ve výrobně elektřiny v jiném předávacím místě odběrného místa v rámci bytového domu</w:t>
      </w:r>
      <w:r>
        <w:rPr>
          <w:rFonts w:ascii="Times New Roman" w:hAnsi="Times New Roman" w:cs="Times New Roman"/>
        </w:rPr>
        <w:t xml:space="preserve"> (rozšiřují se možnosti registrování příznaků odběrných míst a předávacích míst). Tato podzákonná úprava je v současné chvíli jediným možným řešením, jak v mantinelech zákonného zmocnění upravit alespoň dílčím způsobem velmi diskutovanou a důležitou problematiku tzv. sdílení elektřiny, a to alespoň pro odběrná místa v bytových domech. Cílem navrhované úpravy vyhlášky o PTE je rovněž umožnit takovýmto odběrným místům vlastnit a provozovat výrobnu elektřiny obdobně, jako tak činí za současné právní úpravy vlastníci rodinných domů. S ohledem na absentující konkrétní zákonné zmocnění pro úpravu plnohodnotného sdílení elektřiny je navrhovaný způsob jediný možný.</w:t>
      </w:r>
    </w:p>
    <w:p w14:paraId="147D4B57" w14:textId="144E83BF" w:rsidR="00451D1E" w:rsidRDefault="00451D1E" w:rsidP="00237AFE">
      <w:pPr>
        <w:pStyle w:val="Odstavecseseznamem"/>
        <w:numPr>
          <w:ilvl w:val="0"/>
          <w:numId w:val="4"/>
        </w:numPr>
        <w:jc w:val="both"/>
        <w:rPr>
          <w:rFonts w:ascii="Times New Roman" w:hAnsi="Times New Roman" w:cs="Times New Roman"/>
        </w:rPr>
      </w:pPr>
      <w:r>
        <w:rPr>
          <w:rFonts w:ascii="Times New Roman" w:hAnsi="Times New Roman" w:cs="Times New Roman"/>
        </w:rPr>
        <w:t xml:space="preserve">zajištění dodávky dodavatelem poslední instance. Vlivem novely energetického zákona zákonem </w:t>
      </w:r>
      <w:r w:rsidRPr="00B72BC3">
        <w:rPr>
          <w:rFonts w:ascii="Times New Roman" w:hAnsi="Times New Roman" w:cs="Times New Roman"/>
        </w:rPr>
        <w:t>č.</w:t>
      </w:r>
      <w:r w:rsidR="00E3046B">
        <w:rPr>
          <w:rFonts w:ascii="Times New Roman" w:hAnsi="Times New Roman" w:cs="Times New Roman"/>
        </w:rPr>
        <w:t xml:space="preserve"> </w:t>
      </w:r>
      <w:r w:rsidRPr="00B72BC3">
        <w:rPr>
          <w:rFonts w:ascii="Times New Roman" w:hAnsi="Times New Roman" w:cs="Times New Roman"/>
        </w:rPr>
        <w:t>232/2022 Sb.</w:t>
      </w:r>
      <w:r>
        <w:rPr>
          <w:rFonts w:ascii="Times New Roman" w:hAnsi="Times New Roman" w:cs="Times New Roman"/>
        </w:rPr>
        <w:t xml:space="preserve"> se mění podmínky pro uplatnění institutu „dodávky poslední instance“. S ohledem na to je nutné zohlednit např. zavedení další podmínky pro umožnění dodávky DPI a to „pozbýt možnost dodávat“, změnu délky trvání režimu DPI u rozdílných kategorií účastníků trhu, nebo rozšíření účastníků trhu, na které se uplatní režim DPI. Energetický úřad je podle § </w:t>
      </w:r>
      <w:proofErr w:type="gramStart"/>
      <w:r>
        <w:rPr>
          <w:rFonts w:ascii="Times New Roman" w:hAnsi="Times New Roman" w:cs="Times New Roman"/>
        </w:rPr>
        <w:t>98a</w:t>
      </w:r>
      <w:proofErr w:type="gramEnd"/>
      <w:r>
        <w:rPr>
          <w:rFonts w:ascii="Times New Roman" w:hAnsi="Times New Roman" w:cs="Times New Roman"/>
        </w:rPr>
        <w:t xml:space="preserve"> </w:t>
      </w:r>
      <w:proofErr w:type="spellStart"/>
      <w:r>
        <w:rPr>
          <w:rFonts w:ascii="Times New Roman" w:hAnsi="Times New Roman" w:cs="Times New Roman"/>
        </w:rPr>
        <w:t>odst</w:t>
      </w:r>
      <w:proofErr w:type="spellEnd"/>
      <w:r>
        <w:rPr>
          <w:rFonts w:ascii="Times New Roman" w:hAnsi="Times New Roman" w:cs="Times New Roman"/>
        </w:rPr>
        <w:t>, 1 písm. h) bod 10. povinen postup při zajištění dodávky elektřiny dodavatelem poslední instance v novelizované vyhlášce upravit, přičemž postup musí být vždy v souladu se zákonnou úpravou. Uvedení postupu pro zajištění dodávky elektřiny dodavatelem poslední instance ve vyhlášce o PTE do souladu s energetickým zákonem je tak jediným možným řešením, zásah do této vyhlášky je tedy nezbytný.</w:t>
      </w:r>
    </w:p>
    <w:p w14:paraId="7A248336" w14:textId="0BAE3F5A" w:rsidR="00647F04" w:rsidRDefault="00451D1E" w:rsidP="00237AFE">
      <w:pPr>
        <w:pStyle w:val="Odstavecseseznamem"/>
        <w:numPr>
          <w:ilvl w:val="0"/>
          <w:numId w:val="4"/>
        </w:numPr>
        <w:jc w:val="both"/>
        <w:rPr>
          <w:rFonts w:ascii="Times New Roman" w:hAnsi="Times New Roman" w:cs="Times New Roman"/>
        </w:rPr>
      </w:pPr>
      <w:r>
        <w:rPr>
          <w:rFonts w:ascii="Times New Roman" w:hAnsi="Times New Roman" w:cs="Times New Roman"/>
        </w:rPr>
        <w:t xml:space="preserve">obstarávání regulační energie formou agregace různých forem výrobních zdrojů s možností poskytování regulační energie. Konkrétně se upravuje postup pro stanovení množství poskytnuté regulační energie subjektům zúčtování, kteří nesou odpovědnost za odchylku v předávacích místech odběrného místa, ve kterém je rovněž připojen zdroj poskytující podpůrnou službu. Hodnota množství se stanoví s ohledem na směr toku a v souladu s podmínkami pro poskytovatele služeb výkonové rovnováhy, které jsou schvalovány ERÚ v souladu </w:t>
      </w:r>
      <w:proofErr w:type="gramStart"/>
      <w:r>
        <w:rPr>
          <w:rFonts w:ascii="Times New Roman" w:hAnsi="Times New Roman" w:cs="Times New Roman"/>
        </w:rPr>
        <w:t>s</w:t>
      </w:r>
      <w:proofErr w:type="gramEnd"/>
      <w:r w:rsidRPr="001E7D40">
        <w:rPr>
          <w:rFonts w:ascii="Times New Roman" w:hAnsi="Times New Roman" w:cs="Times New Roman"/>
        </w:rPr>
        <w:t xml:space="preserve"> nařízení Evropské komise (EU) 2017/2195 ze dne 23. listopadu 2017, kterým se stanoví rámcový pokyn pro obchodní zajišťování výkonové rovnováhy v elektroenergetice</w:t>
      </w:r>
      <w:r>
        <w:rPr>
          <w:rFonts w:ascii="Times New Roman" w:hAnsi="Times New Roman" w:cs="Times New Roman"/>
        </w:rPr>
        <w:t>.</w:t>
      </w:r>
      <w:r w:rsidR="00647F04">
        <w:rPr>
          <w:rFonts w:ascii="Times New Roman" w:hAnsi="Times New Roman" w:cs="Times New Roman"/>
        </w:rPr>
        <w:t xml:space="preserve"> Cílem této úprav</w:t>
      </w:r>
      <w:r w:rsidR="007C0053">
        <w:rPr>
          <w:rFonts w:ascii="Times New Roman" w:hAnsi="Times New Roman" w:cs="Times New Roman"/>
        </w:rPr>
        <w:t>y</w:t>
      </w:r>
      <w:r w:rsidR="00647F04">
        <w:rPr>
          <w:rFonts w:ascii="Times New Roman" w:hAnsi="Times New Roman" w:cs="Times New Roman"/>
        </w:rPr>
        <w:t xml:space="preserve"> je umožnit primárně menším vnořeným zdrojům v odběrných místech připojených na hladině vysokého napětí poskytovat službu výkonové rovnováhy. Provozovatel přenosové soustavy bude mít možnost využívat širší portfolio zdrojů, pomocí nichž bude zajištěna stabilita a bezpečnost v soustavě. </w:t>
      </w:r>
      <w:r>
        <w:rPr>
          <w:rFonts w:ascii="Times New Roman" w:hAnsi="Times New Roman" w:cs="Times New Roman"/>
        </w:rPr>
        <w:t xml:space="preserve"> </w:t>
      </w:r>
    </w:p>
    <w:p w14:paraId="298AD818" w14:textId="77777777" w:rsidR="00647F04" w:rsidRDefault="00647F04" w:rsidP="00237AFE">
      <w:pPr>
        <w:pStyle w:val="Odstavecseseznamem"/>
        <w:jc w:val="both"/>
        <w:rPr>
          <w:rFonts w:ascii="Times New Roman" w:hAnsi="Times New Roman" w:cs="Times New Roman"/>
        </w:rPr>
      </w:pPr>
    </w:p>
    <w:p w14:paraId="25C00DC4" w14:textId="23A0D9E1" w:rsidR="00451D1E" w:rsidRDefault="00451D1E" w:rsidP="00237AFE">
      <w:pPr>
        <w:pStyle w:val="Odstavecseseznamem"/>
        <w:jc w:val="both"/>
        <w:rPr>
          <w:rFonts w:ascii="Times New Roman" w:hAnsi="Times New Roman" w:cs="Times New Roman"/>
        </w:rPr>
      </w:pPr>
      <w:r>
        <w:rPr>
          <w:rFonts w:ascii="Times New Roman" w:hAnsi="Times New Roman" w:cs="Times New Roman"/>
        </w:rPr>
        <w:t xml:space="preserve">V této oblasti rovněž dochází </w:t>
      </w:r>
      <w:r w:rsidR="00647F04">
        <w:rPr>
          <w:rFonts w:ascii="Times New Roman" w:hAnsi="Times New Roman" w:cs="Times New Roman"/>
        </w:rPr>
        <w:t>k</w:t>
      </w:r>
      <w:r>
        <w:rPr>
          <w:rFonts w:ascii="Times New Roman" w:hAnsi="Times New Roman" w:cs="Times New Roman"/>
        </w:rPr>
        <w:t xml:space="preserve">e zpřesnění rozlišení obstarávané energie pro řešení stavu nerovnováhy a dopad do vyhodnocení odchylky. Energetický regulační úřad je podle § </w:t>
      </w:r>
      <w:proofErr w:type="gramStart"/>
      <w:r>
        <w:rPr>
          <w:rFonts w:ascii="Times New Roman" w:hAnsi="Times New Roman" w:cs="Times New Roman"/>
        </w:rPr>
        <w:t>98a</w:t>
      </w:r>
      <w:proofErr w:type="gramEnd"/>
      <w:r>
        <w:rPr>
          <w:rFonts w:ascii="Times New Roman" w:hAnsi="Times New Roman" w:cs="Times New Roman"/>
        </w:rPr>
        <w:t xml:space="preserve"> odst. 2 písm. h) bod 5 povinen stanovit postup pro zajišťování regulační energie. Smyslem navrhované úpravy je blíže specifikovat formy regulační energie, které provozovatel přenosové soustavy využívá k zajištění stability v přenosové soustavě ve specifických situacích a současně zpřesnit postup způsobu uplatnění obstaraného množstvím energie v rámci vypořádání odchylek. </w:t>
      </w:r>
    </w:p>
    <w:p w14:paraId="53DCE4C7" w14:textId="769B00E4" w:rsidR="00451D1E" w:rsidRDefault="00451D1E" w:rsidP="00237AFE">
      <w:pPr>
        <w:pStyle w:val="Odstavecseseznamem"/>
        <w:numPr>
          <w:ilvl w:val="0"/>
          <w:numId w:val="4"/>
        </w:numPr>
        <w:jc w:val="both"/>
        <w:rPr>
          <w:rFonts w:ascii="Times New Roman" w:hAnsi="Times New Roman" w:cs="Times New Roman"/>
        </w:rPr>
      </w:pPr>
      <w:r>
        <w:rPr>
          <w:rFonts w:ascii="Times New Roman" w:hAnsi="Times New Roman" w:cs="Times New Roman"/>
        </w:rPr>
        <w:t xml:space="preserve">uzavření smlouvy o zajištění služby přenosové nebo distribuční soustavy, kde se rozšiřují podmínky, za kterých může provozovatel přenosové nebo distribuční soustavy odmítnout žádost o uzavření smlouvy o zajištění služby přenosové nebo distribuční soustavy. Konkrétně se doplňují podmínky o případy, kdy v žádosti nejsou uvedeny identifikační údaje o účastníkovi trhu. Tímto se reaguje na dosavadní praxi, která se v nedávných měsících ukázala za nedostatečnou v oblasti přechodu zákazníku z režimu DPI, kdy </w:t>
      </w:r>
      <w:r w:rsidR="008672CF">
        <w:rPr>
          <w:rFonts w:ascii="Times New Roman" w:hAnsi="Times New Roman" w:cs="Times New Roman"/>
        </w:rPr>
        <w:t>bylo zjištěno</w:t>
      </w:r>
      <w:r>
        <w:rPr>
          <w:rFonts w:ascii="Times New Roman" w:hAnsi="Times New Roman" w:cs="Times New Roman"/>
        </w:rPr>
        <w:t>, že obchodníci neaktualizují údaje o svých zákaznících u provozovatelů soustav, čímž docházelo ke značným časovým průtahům při přechodu zákazníků z režimu dodávky DPI do režimu standardní dodávky. Tato navrhovaná úprava je nezbytná k zajištění plynulého fungování trhu a posílení jistoty a postavení zákazníků.</w:t>
      </w:r>
    </w:p>
    <w:p w14:paraId="5C41988F" w14:textId="3F27B3E4" w:rsidR="00451D1E" w:rsidRDefault="00451D1E" w:rsidP="00237AFE">
      <w:pPr>
        <w:pStyle w:val="Odstavecseseznamem"/>
        <w:numPr>
          <w:ilvl w:val="0"/>
          <w:numId w:val="4"/>
        </w:numPr>
        <w:jc w:val="both"/>
        <w:rPr>
          <w:rFonts w:ascii="Times New Roman" w:hAnsi="Times New Roman" w:cs="Times New Roman"/>
        </w:rPr>
      </w:pPr>
      <w:r>
        <w:rPr>
          <w:rFonts w:ascii="Times New Roman" w:hAnsi="Times New Roman" w:cs="Times New Roman"/>
        </w:rPr>
        <w:t xml:space="preserve">stanovení podmínek pro podání žádosti o zajištění služby přenosové nebo distribuční soustavy v provozu pro ověření technologie zákazníky, kde dochází ke zkrácení lhůty pro podání této žádosti před termínem zahájení provozu pro ověření technologie. Návrh úpravy vychází ze zjištění účastníků trhu (provozovatelů distribučních soustav), kdy v současnosti uplatňovaný postup je příliš svazující </w:t>
      </w:r>
      <w:r w:rsidR="008672CF">
        <w:rPr>
          <w:rFonts w:ascii="Times New Roman" w:hAnsi="Times New Roman" w:cs="Times New Roman"/>
        </w:rPr>
        <w:t>pro</w:t>
      </w:r>
      <w:r>
        <w:rPr>
          <w:rFonts w:ascii="Times New Roman" w:hAnsi="Times New Roman" w:cs="Times New Roman"/>
        </w:rPr>
        <w:t xml:space="preserve"> žadatele</w:t>
      </w:r>
      <w:r w:rsidR="008672CF">
        <w:rPr>
          <w:rFonts w:ascii="Times New Roman" w:hAnsi="Times New Roman" w:cs="Times New Roman"/>
        </w:rPr>
        <w:t xml:space="preserve"> a není nezbytně nutné takovou žádost podávat s takto širokým časovým předstihem. V řádě případů by mohlo docházet ke zpožďování různých projektů na straně žadatelů, proto je cílem postup zjednodušit tím, že se zkrátí doba pro podávání žádosti.</w:t>
      </w:r>
    </w:p>
    <w:p w14:paraId="51E419ED" w14:textId="77777777" w:rsidR="00451D1E" w:rsidRDefault="00451D1E" w:rsidP="00237AFE">
      <w:pPr>
        <w:jc w:val="both"/>
        <w:rPr>
          <w:rFonts w:ascii="Times New Roman" w:hAnsi="Times New Roman" w:cs="Times New Roman"/>
        </w:rPr>
      </w:pPr>
      <w:r>
        <w:rPr>
          <w:rFonts w:ascii="Times New Roman" w:hAnsi="Times New Roman" w:cs="Times New Roman"/>
        </w:rPr>
        <w:t>V ostatních oblastech vyhlášky, u kterých jsou prováděny změny, se jedná o formulační a významové zpřesnění příslušného postupu.</w:t>
      </w:r>
    </w:p>
    <w:p w14:paraId="0C0BBAC4" w14:textId="77777777" w:rsidR="000A3EA6" w:rsidRPr="000A3EA6" w:rsidRDefault="000A3EA6" w:rsidP="00237AFE">
      <w:pPr>
        <w:pStyle w:val="Odstavecseseznamem"/>
        <w:numPr>
          <w:ilvl w:val="1"/>
          <w:numId w:val="1"/>
        </w:numPr>
        <w:ind w:left="0" w:firstLine="0"/>
        <w:rPr>
          <w:rFonts w:ascii="Times New Roman" w:hAnsi="Times New Roman" w:cs="Times New Roman"/>
          <w:b/>
        </w:rPr>
      </w:pPr>
      <w:r w:rsidRPr="000A3EA6">
        <w:rPr>
          <w:rFonts w:ascii="Times New Roman" w:hAnsi="Times New Roman" w:cs="Times New Roman"/>
          <w:b/>
        </w:rPr>
        <w:t>Zhodnocení rizik</w:t>
      </w:r>
    </w:p>
    <w:p w14:paraId="1EDB73C5" w14:textId="241ADE42" w:rsidR="0009088E" w:rsidRDefault="0009088E" w:rsidP="00237AFE">
      <w:pPr>
        <w:jc w:val="both"/>
        <w:rPr>
          <w:rFonts w:ascii="Times New Roman" w:hAnsi="Times New Roman" w:cs="Times New Roman"/>
        </w:rPr>
      </w:pPr>
      <w:r w:rsidRPr="000A3EA6">
        <w:rPr>
          <w:rFonts w:ascii="Times New Roman" w:hAnsi="Times New Roman" w:cs="Times New Roman"/>
        </w:rPr>
        <w:t>Pokud by vyhláška nebyla novelizována a Energetický regulační úřad by neupravil vymezený okruh uvedených zm</w:t>
      </w:r>
      <w:r>
        <w:rPr>
          <w:rFonts w:ascii="Times New Roman" w:hAnsi="Times New Roman" w:cs="Times New Roman"/>
        </w:rPr>
        <w:t xml:space="preserve">ěn, vyhláška by nereagovala na požadavek zavést předávání informace o vyúčtování, přičemž neprovedení této změny by dále způsobilo neúplnou, a tedy nedostatečnou implementaci tohoto institutu, který je Česká republika povinna promítnout do své právní úpravy.  Vyhláška musí reagovat i na vnitrostátní předpisy, konkrétně zejména na změny spojené s institutem dodavatele poslední instance – bez aktualizace příslušných ustanovení by hrozilo znemožnění praktické aplikace nové zákonné úpravy a zvyšování právní nejistoty adresátů právní úpravy. Současně by vyhláška opomíjela aktuální turbulentní vývoj na trhu s elektřinou, pro který je řada provedených změn zcela klíčová a nezbytná, a to nejen pro další rozvoj a naplnění unijních cílů v oblasti rozvoje klimaticko-energetických cílů, ale i pro plynulé a bezproblémové fungování právních vztahů vznikajících na trhu s elektřinou. Pokud by nedošlo k implementaci úpravy sdílení elektřiny v bytových domech, byl by potenciál této skupiny (aktivních) zákazníků i existujících technologických řešení zcela nevyužit, což by znamenalo zbytečné brzdění rozvoje decentralizované energetiky a bránění ve využívání souvisejících výhod, které taková řešení přinášejí, skupinami koncových zákazníků. </w:t>
      </w:r>
    </w:p>
    <w:p w14:paraId="1CDEBA07" w14:textId="77777777" w:rsidR="00131BC5" w:rsidRDefault="000A3EA6" w:rsidP="00237AFE">
      <w:pPr>
        <w:pStyle w:val="Odstavecseseznamem"/>
        <w:numPr>
          <w:ilvl w:val="1"/>
          <w:numId w:val="9"/>
        </w:numPr>
        <w:ind w:left="0" w:firstLine="0"/>
        <w:jc w:val="both"/>
        <w:rPr>
          <w:rFonts w:ascii="Times New Roman" w:eastAsiaTheme="minorHAnsi" w:hAnsi="Times New Roman" w:cs="Times New Roman"/>
          <w:b/>
          <w:lang w:eastAsia="en-US"/>
        </w:rPr>
      </w:pPr>
      <w:r w:rsidRPr="000A3EA6">
        <w:rPr>
          <w:rFonts w:ascii="Times New Roman" w:eastAsiaTheme="minorHAnsi" w:hAnsi="Times New Roman" w:cs="Times New Roman"/>
          <w:b/>
          <w:lang w:eastAsia="en-US"/>
        </w:rPr>
        <w:t>Konzultace</w:t>
      </w:r>
    </w:p>
    <w:p w14:paraId="59D27A95" w14:textId="77777777" w:rsidR="00131BC5" w:rsidRDefault="00131BC5" w:rsidP="00237AFE">
      <w:pPr>
        <w:pStyle w:val="Odstavecseseznamem"/>
        <w:ind w:left="0"/>
        <w:jc w:val="both"/>
        <w:rPr>
          <w:rFonts w:ascii="Times New Roman" w:eastAsiaTheme="minorHAnsi" w:hAnsi="Times New Roman" w:cs="Times New Roman"/>
        </w:rPr>
      </w:pPr>
    </w:p>
    <w:p w14:paraId="41550C2F" w14:textId="2793528C" w:rsidR="00D94541" w:rsidRPr="00131BC5" w:rsidRDefault="00D94541" w:rsidP="00237AFE">
      <w:pPr>
        <w:pStyle w:val="Odstavecseseznamem"/>
        <w:ind w:left="0"/>
        <w:jc w:val="both"/>
        <w:rPr>
          <w:rFonts w:ascii="Times New Roman" w:eastAsiaTheme="minorHAnsi" w:hAnsi="Times New Roman" w:cs="Times New Roman"/>
          <w:b/>
          <w:lang w:eastAsia="en-US"/>
        </w:rPr>
      </w:pPr>
      <w:r w:rsidRPr="00131BC5">
        <w:rPr>
          <w:rFonts w:ascii="Times New Roman" w:eastAsiaTheme="minorHAnsi" w:hAnsi="Times New Roman" w:cs="Times New Roman"/>
        </w:rPr>
        <w:t xml:space="preserve">Podle § 17 odst. 3 energetického zákona Energetický regulační úřad postupuje tak, aby byla zajištěna transparentnost a předvídatelnost výkonu jeho pravomocí. Tato skutečnost je formálně podpořena existencí veřejného konzultačního procesu ve smyslu § 17e odst. 2 písm. b) energetického zákona, v </w:t>
      </w:r>
      <w:proofErr w:type="gramStart"/>
      <w:r w:rsidRPr="00131BC5">
        <w:rPr>
          <w:rFonts w:ascii="Times New Roman" w:eastAsiaTheme="minorHAnsi" w:hAnsi="Times New Roman" w:cs="Times New Roman"/>
        </w:rPr>
        <w:t>rámci</w:t>
      </w:r>
      <w:proofErr w:type="gramEnd"/>
      <w:r w:rsidRPr="00131BC5">
        <w:rPr>
          <w:rFonts w:ascii="Times New Roman" w:eastAsiaTheme="minorHAnsi" w:hAnsi="Times New Roman" w:cs="Times New Roman"/>
        </w:rPr>
        <w:t xml:space="preserve"> kterého je Energetický regulační úřad při výkonu své působnosti povinen konzultovat návrhy prováděcích právních předpisů v oblasti jeho působnosti – a to s každým subjektem, jehož oprávněné zájmy jsou návrhem právního předpisu dotčeny.</w:t>
      </w:r>
    </w:p>
    <w:p w14:paraId="19D81467" w14:textId="59D451DA" w:rsidR="00941BA9" w:rsidRPr="000C2204" w:rsidRDefault="00941BA9"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r w:rsidRPr="000C2204">
        <w:rPr>
          <w:rFonts w:ascii="Times New Roman" w:eastAsiaTheme="minorHAnsi" w:hAnsi="Times New Roman" w:cs="Times New Roman"/>
          <w:b w:val="0"/>
          <w:bCs w:val="0"/>
          <w:color w:val="auto"/>
          <w:sz w:val="22"/>
          <w:szCs w:val="22"/>
        </w:rPr>
        <w:t xml:space="preserve">Jakákoliv změna vyhlášky o Pravidlech trhu s elektřinou má praktické dopady do fungování trhu s elektřinou v ČR, a z tohoto důvodu před její připravovanou novelou probíhají </w:t>
      </w:r>
      <w:r w:rsidR="005A3992" w:rsidRPr="000C2204">
        <w:rPr>
          <w:rFonts w:ascii="Times New Roman" w:eastAsiaTheme="minorHAnsi" w:hAnsi="Times New Roman" w:cs="Times New Roman"/>
          <w:b w:val="0"/>
          <w:bCs w:val="0"/>
          <w:color w:val="auto"/>
          <w:sz w:val="22"/>
          <w:szCs w:val="22"/>
        </w:rPr>
        <w:t>četné konzultace</w:t>
      </w:r>
      <w:r w:rsidR="000C2204" w:rsidRPr="000C2204">
        <w:rPr>
          <w:rFonts w:ascii="Times New Roman" w:eastAsiaTheme="minorHAnsi" w:hAnsi="Times New Roman" w:cs="Times New Roman"/>
          <w:b w:val="0"/>
          <w:bCs w:val="0"/>
          <w:color w:val="auto"/>
          <w:sz w:val="22"/>
          <w:szCs w:val="22"/>
        </w:rPr>
        <w:t xml:space="preserve"> se zástupci dotčených účastník</w:t>
      </w:r>
      <w:r w:rsidR="001D084A">
        <w:rPr>
          <w:rFonts w:ascii="Times New Roman" w:eastAsiaTheme="minorHAnsi" w:hAnsi="Times New Roman" w:cs="Times New Roman"/>
          <w:b w:val="0"/>
          <w:bCs w:val="0"/>
          <w:color w:val="auto"/>
          <w:sz w:val="22"/>
          <w:szCs w:val="22"/>
        </w:rPr>
        <w:t>ů</w:t>
      </w:r>
      <w:r w:rsidR="005A3992" w:rsidRPr="000C2204">
        <w:rPr>
          <w:rFonts w:ascii="Times New Roman" w:eastAsiaTheme="minorHAnsi" w:hAnsi="Times New Roman" w:cs="Times New Roman"/>
          <w:b w:val="0"/>
          <w:bCs w:val="0"/>
          <w:color w:val="auto"/>
          <w:sz w:val="22"/>
          <w:szCs w:val="22"/>
        </w:rPr>
        <w:t xml:space="preserve"> trhu a konzultují se dopady jednotlivých navrhovaných změn. </w:t>
      </w:r>
    </w:p>
    <w:p w14:paraId="0DC1FE52" w14:textId="1FB5460E" w:rsidR="005A3992" w:rsidRPr="000C2204" w:rsidRDefault="005A3992"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r w:rsidRPr="000C2204">
        <w:rPr>
          <w:rFonts w:ascii="Times New Roman" w:eastAsiaTheme="minorHAnsi" w:hAnsi="Times New Roman" w:cs="Times New Roman"/>
          <w:b w:val="0"/>
          <w:bCs w:val="0"/>
          <w:color w:val="auto"/>
          <w:sz w:val="22"/>
          <w:szCs w:val="22"/>
        </w:rPr>
        <w:t>Navrhovaná právní úprava byla jednak předmětem četných konzultací</w:t>
      </w:r>
      <w:r w:rsidR="00844857">
        <w:rPr>
          <w:rFonts w:ascii="Times New Roman" w:eastAsiaTheme="minorHAnsi" w:hAnsi="Times New Roman" w:cs="Times New Roman"/>
          <w:b w:val="0"/>
          <w:bCs w:val="0"/>
          <w:color w:val="auto"/>
          <w:sz w:val="22"/>
          <w:szCs w:val="22"/>
        </w:rPr>
        <w:t xml:space="preserve"> v rámci</w:t>
      </w:r>
      <w:r w:rsidRPr="000C2204">
        <w:rPr>
          <w:rFonts w:ascii="Times New Roman" w:eastAsiaTheme="minorHAnsi" w:hAnsi="Times New Roman" w:cs="Times New Roman"/>
          <w:b w:val="0"/>
          <w:bCs w:val="0"/>
          <w:color w:val="auto"/>
          <w:sz w:val="22"/>
          <w:szCs w:val="22"/>
        </w:rPr>
        <w:t xml:space="preserve"> pracovních skupin složených ze zástupců Úřadu a účastníků trhu,</w:t>
      </w:r>
      <w:r w:rsidR="00844857">
        <w:rPr>
          <w:rFonts w:ascii="Times New Roman" w:eastAsiaTheme="minorHAnsi" w:hAnsi="Times New Roman" w:cs="Times New Roman"/>
          <w:b w:val="0"/>
          <w:bCs w:val="0"/>
          <w:color w:val="auto"/>
          <w:sz w:val="22"/>
          <w:szCs w:val="22"/>
        </w:rPr>
        <w:t xml:space="preserve"> </w:t>
      </w:r>
      <w:r w:rsidRPr="000C2204">
        <w:rPr>
          <w:rFonts w:ascii="Times New Roman" w:eastAsiaTheme="minorHAnsi" w:hAnsi="Times New Roman" w:cs="Times New Roman"/>
          <w:b w:val="0"/>
          <w:bCs w:val="0"/>
          <w:color w:val="auto"/>
          <w:sz w:val="22"/>
          <w:szCs w:val="22"/>
        </w:rPr>
        <w:t>předložený návrh</w:t>
      </w:r>
      <w:r w:rsidR="001D084A">
        <w:rPr>
          <w:rFonts w:ascii="Times New Roman" w:eastAsiaTheme="minorHAnsi" w:hAnsi="Times New Roman" w:cs="Times New Roman"/>
          <w:b w:val="0"/>
          <w:bCs w:val="0"/>
          <w:color w:val="auto"/>
          <w:sz w:val="22"/>
          <w:szCs w:val="22"/>
        </w:rPr>
        <w:t xml:space="preserve"> je rovněž</w:t>
      </w:r>
      <w:r w:rsidRPr="000C2204">
        <w:rPr>
          <w:rFonts w:ascii="Times New Roman" w:eastAsiaTheme="minorHAnsi" w:hAnsi="Times New Roman" w:cs="Times New Roman"/>
          <w:b w:val="0"/>
          <w:bCs w:val="0"/>
          <w:color w:val="auto"/>
          <w:sz w:val="22"/>
          <w:szCs w:val="22"/>
        </w:rPr>
        <w:t xml:space="preserve"> konzultován v rámci veřejného konzultačního procesu podle § 17e odst. 2 písm. b) energetického zákona.</w:t>
      </w:r>
    </w:p>
    <w:p w14:paraId="6E68E5E1" w14:textId="77777777" w:rsidR="000A3EA6" w:rsidRPr="000A3EA6" w:rsidRDefault="000A3EA6" w:rsidP="00237AFE">
      <w:pPr>
        <w:pStyle w:val="Nadpis2-zvren"/>
        <w:numPr>
          <w:ilvl w:val="0"/>
          <w:numId w:val="0"/>
        </w:numPr>
        <w:spacing w:line="276" w:lineRule="auto"/>
        <w:ind w:left="360" w:hanging="360"/>
        <w:rPr>
          <w:rFonts w:ascii="Times New Roman" w:eastAsiaTheme="minorHAnsi" w:hAnsi="Times New Roman" w:cs="Times New Roman"/>
          <w:b w:val="0"/>
          <w:bCs w:val="0"/>
          <w:color w:val="auto"/>
          <w:sz w:val="22"/>
          <w:szCs w:val="22"/>
          <w:u w:val="single"/>
        </w:rPr>
      </w:pPr>
      <w:r w:rsidRPr="000A3EA6">
        <w:rPr>
          <w:rFonts w:ascii="Times New Roman" w:eastAsiaTheme="minorHAnsi" w:hAnsi="Times New Roman" w:cs="Times New Roman"/>
          <w:b w:val="0"/>
          <w:bCs w:val="0"/>
          <w:color w:val="auto"/>
          <w:sz w:val="22"/>
          <w:szCs w:val="22"/>
          <w:u w:val="single"/>
        </w:rPr>
        <w:t>Pracovní skupiny:</w:t>
      </w:r>
    </w:p>
    <w:p w14:paraId="6E68E5E2" w14:textId="77777777" w:rsidR="000A3EA6" w:rsidRDefault="000A3EA6"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r w:rsidRPr="000A3EA6">
        <w:rPr>
          <w:rFonts w:ascii="Times New Roman" w:eastAsiaTheme="minorHAnsi" w:hAnsi="Times New Roman" w:cs="Times New Roman"/>
          <w:b w:val="0"/>
          <w:bCs w:val="0"/>
          <w:color w:val="auto"/>
          <w:sz w:val="22"/>
          <w:szCs w:val="22"/>
        </w:rPr>
        <w:t>Přítomní zástupci představovali široké spektrum účastníků trhu s ele</w:t>
      </w:r>
      <w:r>
        <w:rPr>
          <w:rFonts w:ascii="Times New Roman" w:eastAsiaTheme="minorHAnsi" w:hAnsi="Times New Roman" w:cs="Times New Roman"/>
          <w:b w:val="0"/>
          <w:bCs w:val="0"/>
          <w:color w:val="auto"/>
          <w:sz w:val="22"/>
          <w:szCs w:val="22"/>
        </w:rPr>
        <w:t xml:space="preserve">ktřinou v ČR. Zastoupeni nebyli </w:t>
      </w:r>
      <w:r w:rsidRPr="000A3EA6">
        <w:rPr>
          <w:rFonts w:ascii="Times New Roman" w:eastAsiaTheme="minorHAnsi" w:hAnsi="Times New Roman" w:cs="Times New Roman"/>
          <w:b w:val="0"/>
          <w:bCs w:val="0"/>
          <w:color w:val="auto"/>
          <w:sz w:val="22"/>
          <w:szCs w:val="22"/>
        </w:rPr>
        <w:t>pouze koneční spotřebitelé, kteří však nemají, kromě Energetického regulačního úřadu, žádnou organizaci, která by systematicky na odborné úrovni hájila jejich zájmy.</w:t>
      </w:r>
    </w:p>
    <w:p w14:paraId="6E68E5E3" w14:textId="77777777" w:rsidR="000A3EA6" w:rsidRDefault="000A3EA6"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p>
    <w:tbl>
      <w:tblPr>
        <w:tblW w:w="8316" w:type="dxa"/>
        <w:jc w:val="center"/>
        <w:tblCellMar>
          <w:left w:w="70" w:type="dxa"/>
          <w:right w:w="70" w:type="dxa"/>
        </w:tblCellMar>
        <w:tblLook w:val="04A0" w:firstRow="1" w:lastRow="0" w:firstColumn="1" w:lastColumn="0" w:noHBand="0" w:noVBand="1"/>
      </w:tblPr>
      <w:tblGrid>
        <w:gridCol w:w="1220"/>
        <w:gridCol w:w="7096"/>
      </w:tblGrid>
      <w:tr w:rsidR="000A3EA6" w:rsidRPr="009D5954" w14:paraId="6E68E5E5" w14:textId="77777777" w:rsidTr="001E2A83">
        <w:trPr>
          <w:trHeight w:val="725"/>
          <w:jc w:val="center"/>
        </w:trPr>
        <w:tc>
          <w:tcPr>
            <w:tcW w:w="831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E68E5E4" w14:textId="77777777" w:rsidR="000A3EA6" w:rsidRPr="0035599F" w:rsidRDefault="000A3EA6" w:rsidP="00237AFE">
            <w:pPr>
              <w:jc w:val="center"/>
              <w:rPr>
                <w:rFonts w:ascii="Times New Roman" w:hAnsi="Times New Roman" w:cs="Times New Roman"/>
              </w:rPr>
            </w:pPr>
            <w:r w:rsidRPr="0035599F">
              <w:rPr>
                <w:rFonts w:ascii="Times New Roman" w:hAnsi="Times New Roman" w:cs="Times New Roman"/>
              </w:rPr>
              <w:t>Přehled pracovních jednání ERÚ s dotčenými subjekty</w:t>
            </w:r>
          </w:p>
        </w:tc>
      </w:tr>
      <w:tr w:rsidR="000A3EA6" w:rsidRPr="009D5954" w14:paraId="6E68E5E8" w14:textId="77777777" w:rsidTr="001E2A83">
        <w:trPr>
          <w:trHeight w:val="28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14:paraId="6E68E5E6" w14:textId="77777777" w:rsidR="000A3EA6" w:rsidRPr="0035599F" w:rsidRDefault="000A3EA6" w:rsidP="00237AFE">
            <w:pPr>
              <w:spacing w:after="0"/>
              <w:rPr>
                <w:rFonts w:ascii="Times New Roman" w:hAnsi="Times New Roman" w:cs="Times New Roman"/>
              </w:rPr>
            </w:pPr>
          </w:p>
        </w:tc>
        <w:tc>
          <w:tcPr>
            <w:tcW w:w="7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E5E7" w14:textId="44FEB0C1" w:rsidR="000A3EA6" w:rsidRPr="0035599F" w:rsidRDefault="000A3EA6" w:rsidP="00237AFE">
            <w:pPr>
              <w:spacing w:after="0"/>
              <w:rPr>
                <w:rFonts w:ascii="Times New Roman" w:hAnsi="Times New Roman" w:cs="Times New Roman"/>
              </w:rPr>
            </w:pPr>
            <w:r w:rsidRPr="0035599F">
              <w:rPr>
                <w:rFonts w:ascii="Times New Roman" w:hAnsi="Times New Roman" w:cs="Times New Roman"/>
              </w:rPr>
              <w:t xml:space="preserve">Základní principy </w:t>
            </w:r>
            <w:r w:rsidR="000C6E4E">
              <w:rPr>
                <w:rFonts w:ascii="Times New Roman" w:hAnsi="Times New Roman" w:cs="Times New Roman"/>
              </w:rPr>
              <w:t>modelu sdílení vyrobené elektřiny v bytových domech</w:t>
            </w:r>
          </w:p>
        </w:tc>
      </w:tr>
      <w:tr w:rsidR="000A3EA6" w:rsidRPr="009D5954" w14:paraId="6E68E5ED"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5E9" w14:textId="56C200C8" w:rsidR="000A3EA6" w:rsidRPr="0035599F" w:rsidRDefault="00844857" w:rsidP="00237AFE">
            <w:pPr>
              <w:spacing w:after="0"/>
              <w:rPr>
                <w:rFonts w:ascii="Times New Roman" w:hAnsi="Times New Roman" w:cs="Times New Roman"/>
              </w:rPr>
            </w:pPr>
            <w:r>
              <w:rPr>
                <w:rFonts w:ascii="Times New Roman" w:hAnsi="Times New Roman" w:cs="Times New Roman"/>
              </w:rPr>
              <w:t>4</w:t>
            </w:r>
            <w:r w:rsidR="000A3EA6" w:rsidRPr="0035599F">
              <w:rPr>
                <w:rFonts w:ascii="Times New Roman" w:hAnsi="Times New Roman" w:cs="Times New Roman"/>
              </w:rPr>
              <w:t xml:space="preserve">. </w:t>
            </w:r>
            <w:r>
              <w:rPr>
                <w:rFonts w:ascii="Times New Roman" w:hAnsi="Times New Roman" w:cs="Times New Roman"/>
              </w:rPr>
              <w:t>3</w:t>
            </w:r>
            <w:r w:rsidR="000A3EA6" w:rsidRPr="0035599F">
              <w:rPr>
                <w:rFonts w:ascii="Times New Roman" w:hAnsi="Times New Roman" w:cs="Times New Roman"/>
              </w:rPr>
              <w:t xml:space="preserve">. </w:t>
            </w:r>
            <w:r w:rsidR="006F50D8" w:rsidRPr="0035599F">
              <w:rPr>
                <w:rFonts w:ascii="Times New Roman" w:hAnsi="Times New Roman" w:cs="Times New Roman"/>
              </w:rPr>
              <w:t>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6E68E5EA" w14:textId="77777777" w:rsidR="000A3EA6" w:rsidRPr="0035599F" w:rsidRDefault="000A3EA6"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6E68E5EB" w14:textId="084D3DB6" w:rsidR="000A3EA6"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A3EA6" w:rsidRPr="0035599F">
              <w:rPr>
                <w:rFonts w:ascii="Times New Roman" w:eastAsiaTheme="minorHAnsi" w:hAnsi="Times New Roman" w:cs="Times New Roman"/>
                <w:lang w:eastAsia="en-US"/>
              </w:rPr>
              <w:t xml:space="preserve">, a.s.; </w:t>
            </w:r>
            <w:proofErr w:type="spellStart"/>
            <w:r w:rsidR="000A3EA6" w:rsidRPr="0035599F">
              <w:rPr>
                <w:rFonts w:ascii="Times New Roman" w:eastAsiaTheme="minorHAnsi" w:hAnsi="Times New Roman" w:cs="Times New Roman"/>
                <w:lang w:eastAsia="en-US"/>
              </w:rPr>
              <w:t>PREdistribuce</w:t>
            </w:r>
            <w:proofErr w:type="spellEnd"/>
            <w:r w:rsidR="000A3EA6" w:rsidRPr="0035599F">
              <w:rPr>
                <w:rFonts w:ascii="Times New Roman" w:eastAsiaTheme="minorHAnsi" w:hAnsi="Times New Roman" w:cs="Times New Roman"/>
                <w:lang w:eastAsia="en-US"/>
              </w:rPr>
              <w:t>, a.s.; ČEZ Distribuce, a.s.</w:t>
            </w:r>
          </w:p>
          <w:p w14:paraId="6E68E5EC" w14:textId="77777777" w:rsidR="006F50D8" w:rsidRPr="0035599F" w:rsidRDefault="006F50D8" w:rsidP="00237AFE">
            <w:pPr>
              <w:spacing w:after="0"/>
              <w:rPr>
                <w:rFonts w:ascii="Times New Roman" w:hAnsi="Times New Roman" w:cs="Times New Roman"/>
              </w:rPr>
            </w:pPr>
            <w:r w:rsidRPr="0035599F">
              <w:rPr>
                <w:rFonts w:ascii="Times New Roman" w:hAnsi="Times New Roman" w:cs="Times New Roman"/>
              </w:rPr>
              <w:t>Operátor trhu společnost OTE</w:t>
            </w:r>
          </w:p>
        </w:tc>
      </w:tr>
      <w:tr w:rsidR="000A3EA6" w:rsidRPr="009D5954" w14:paraId="6E68E5F7"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5EE" w14:textId="7B2488C8" w:rsidR="000A3EA6" w:rsidRPr="0035599F" w:rsidRDefault="000C6E4E" w:rsidP="00237AFE">
            <w:pPr>
              <w:spacing w:after="0"/>
              <w:rPr>
                <w:rFonts w:ascii="Times New Roman" w:hAnsi="Times New Roman" w:cs="Times New Roman"/>
              </w:rPr>
            </w:pPr>
            <w:r>
              <w:rPr>
                <w:rFonts w:ascii="Times New Roman" w:hAnsi="Times New Roman" w:cs="Times New Roman"/>
              </w:rPr>
              <w:t>18</w:t>
            </w:r>
            <w:r w:rsidR="000A3EA6" w:rsidRPr="0035599F">
              <w:rPr>
                <w:rFonts w:ascii="Times New Roman" w:hAnsi="Times New Roman" w:cs="Times New Roman"/>
              </w:rPr>
              <w:t xml:space="preserve">. </w:t>
            </w:r>
            <w:r>
              <w:rPr>
                <w:rFonts w:ascii="Times New Roman" w:hAnsi="Times New Roman" w:cs="Times New Roman"/>
              </w:rPr>
              <w:t>3</w:t>
            </w:r>
            <w:r w:rsidR="000A3EA6" w:rsidRPr="0035599F">
              <w:rPr>
                <w:rFonts w:ascii="Times New Roman" w:hAnsi="Times New Roman" w:cs="Times New Roman"/>
              </w:rPr>
              <w:t xml:space="preserve">. </w:t>
            </w:r>
            <w:r w:rsidR="006F50D8" w:rsidRPr="0035599F">
              <w:rPr>
                <w:rFonts w:ascii="Times New Roman" w:hAnsi="Times New Roman" w:cs="Times New Roman"/>
              </w:rPr>
              <w:t>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12853E18"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1CABD68B" w14:textId="1645328E"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6E68E5F6" w14:textId="215E1E3D" w:rsidR="006F50D8"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w:t>
            </w:r>
          </w:p>
        </w:tc>
      </w:tr>
      <w:tr w:rsidR="000C6E4E" w:rsidRPr="009D5954" w14:paraId="78737DA8"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12C9541A" w14:textId="7C51BB11" w:rsidR="000C6E4E" w:rsidRDefault="000C6E4E" w:rsidP="00237AFE">
            <w:pPr>
              <w:spacing w:after="0"/>
              <w:rPr>
                <w:rFonts w:ascii="Times New Roman" w:hAnsi="Times New Roman" w:cs="Times New Roman"/>
              </w:rPr>
            </w:pPr>
            <w:r>
              <w:rPr>
                <w:rFonts w:ascii="Times New Roman" w:hAnsi="Times New Roman" w:cs="Times New Roman"/>
              </w:rPr>
              <w:t>7</w:t>
            </w:r>
            <w:r w:rsidRPr="0035599F">
              <w:rPr>
                <w:rFonts w:ascii="Times New Roman" w:hAnsi="Times New Roman" w:cs="Times New Roman"/>
              </w:rPr>
              <w:t xml:space="preserve">. </w:t>
            </w:r>
            <w:r>
              <w:rPr>
                <w:rFonts w:ascii="Times New Roman" w:hAnsi="Times New Roman" w:cs="Times New Roman"/>
              </w:rPr>
              <w:t>4</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04E77FFA"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402558E9" w14:textId="77B13757"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50AC2E27" w14:textId="73D0BA3C"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w:t>
            </w:r>
          </w:p>
        </w:tc>
      </w:tr>
      <w:tr w:rsidR="000C6E4E" w:rsidRPr="009D5954" w14:paraId="6E68E5FA"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5F8" w14:textId="77777777" w:rsidR="000C6E4E" w:rsidRPr="0035599F" w:rsidRDefault="000C6E4E" w:rsidP="00237AFE">
            <w:pPr>
              <w:spacing w:after="0"/>
              <w:rPr>
                <w:rFonts w:ascii="Times New Roman" w:hAnsi="Times New Roman" w:cs="Times New Roman"/>
              </w:rPr>
            </w:pPr>
          </w:p>
        </w:tc>
        <w:tc>
          <w:tcPr>
            <w:tcW w:w="7096" w:type="dxa"/>
            <w:tcBorders>
              <w:top w:val="nil"/>
              <w:left w:val="nil"/>
              <w:bottom w:val="single" w:sz="4" w:space="0" w:color="auto"/>
              <w:right w:val="single" w:sz="8" w:space="0" w:color="auto"/>
            </w:tcBorders>
            <w:shd w:val="clear" w:color="auto" w:fill="auto"/>
            <w:noWrap/>
            <w:vAlign w:val="bottom"/>
          </w:tcPr>
          <w:p w14:paraId="6E68E5F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K pracovnímu návrhu vyhlášky </w:t>
            </w:r>
          </w:p>
        </w:tc>
      </w:tr>
      <w:tr w:rsidR="000C6E4E" w:rsidRPr="009D5954" w14:paraId="6E68E604"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5FB" w14:textId="02749472" w:rsidR="000C6E4E" w:rsidRPr="0035599F" w:rsidRDefault="000C6E4E" w:rsidP="00237AFE">
            <w:pPr>
              <w:spacing w:after="0"/>
              <w:rPr>
                <w:rFonts w:ascii="Times New Roman" w:hAnsi="Times New Roman" w:cs="Times New Roman"/>
              </w:rPr>
            </w:pPr>
            <w:r>
              <w:rPr>
                <w:rFonts w:ascii="Times New Roman" w:hAnsi="Times New Roman" w:cs="Times New Roman"/>
              </w:rPr>
              <w:t>6</w:t>
            </w:r>
            <w:r w:rsidRPr="0035599F">
              <w:rPr>
                <w:rFonts w:ascii="Times New Roman" w:hAnsi="Times New Roman" w:cs="Times New Roman"/>
              </w:rPr>
              <w:t xml:space="preserve">. </w:t>
            </w:r>
            <w:r>
              <w:rPr>
                <w:rFonts w:ascii="Times New Roman" w:hAnsi="Times New Roman" w:cs="Times New Roman"/>
              </w:rPr>
              <w:t>4</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6E68E5FC"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6E68E5FD" w14:textId="64A508ED"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6E68E5FE"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6E68E5FF"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6E68E600"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6E68E601"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6E68E602"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1CE3ABFF"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5C602896"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51CFDE87"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3EED2EA3"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03" w14:textId="671EA96E"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0E"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605" w14:textId="392EE3BB" w:rsidR="000C6E4E" w:rsidRPr="0035599F" w:rsidRDefault="000C6E4E" w:rsidP="00237AFE">
            <w:pPr>
              <w:spacing w:after="0"/>
              <w:rPr>
                <w:rFonts w:ascii="Times New Roman" w:hAnsi="Times New Roman" w:cs="Times New Roman"/>
              </w:rPr>
            </w:pPr>
            <w:r>
              <w:rPr>
                <w:rFonts w:ascii="Times New Roman" w:hAnsi="Times New Roman" w:cs="Times New Roman"/>
              </w:rPr>
              <w:t>11</w:t>
            </w:r>
            <w:r w:rsidRPr="0035599F">
              <w:rPr>
                <w:rFonts w:ascii="Times New Roman" w:hAnsi="Times New Roman" w:cs="Times New Roman"/>
              </w:rPr>
              <w:t xml:space="preserve">. </w:t>
            </w:r>
            <w:r>
              <w:rPr>
                <w:rFonts w:ascii="Times New Roman" w:hAnsi="Times New Roman" w:cs="Times New Roman"/>
              </w:rPr>
              <w:t>4</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703C991E"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5FCB0710" w14:textId="2A5463E9"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0ADAD1B3"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07AB6E30"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56AED6B7"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0C701BED"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43EC06B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50CAC6D1"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0E3A1114"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64ADD4E0"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7BCC8072"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0D" w14:textId="6BEB11A1"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18"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60F" w14:textId="6F731D34" w:rsidR="000C6E4E" w:rsidRPr="0035599F" w:rsidRDefault="000C6E4E" w:rsidP="00237AFE">
            <w:pPr>
              <w:spacing w:after="0"/>
              <w:rPr>
                <w:rFonts w:ascii="Times New Roman" w:hAnsi="Times New Roman" w:cs="Times New Roman"/>
              </w:rPr>
            </w:pPr>
            <w:r>
              <w:rPr>
                <w:rFonts w:ascii="Times New Roman" w:hAnsi="Times New Roman" w:cs="Times New Roman"/>
              </w:rPr>
              <w:t>19</w:t>
            </w:r>
            <w:r w:rsidRPr="0035599F">
              <w:rPr>
                <w:rFonts w:ascii="Times New Roman" w:hAnsi="Times New Roman" w:cs="Times New Roman"/>
              </w:rPr>
              <w:t>. 4.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5B5A5537"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3383FE11" w14:textId="75B71A93"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69B698E8"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1D14E81B"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461915E5"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4B69D3F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35F5D2DF"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32A77F91"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5ED5AD40"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46644658"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0FEB6C7F"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17" w14:textId="65962CA8"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22"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619" w14:textId="396785E0"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1</w:t>
            </w:r>
            <w:r>
              <w:rPr>
                <w:rFonts w:ascii="Times New Roman" w:hAnsi="Times New Roman" w:cs="Times New Roman"/>
              </w:rPr>
              <w:t>3</w:t>
            </w:r>
            <w:r w:rsidRPr="0035599F">
              <w:rPr>
                <w:rFonts w:ascii="Times New Roman" w:hAnsi="Times New Roman" w:cs="Times New Roman"/>
              </w:rPr>
              <w:t xml:space="preserve">. </w:t>
            </w:r>
            <w:r>
              <w:rPr>
                <w:rFonts w:ascii="Times New Roman" w:hAnsi="Times New Roman" w:cs="Times New Roman"/>
              </w:rPr>
              <w:t>6</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1660BF40"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1895C70E" w14:textId="0C836A66"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45021E88"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7D5A14F4"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03E2D4C6"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3009546C"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70F87851"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072CA767"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571EC427"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5257ECAD"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121F80E4"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21" w14:textId="09101AF9"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2C"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623" w14:textId="55D11717" w:rsidR="000C6E4E" w:rsidRPr="0035599F" w:rsidRDefault="000C6E4E" w:rsidP="00237AFE">
            <w:pPr>
              <w:spacing w:after="0"/>
              <w:rPr>
                <w:rFonts w:ascii="Times New Roman" w:hAnsi="Times New Roman" w:cs="Times New Roman"/>
              </w:rPr>
            </w:pPr>
            <w:r>
              <w:rPr>
                <w:rFonts w:ascii="Times New Roman" w:hAnsi="Times New Roman" w:cs="Times New Roman"/>
              </w:rPr>
              <w:t>23</w:t>
            </w:r>
            <w:r w:rsidRPr="0035599F">
              <w:rPr>
                <w:rFonts w:ascii="Times New Roman" w:hAnsi="Times New Roman" w:cs="Times New Roman"/>
              </w:rPr>
              <w:t xml:space="preserve">. </w:t>
            </w:r>
            <w:r>
              <w:rPr>
                <w:rFonts w:ascii="Times New Roman" w:hAnsi="Times New Roman" w:cs="Times New Roman"/>
              </w:rPr>
              <w:t>6</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176D5DF5"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59BA2B89" w14:textId="28959250"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56251510"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67A5EF0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63D01F82"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4255A601"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6ACE3DCA"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05256EE4"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081BC1BA"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2BE3A615"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57673F3B"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2B" w14:textId="765CAE6F"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36" w14:textId="77777777" w:rsidTr="001E2A83">
        <w:trPr>
          <w:trHeight w:val="285"/>
          <w:jc w:val="center"/>
        </w:trPr>
        <w:tc>
          <w:tcPr>
            <w:tcW w:w="1220" w:type="dxa"/>
            <w:tcBorders>
              <w:top w:val="nil"/>
              <w:left w:val="single" w:sz="8" w:space="0" w:color="auto"/>
              <w:bottom w:val="single" w:sz="4" w:space="0" w:color="auto"/>
              <w:right w:val="single" w:sz="4" w:space="0" w:color="auto"/>
            </w:tcBorders>
            <w:shd w:val="clear" w:color="auto" w:fill="auto"/>
            <w:noWrap/>
          </w:tcPr>
          <w:p w14:paraId="6E68E62D" w14:textId="1499E388" w:rsidR="000C6E4E" w:rsidRPr="0035599F" w:rsidRDefault="000C6E4E" w:rsidP="00237AFE">
            <w:pPr>
              <w:spacing w:after="0"/>
              <w:rPr>
                <w:rFonts w:ascii="Times New Roman" w:hAnsi="Times New Roman" w:cs="Times New Roman"/>
              </w:rPr>
            </w:pPr>
            <w:r>
              <w:rPr>
                <w:rFonts w:ascii="Times New Roman" w:hAnsi="Times New Roman" w:cs="Times New Roman"/>
              </w:rPr>
              <w:t>19</w:t>
            </w:r>
            <w:r w:rsidRPr="0035599F">
              <w:rPr>
                <w:rFonts w:ascii="Times New Roman" w:hAnsi="Times New Roman" w:cs="Times New Roman"/>
              </w:rPr>
              <w:t xml:space="preserve">. </w:t>
            </w:r>
            <w:r>
              <w:rPr>
                <w:rFonts w:ascii="Times New Roman" w:hAnsi="Times New Roman" w:cs="Times New Roman"/>
              </w:rPr>
              <w:t>7</w:t>
            </w:r>
            <w:r w:rsidRPr="0035599F">
              <w:rPr>
                <w:rFonts w:ascii="Times New Roman" w:hAnsi="Times New Roman" w:cs="Times New Roman"/>
              </w:rPr>
              <w:t>. 20</w:t>
            </w:r>
            <w:r>
              <w:rPr>
                <w:rFonts w:ascii="Times New Roman" w:hAnsi="Times New Roman" w:cs="Times New Roman"/>
              </w:rPr>
              <w:t>22</w:t>
            </w:r>
          </w:p>
        </w:tc>
        <w:tc>
          <w:tcPr>
            <w:tcW w:w="7096" w:type="dxa"/>
            <w:tcBorders>
              <w:top w:val="nil"/>
              <w:left w:val="nil"/>
              <w:bottom w:val="single" w:sz="4" w:space="0" w:color="auto"/>
              <w:right w:val="single" w:sz="8" w:space="0" w:color="auto"/>
            </w:tcBorders>
            <w:shd w:val="clear" w:color="auto" w:fill="auto"/>
            <w:noWrap/>
            <w:vAlign w:val="bottom"/>
          </w:tcPr>
          <w:p w14:paraId="750621F5"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07519F74" w14:textId="0D1AD6F1" w:rsidR="000C6E4E"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0C6E4E" w:rsidRPr="0035599F">
              <w:rPr>
                <w:rFonts w:ascii="Times New Roman" w:eastAsiaTheme="minorHAnsi" w:hAnsi="Times New Roman" w:cs="Times New Roman"/>
                <w:lang w:eastAsia="en-US"/>
              </w:rPr>
              <w:t xml:space="preserve">, a.s.; </w:t>
            </w:r>
            <w:proofErr w:type="spellStart"/>
            <w:r w:rsidR="000C6E4E" w:rsidRPr="0035599F">
              <w:rPr>
                <w:rFonts w:ascii="Times New Roman" w:eastAsiaTheme="minorHAnsi" w:hAnsi="Times New Roman" w:cs="Times New Roman"/>
                <w:lang w:eastAsia="en-US"/>
              </w:rPr>
              <w:t>PREdistribuce</w:t>
            </w:r>
            <w:proofErr w:type="spellEnd"/>
            <w:r w:rsidR="000C6E4E" w:rsidRPr="0035599F">
              <w:rPr>
                <w:rFonts w:ascii="Times New Roman" w:eastAsiaTheme="minorHAnsi" w:hAnsi="Times New Roman" w:cs="Times New Roman"/>
                <w:lang w:eastAsia="en-US"/>
              </w:rPr>
              <w:t>, a.s.; ČEZ Distribuce, a.s.</w:t>
            </w:r>
          </w:p>
          <w:p w14:paraId="615EEAE6"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11665785"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1E383441"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6D39582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4BF7FFB9" w14:textId="77777777" w:rsidR="000C6E4E" w:rsidRPr="0035599F" w:rsidRDefault="000C6E4E"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041A4C87" w14:textId="77777777" w:rsidR="000C6E4E" w:rsidRDefault="000C6E4E" w:rsidP="00237AFE">
            <w:pPr>
              <w:spacing w:after="0"/>
              <w:rPr>
                <w:rFonts w:ascii="Times New Roman" w:hAnsi="Times New Roman" w:cs="Times New Roman"/>
              </w:rPr>
            </w:pPr>
            <w:r w:rsidRPr="0035599F">
              <w:rPr>
                <w:rFonts w:ascii="Times New Roman" w:hAnsi="Times New Roman" w:cs="Times New Roman"/>
              </w:rPr>
              <w:t>ČEZ, a.s., PRE, a.s., E.ON Energie, a.s.</w:t>
            </w:r>
          </w:p>
          <w:p w14:paraId="7FF6953B" w14:textId="77777777" w:rsidR="000C6E4E" w:rsidRDefault="000C6E4E" w:rsidP="00237AFE">
            <w:pPr>
              <w:spacing w:after="0"/>
              <w:rPr>
                <w:rFonts w:ascii="Times New Roman" w:hAnsi="Times New Roman" w:cs="Times New Roman"/>
              </w:rPr>
            </w:pPr>
            <w:r>
              <w:rPr>
                <w:rFonts w:ascii="Times New Roman" w:hAnsi="Times New Roman" w:cs="Times New Roman"/>
              </w:rPr>
              <w:t>Komora OZE</w:t>
            </w:r>
          </w:p>
          <w:p w14:paraId="31C7EF7F" w14:textId="77777777" w:rsidR="000C6E4E" w:rsidRDefault="000C6E4E" w:rsidP="00237AFE">
            <w:pPr>
              <w:spacing w:after="0"/>
              <w:rPr>
                <w:rFonts w:ascii="Times New Roman" w:hAnsi="Times New Roman" w:cs="Times New Roman"/>
              </w:rPr>
            </w:pPr>
            <w:r>
              <w:rPr>
                <w:rFonts w:ascii="Times New Roman" w:hAnsi="Times New Roman" w:cs="Times New Roman"/>
              </w:rPr>
              <w:t>Svaz velkých spotřebitelů</w:t>
            </w:r>
          </w:p>
          <w:p w14:paraId="5E3BA6BD" w14:textId="77777777" w:rsidR="000C6E4E" w:rsidRDefault="000C6E4E" w:rsidP="00237AFE">
            <w:pPr>
              <w:spacing w:after="0"/>
              <w:rPr>
                <w:rFonts w:ascii="Times New Roman" w:hAnsi="Times New Roman" w:cs="Times New Roman"/>
              </w:rPr>
            </w:pPr>
            <w:r>
              <w:rPr>
                <w:rFonts w:ascii="Times New Roman" w:hAnsi="Times New Roman" w:cs="Times New Roman"/>
              </w:rPr>
              <w:t>Hospodářská komora ČR</w:t>
            </w:r>
          </w:p>
          <w:p w14:paraId="6E68E635" w14:textId="0E9CFF24" w:rsidR="000C6E4E" w:rsidRPr="0035599F" w:rsidRDefault="000C6E4E"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40" w14:textId="77777777" w:rsidTr="001E2A83">
        <w:trPr>
          <w:trHeight w:val="285"/>
          <w:jc w:val="center"/>
        </w:trPr>
        <w:tc>
          <w:tcPr>
            <w:tcW w:w="1220" w:type="dxa"/>
            <w:tcBorders>
              <w:top w:val="single" w:sz="4" w:space="0" w:color="auto"/>
              <w:left w:val="single" w:sz="8" w:space="0" w:color="auto"/>
              <w:bottom w:val="single" w:sz="4" w:space="0" w:color="auto"/>
              <w:right w:val="single" w:sz="4" w:space="0" w:color="auto"/>
            </w:tcBorders>
            <w:shd w:val="clear" w:color="auto" w:fill="auto"/>
            <w:noWrap/>
          </w:tcPr>
          <w:p w14:paraId="6E68E637" w14:textId="3E0AB060" w:rsidR="000C6E4E" w:rsidRPr="0035599F" w:rsidRDefault="009F6154" w:rsidP="00237AFE">
            <w:pPr>
              <w:spacing w:after="0"/>
              <w:rPr>
                <w:rFonts w:ascii="Times New Roman" w:hAnsi="Times New Roman" w:cs="Times New Roman"/>
              </w:rPr>
            </w:pPr>
            <w:r>
              <w:rPr>
                <w:rFonts w:ascii="Times New Roman" w:hAnsi="Times New Roman" w:cs="Times New Roman"/>
              </w:rPr>
              <w:t>27</w:t>
            </w:r>
            <w:r w:rsidRPr="0035599F">
              <w:rPr>
                <w:rFonts w:ascii="Times New Roman" w:hAnsi="Times New Roman" w:cs="Times New Roman"/>
              </w:rPr>
              <w:t xml:space="preserve">. </w:t>
            </w:r>
            <w:r>
              <w:rPr>
                <w:rFonts w:ascii="Times New Roman" w:hAnsi="Times New Roman" w:cs="Times New Roman"/>
              </w:rPr>
              <w:t>7</w:t>
            </w:r>
            <w:r w:rsidRPr="0035599F">
              <w:rPr>
                <w:rFonts w:ascii="Times New Roman" w:hAnsi="Times New Roman" w:cs="Times New Roman"/>
              </w:rPr>
              <w:t>. 20</w:t>
            </w:r>
            <w:r>
              <w:rPr>
                <w:rFonts w:ascii="Times New Roman" w:hAnsi="Times New Roman" w:cs="Times New Roman"/>
              </w:rPr>
              <w:t>22</w:t>
            </w:r>
          </w:p>
        </w:tc>
        <w:tc>
          <w:tcPr>
            <w:tcW w:w="7096" w:type="dxa"/>
            <w:tcBorders>
              <w:top w:val="single" w:sz="4" w:space="0" w:color="auto"/>
              <w:left w:val="nil"/>
              <w:bottom w:val="single" w:sz="4" w:space="0" w:color="auto"/>
              <w:right w:val="single" w:sz="8" w:space="0" w:color="auto"/>
            </w:tcBorders>
            <w:shd w:val="clear" w:color="auto" w:fill="auto"/>
            <w:noWrap/>
            <w:vAlign w:val="bottom"/>
          </w:tcPr>
          <w:p w14:paraId="141E5B94"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6BABF3E9" w14:textId="08809991" w:rsidR="009F6154"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9F6154" w:rsidRPr="0035599F">
              <w:rPr>
                <w:rFonts w:ascii="Times New Roman" w:eastAsiaTheme="minorHAnsi" w:hAnsi="Times New Roman" w:cs="Times New Roman"/>
                <w:lang w:eastAsia="en-US"/>
              </w:rPr>
              <w:t xml:space="preserve">, a.s.; </w:t>
            </w:r>
            <w:proofErr w:type="spellStart"/>
            <w:r w:rsidR="009F6154" w:rsidRPr="0035599F">
              <w:rPr>
                <w:rFonts w:ascii="Times New Roman" w:eastAsiaTheme="minorHAnsi" w:hAnsi="Times New Roman" w:cs="Times New Roman"/>
                <w:lang w:eastAsia="en-US"/>
              </w:rPr>
              <w:t>PREdistribuce</w:t>
            </w:r>
            <w:proofErr w:type="spellEnd"/>
            <w:r w:rsidR="009F6154" w:rsidRPr="0035599F">
              <w:rPr>
                <w:rFonts w:ascii="Times New Roman" w:eastAsiaTheme="minorHAnsi" w:hAnsi="Times New Roman" w:cs="Times New Roman"/>
                <w:lang w:eastAsia="en-US"/>
              </w:rPr>
              <w:t>, a.s.; ČEZ Distribuce, a.s.</w:t>
            </w:r>
          </w:p>
          <w:p w14:paraId="3EB925DC"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5FEE3845"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50F1969E"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5F2C0649"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36FA0506"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309F7D3D" w14:textId="77777777" w:rsidR="009F6154" w:rsidRDefault="009F6154" w:rsidP="00237AFE">
            <w:pPr>
              <w:spacing w:after="0"/>
              <w:rPr>
                <w:rFonts w:ascii="Times New Roman" w:hAnsi="Times New Roman" w:cs="Times New Roman"/>
              </w:rPr>
            </w:pPr>
            <w:r w:rsidRPr="0035599F">
              <w:rPr>
                <w:rFonts w:ascii="Times New Roman" w:hAnsi="Times New Roman" w:cs="Times New Roman"/>
              </w:rPr>
              <w:t>ČEZ, a.s., PRE, a.s., E.ON Energie, a.s.</w:t>
            </w:r>
          </w:p>
          <w:p w14:paraId="719460A1" w14:textId="77777777" w:rsidR="009F6154" w:rsidRDefault="009F6154" w:rsidP="00237AFE">
            <w:pPr>
              <w:spacing w:after="0"/>
              <w:rPr>
                <w:rFonts w:ascii="Times New Roman" w:hAnsi="Times New Roman" w:cs="Times New Roman"/>
              </w:rPr>
            </w:pPr>
            <w:r>
              <w:rPr>
                <w:rFonts w:ascii="Times New Roman" w:hAnsi="Times New Roman" w:cs="Times New Roman"/>
              </w:rPr>
              <w:t>Komora OZE</w:t>
            </w:r>
          </w:p>
          <w:p w14:paraId="644BE7AA" w14:textId="77777777" w:rsidR="009F6154" w:rsidRDefault="009F6154" w:rsidP="00237AFE">
            <w:pPr>
              <w:spacing w:after="0"/>
              <w:rPr>
                <w:rFonts w:ascii="Times New Roman" w:hAnsi="Times New Roman" w:cs="Times New Roman"/>
              </w:rPr>
            </w:pPr>
            <w:r>
              <w:rPr>
                <w:rFonts w:ascii="Times New Roman" w:hAnsi="Times New Roman" w:cs="Times New Roman"/>
              </w:rPr>
              <w:t>Svaz velkých spotřebitelů</w:t>
            </w:r>
          </w:p>
          <w:p w14:paraId="4F03433E" w14:textId="77777777" w:rsidR="009F6154" w:rsidRDefault="009F6154" w:rsidP="00237AFE">
            <w:pPr>
              <w:spacing w:after="0"/>
              <w:rPr>
                <w:rFonts w:ascii="Times New Roman" w:hAnsi="Times New Roman" w:cs="Times New Roman"/>
              </w:rPr>
            </w:pPr>
            <w:r>
              <w:rPr>
                <w:rFonts w:ascii="Times New Roman" w:hAnsi="Times New Roman" w:cs="Times New Roman"/>
              </w:rPr>
              <w:t>Hospodářská komora ČR</w:t>
            </w:r>
          </w:p>
          <w:p w14:paraId="6E68E63F" w14:textId="4B377D3C" w:rsidR="000C6E4E" w:rsidRPr="0035599F" w:rsidRDefault="009F6154" w:rsidP="00237AFE">
            <w:pPr>
              <w:spacing w:after="0"/>
              <w:rPr>
                <w:rFonts w:ascii="Times New Roman" w:hAnsi="Times New Roman" w:cs="Times New Roman"/>
              </w:rPr>
            </w:pPr>
            <w:r>
              <w:rPr>
                <w:rFonts w:ascii="Times New Roman" w:hAnsi="Times New Roman" w:cs="Times New Roman"/>
              </w:rPr>
              <w:t>Svaz průmyslu a dopravy</w:t>
            </w:r>
          </w:p>
        </w:tc>
      </w:tr>
      <w:tr w:rsidR="000C6E4E" w:rsidRPr="009D5954" w14:paraId="6E68E64A" w14:textId="77777777" w:rsidTr="001E2A83">
        <w:trPr>
          <w:trHeight w:val="285"/>
          <w:jc w:val="center"/>
        </w:trPr>
        <w:tc>
          <w:tcPr>
            <w:tcW w:w="1220" w:type="dxa"/>
            <w:tcBorders>
              <w:top w:val="single" w:sz="4" w:space="0" w:color="auto"/>
              <w:left w:val="single" w:sz="8" w:space="0" w:color="auto"/>
              <w:bottom w:val="single" w:sz="4" w:space="0" w:color="auto"/>
              <w:right w:val="single" w:sz="4" w:space="0" w:color="auto"/>
            </w:tcBorders>
            <w:shd w:val="clear" w:color="auto" w:fill="auto"/>
            <w:noWrap/>
          </w:tcPr>
          <w:p w14:paraId="6E68E641" w14:textId="08F0D8EE" w:rsidR="000C6E4E" w:rsidRPr="0035599F" w:rsidRDefault="009F6154" w:rsidP="00237AFE">
            <w:pPr>
              <w:spacing w:after="0"/>
              <w:rPr>
                <w:rFonts w:ascii="Times New Roman" w:hAnsi="Times New Roman" w:cs="Times New Roman"/>
              </w:rPr>
            </w:pPr>
            <w:r>
              <w:rPr>
                <w:rFonts w:ascii="Times New Roman" w:hAnsi="Times New Roman" w:cs="Times New Roman"/>
              </w:rPr>
              <w:t>12. 8. 2022</w:t>
            </w:r>
          </w:p>
        </w:tc>
        <w:tc>
          <w:tcPr>
            <w:tcW w:w="7096" w:type="dxa"/>
            <w:tcBorders>
              <w:top w:val="single" w:sz="4" w:space="0" w:color="auto"/>
              <w:left w:val="nil"/>
              <w:bottom w:val="single" w:sz="4" w:space="0" w:color="auto"/>
              <w:right w:val="single" w:sz="8" w:space="0" w:color="auto"/>
            </w:tcBorders>
            <w:shd w:val="clear" w:color="auto" w:fill="auto"/>
            <w:noWrap/>
            <w:vAlign w:val="bottom"/>
          </w:tcPr>
          <w:p w14:paraId="025A256A"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 xml:space="preserve">Provozovatelé regionální distribuční soustavy: </w:t>
            </w:r>
          </w:p>
          <w:p w14:paraId="575A0CD4" w14:textId="4755BAEC" w:rsidR="009F6154" w:rsidRPr="0035599F" w:rsidRDefault="00C2115B" w:rsidP="00237AFE">
            <w:pPr>
              <w:pStyle w:val="Odstavecseseznamem"/>
              <w:numPr>
                <w:ilvl w:val="0"/>
                <w:numId w:val="10"/>
              </w:numPr>
              <w:spacing w:after="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EG.D</w:t>
            </w:r>
            <w:proofErr w:type="gramEnd"/>
            <w:r w:rsidR="009F6154" w:rsidRPr="0035599F">
              <w:rPr>
                <w:rFonts w:ascii="Times New Roman" w:eastAsiaTheme="minorHAnsi" w:hAnsi="Times New Roman" w:cs="Times New Roman"/>
                <w:lang w:eastAsia="en-US"/>
              </w:rPr>
              <w:t xml:space="preserve">, a.s.; </w:t>
            </w:r>
            <w:proofErr w:type="spellStart"/>
            <w:r w:rsidR="009F6154" w:rsidRPr="0035599F">
              <w:rPr>
                <w:rFonts w:ascii="Times New Roman" w:eastAsiaTheme="minorHAnsi" w:hAnsi="Times New Roman" w:cs="Times New Roman"/>
                <w:lang w:eastAsia="en-US"/>
              </w:rPr>
              <w:t>PREdistribuce</w:t>
            </w:r>
            <w:proofErr w:type="spellEnd"/>
            <w:r w:rsidR="009F6154" w:rsidRPr="0035599F">
              <w:rPr>
                <w:rFonts w:ascii="Times New Roman" w:eastAsiaTheme="minorHAnsi" w:hAnsi="Times New Roman" w:cs="Times New Roman"/>
                <w:lang w:eastAsia="en-US"/>
              </w:rPr>
              <w:t>, a.s.; ČEZ Distribuce, a.s.</w:t>
            </w:r>
          </w:p>
          <w:p w14:paraId="34AAF922"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Operátor trhu společnost OTE, a.s.</w:t>
            </w:r>
          </w:p>
          <w:p w14:paraId="1E246F36"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Provozovatel přenosové soustavy společnost ČEPS, a.s.</w:t>
            </w:r>
          </w:p>
          <w:p w14:paraId="76CB26A2"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Asociace nezávislých dodavatelů energie</w:t>
            </w:r>
          </w:p>
          <w:p w14:paraId="6A9601A5"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Česká asociace provozovatelů LDS</w:t>
            </w:r>
          </w:p>
          <w:p w14:paraId="17CA0D42" w14:textId="77777777" w:rsidR="009F6154" w:rsidRPr="0035599F" w:rsidRDefault="009F6154" w:rsidP="00237AFE">
            <w:pPr>
              <w:spacing w:after="0"/>
              <w:rPr>
                <w:rFonts w:ascii="Times New Roman" w:hAnsi="Times New Roman" w:cs="Times New Roman"/>
              </w:rPr>
            </w:pPr>
            <w:r w:rsidRPr="0035599F">
              <w:rPr>
                <w:rFonts w:ascii="Times New Roman" w:hAnsi="Times New Roman" w:cs="Times New Roman"/>
              </w:rPr>
              <w:t>Ministerstvo průmyslu a obchodu</w:t>
            </w:r>
          </w:p>
          <w:p w14:paraId="3D6B492F" w14:textId="77777777" w:rsidR="009F6154" w:rsidRDefault="009F6154" w:rsidP="00237AFE">
            <w:pPr>
              <w:spacing w:after="0"/>
              <w:rPr>
                <w:rFonts w:ascii="Times New Roman" w:hAnsi="Times New Roman" w:cs="Times New Roman"/>
              </w:rPr>
            </w:pPr>
            <w:r w:rsidRPr="0035599F">
              <w:rPr>
                <w:rFonts w:ascii="Times New Roman" w:hAnsi="Times New Roman" w:cs="Times New Roman"/>
              </w:rPr>
              <w:t>ČEZ, a.s., PRE, a.s., E.ON Energie, a.s.</w:t>
            </w:r>
          </w:p>
          <w:p w14:paraId="57E3705B" w14:textId="77777777" w:rsidR="009F6154" w:rsidRDefault="009F6154" w:rsidP="00237AFE">
            <w:pPr>
              <w:spacing w:after="0"/>
              <w:rPr>
                <w:rFonts w:ascii="Times New Roman" w:hAnsi="Times New Roman" w:cs="Times New Roman"/>
              </w:rPr>
            </w:pPr>
            <w:r>
              <w:rPr>
                <w:rFonts w:ascii="Times New Roman" w:hAnsi="Times New Roman" w:cs="Times New Roman"/>
              </w:rPr>
              <w:t>Komora OZE</w:t>
            </w:r>
          </w:p>
          <w:p w14:paraId="4B5A3C8F" w14:textId="77777777" w:rsidR="009F6154" w:rsidRDefault="009F6154" w:rsidP="00237AFE">
            <w:pPr>
              <w:spacing w:after="0"/>
              <w:rPr>
                <w:rFonts w:ascii="Times New Roman" w:hAnsi="Times New Roman" w:cs="Times New Roman"/>
              </w:rPr>
            </w:pPr>
            <w:r>
              <w:rPr>
                <w:rFonts w:ascii="Times New Roman" w:hAnsi="Times New Roman" w:cs="Times New Roman"/>
              </w:rPr>
              <w:t>Svaz velkých spotřebitelů</w:t>
            </w:r>
          </w:p>
          <w:p w14:paraId="5FD20A32" w14:textId="77777777" w:rsidR="009F6154" w:rsidRDefault="009F6154" w:rsidP="00237AFE">
            <w:pPr>
              <w:spacing w:after="0"/>
              <w:rPr>
                <w:rFonts w:ascii="Times New Roman" w:hAnsi="Times New Roman" w:cs="Times New Roman"/>
              </w:rPr>
            </w:pPr>
            <w:r>
              <w:rPr>
                <w:rFonts w:ascii="Times New Roman" w:hAnsi="Times New Roman" w:cs="Times New Roman"/>
              </w:rPr>
              <w:t>Hospodářská komora ČR</w:t>
            </w:r>
          </w:p>
          <w:p w14:paraId="6E68E649" w14:textId="17DE0E9C" w:rsidR="000C6E4E" w:rsidRPr="0035599F" w:rsidRDefault="009F6154" w:rsidP="00237AFE">
            <w:pPr>
              <w:spacing w:after="0"/>
              <w:rPr>
                <w:rFonts w:ascii="Times New Roman" w:hAnsi="Times New Roman" w:cs="Times New Roman"/>
              </w:rPr>
            </w:pPr>
            <w:r>
              <w:rPr>
                <w:rFonts w:ascii="Times New Roman" w:hAnsi="Times New Roman" w:cs="Times New Roman"/>
              </w:rPr>
              <w:t>Svaz průmyslu a dopravy</w:t>
            </w:r>
          </w:p>
        </w:tc>
      </w:tr>
    </w:tbl>
    <w:p w14:paraId="3A10C5E8" w14:textId="6A7D24BF" w:rsidR="00686751" w:rsidRPr="00337EFA" w:rsidRDefault="00686751"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r w:rsidRPr="008E6636">
        <w:rPr>
          <w:rFonts w:ascii="Times New Roman" w:eastAsiaTheme="minorHAnsi" w:hAnsi="Times New Roman" w:cs="Times New Roman"/>
          <w:b w:val="0"/>
          <w:bCs w:val="0"/>
          <w:color w:val="auto"/>
          <w:sz w:val="22"/>
          <w:szCs w:val="22"/>
        </w:rPr>
        <w:t>Další projednání návrhu vyhlášky probíhá v rámci veřejného konzultačního procesu, kde se mohou k návrhu vyhlášky vyjádřit všichni účastníci trhu jejichž zájmy jsou navrhovanými změnami dotčeni.</w:t>
      </w:r>
    </w:p>
    <w:p w14:paraId="6E68E65F" w14:textId="342C0823" w:rsidR="001E2A83" w:rsidRPr="001E2A83" w:rsidRDefault="001E2A83" w:rsidP="00237AFE">
      <w:pPr>
        <w:pStyle w:val="Nadpis2-zvren"/>
        <w:spacing w:line="276" w:lineRule="auto"/>
        <w:rPr>
          <w:rFonts w:ascii="Times New Roman" w:eastAsiaTheme="minorHAnsi" w:hAnsi="Times New Roman" w:cs="Times New Roman"/>
          <w:bCs w:val="0"/>
          <w:color w:val="auto"/>
        </w:rPr>
      </w:pPr>
      <w:r w:rsidRPr="001E2A83">
        <w:rPr>
          <w:rFonts w:ascii="Times New Roman" w:eastAsiaTheme="minorHAnsi" w:hAnsi="Times New Roman" w:cs="Times New Roman"/>
          <w:bCs w:val="0"/>
          <w:color w:val="auto"/>
        </w:rPr>
        <w:t>Návrh variant řešení</w:t>
      </w:r>
    </w:p>
    <w:p w14:paraId="6E68E660" w14:textId="77777777" w:rsidR="001E2A83" w:rsidRPr="001E2A83" w:rsidRDefault="001E2A83" w:rsidP="00237AFE">
      <w:pPr>
        <w:pStyle w:val="Nadpis2-zvren"/>
        <w:numPr>
          <w:ilvl w:val="1"/>
          <w:numId w:val="11"/>
        </w:numPr>
        <w:spacing w:line="276" w:lineRule="auto"/>
        <w:ind w:left="0" w:firstLine="0"/>
        <w:rPr>
          <w:rFonts w:ascii="Times New Roman" w:eastAsiaTheme="minorHAnsi" w:hAnsi="Times New Roman" w:cs="Times New Roman"/>
          <w:bCs w:val="0"/>
          <w:color w:val="auto"/>
          <w:sz w:val="20"/>
          <w:szCs w:val="20"/>
        </w:rPr>
      </w:pPr>
      <w:r w:rsidRPr="001E2A83">
        <w:rPr>
          <w:rFonts w:ascii="Times New Roman" w:eastAsiaTheme="minorHAnsi" w:hAnsi="Times New Roman" w:cs="Times New Roman"/>
          <w:bCs w:val="0"/>
          <w:color w:val="auto"/>
          <w:sz w:val="22"/>
          <w:szCs w:val="22"/>
        </w:rPr>
        <w:t>Konkrétní</w:t>
      </w:r>
      <w:r w:rsidR="00F56033">
        <w:rPr>
          <w:rFonts w:ascii="Times New Roman" w:eastAsiaTheme="minorHAnsi" w:hAnsi="Times New Roman" w:cs="Times New Roman"/>
          <w:bCs w:val="0"/>
          <w:color w:val="auto"/>
          <w:sz w:val="20"/>
          <w:szCs w:val="20"/>
        </w:rPr>
        <w:t xml:space="preserve"> </w:t>
      </w:r>
      <w:r w:rsidR="00F56033" w:rsidRPr="00337EFA">
        <w:rPr>
          <w:rFonts w:ascii="Times New Roman" w:eastAsiaTheme="minorHAnsi" w:hAnsi="Times New Roman" w:cs="Times New Roman"/>
          <w:bCs w:val="0"/>
          <w:color w:val="auto"/>
          <w:sz w:val="22"/>
          <w:szCs w:val="22"/>
        </w:rPr>
        <w:t>oblasti dle částí</w:t>
      </w:r>
    </w:p>
    <w:p w14:paraId="2F9E9F62" w14:textId="10510290" w:rsidR="007C2EA9" w:rsidRPr="00267767" w:rsidRDefault="001E2A83" w:rsidP="00237AFE">
      <w:pPr>
        <w:pStyle w:val="Nadpis3"/>
        <w:spacing w:after="120"/>
        <w:jc w:val="both"/>
        <w:rPr>
          <w:rFonts w:ascii="Times New Roman" w:eastAsiaTheme="minorHAnsi" w:hAnsi="Times New Roman" w:cs="Times New Roman"/>
          <w:bCs w:val="0"/>
          <w:color w:val="auto"/>
          <w:sz w:val="20"/>
          <w:szCs w:val="20"/>
        </w:rPr>
      </w:pPr>
      <w:r w:rsidRPr="00267767">
        <w:rPr>
          <w:rFonts w:ascii="Times New Roman" w:eastAsiaTheme="minorHAnsi" w:hAnsi="Times New Roman" w:cs="Times New Roman"/>
          <w:bCs w:val="0"/>
          <w:color w:val="auto"/>
          <w:sz w:val="20"/>
          <w:szCs w:val="20"/>
        </w:rPr>
        <w:t xml:space="preserve">2.1.1 </w:t>
      </w:r>
      <w:r w:rsidR="001E4545">
        <w:rPr>
          <w:rFonts w:ascii="Times New Roman" w:eastAsiaTheme="minorHAnsi" w:hAnsi="Times New Roman" w:cs="Times New Roman"/>
          <w:bCs w:val="0"/>
          <w:color w:val="auto"/>
        </w:rPr>
        <w:t>Předávání údajů pro potřeby poskytnutí informace o vyúčtování</w:t>
      </w:r>
      <w:r w:rsidR="00F44042">
        <w:rPr>
          <w:rFonts w:ascii="Times New Roman" w:eastAsiaTheme="minorHAnsi" w:hAnsi="Times New Roman" w:cs="Times New Roman"/>
          <w:bCs w:val="0"/>
          <w:color w:val="auto"/>
        </w:rPr>
        <w:t xml:space="preserve"> u měření s dálkovým odečtem</w:t>
      </w:r>
    </w:p>
    <w:p w14:paraId="535B8393" w14:textId="02A5FA0C" w:rsidR="007C2EA9" w:rsidRPr="00E17E88" w:rsidRDefault="007C2EA9" w:rsidP="00237AFE">
      <w:pPr>
        <w:jc w:val="both"/>
        <w:rPr>
          <w:rFonts w:ascii="Times New Roman" w:hAnsi="Times New Roman" w:cs="Times New Roman"/>
          <w:sz w:val="20"/>
          <w:szCs w:val="20"/>
        </w:rPr>
      </w:pPr>
      <w:r w:rsidRPr="00944B23">
        <w:rPr>
          <w:rFonts w:ascii="Times New Roman" w:hAnsi="Times New Roman" w:cs="Times New Roman"/>
          <w:b/>
          <w:i/>
        </w:rPr>
        <w:t>Varianta I</w:t>
      </w:r>
      <w:r w:rsidRPr="00944B23">
        <w:rPr>
          <w:rFonts w:ascii="Times New Roman" w:hAnsi="Times New Roman" w:cs="Times New Roman"/>
        </w:rPr>
        <w:t>.</w:t>
      </w:r>
      <w:r w:rsidRPr="00E17E88">
        <w:rPr>
          <w:rFonts w:ascii="Times New Roman" w:hAnsi="Times New Roman" w:cs="Times New Roman"/>
          <w:sz w:val="20"/>
          <w:szCs w:val="20"/>
        </w:rPr>
        <w:t xml:space="preserve"> – </w:t>
      </w:r>
      <w:r w:rsidRPr="00944B23">
        <w:rPr>
          <w:rFonts w:ascii="Times New Roman" w:hAnsi="Times New Roman" w:cs="Times New Roman"/>
        </w:rPr>
        <w:t xml:space="preserve">rezignace na </w:t>
      </w:r>
      <w:r w:rsidR="001E4545">
        <w:rPr>
          <w:rFonts w:ascii="Times New Roman" w:hAnsi="Times New Roman" w:cs="Times New Roman"/>
        </w:rPr>
        <w:t xml:space="preserve">provedení textové úpravy vyhlášky a </w:t>
      </w:r>
      <w:r w:rsidR="00D964BF">
        <w:rPr>
          <w:rFonts w:ascii="Times New Roman" w:hAnsi="Times New Roman" w:cs="Times New Roman"/>
        </w:rPr>
        <w:t xml:space="preserve">neprovedení </w:t>
      </w:r>
      <w:r w:rsidR="00F2098A">
        <w:rPr>
          <w:rFonts w:ascii="Times New Roman" w:hAnsi="Times New Roman" w:cs="Times New Roman"/>
        </w:rPr>
        <w:t>právní úpravy</w:t>
      </w:r>
      <w:r w:rsidR="00D964BF">
        <w:rPr>
          <w:rFonts w:ascii="Times New Roman" w:hAnsi="Times New Roman" w:cs="Times New Roman"/>
        </w:rPr>
        <w:t>, která by umožnila</w:t>
      </w:r>
      <w:r w:rsidR="00F2098A">
        <w:rPr>
          <w:rFonts w:ascii="Times New Roman" w:hAnsi="Times New Roman" w:cs="Times New Roman"/>
        </w:rPr>
        <w:t xml:space="preserve"> předávání</w:t>
      </w:r>
      <w:r w:rsidR="001E4545">
        <w:rPr>
          <w:rFonts w:ascii="Times New Roman" w:hAnsi="Times New Roman" w:cs="Times New Roman"/>
        </w:rPr>
        <w:t xml:space="preserve"> tzv. informace o vyúčtování</w:t>
      </w:r>
      <w:r w:rsidR="001A503B">
        <w:rPr>
          <w:rFonts w:ascii="Times New Roman" w:hAnsi="Times New Roman" w:cs="Times New Roman"/>
        </w:rPr>
        <w:t>.</w:t>
      </w:r>
    </w:p>
    <w:p w14:paraId="32C12CFA" w14:textId="5047CD7B" w:rsidR="007C2EA9" w:rsidRDefault="001E4545" w:rsidP="00237AFE">
      <w:pPr>
        <w:pStyle w:val="Nadpis3"/>
        <w:spacing w:after="120"/>
        <w:jc w:val="both"/>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 xml:space="preserve">Pokud by se nepřistoupilo na neprovedení úpravy a nezavedení </w:t>
      </w:r>
      <w:r w:rsidR="00F2098A">
        <w:rPr>
          <w:rFonts w:ascii="Times New Roman" w:eastAsiaTheme="minorHAnsi" w:hAnsi="Times New Roman" w:cs="Times New Roman"/>
          <w:b w:val="0"/>
          <w:bCs w:val="0"/>
          <w:color w:val="auto"/>
        </w:rPr>
        <w:t>této právní úpravy</w:t>
      </w:r>
      <w:r>
        <w:rPr>
          <w:rFonts w:ascii="Times New Roman" w:eastAsiaTheme="minorHAnsi" w:hAnsi="Times New Roman" w:cs="Times New Roman"/>
          <w:b w:val="0"/>
          <w:bCs w:val="0"/>
          <w:color w:val="auto"/>
        </w:rPr>
        <w:t>, došlo by k</w:t>
      </w:r>
      <w:r w:rsidR="009F1011">
        <w:rPr>
          <w:rFonts w:ascii="Times New Roman" w:eastAsiaTheme="minorHAnsi" w:hAnsi="Times New Roman" w:cs="Times New Roman"/>
          <w:b w:val="0"/>
          <w:bCs w:val="0"/>
          <w:color w:val="auto"/>
        </w:rPr>
        <w:t xml:space="preserve"> paralýze</w:t>
      </w:r>
      <w:r>
        <w:rPr>
          <w:rFonts w:ascii="Times New Roman" w:eastAsiaTheme="minorHAnsi" w:hAnsi="Times New Roman" w:cs="Times New Roman"/>
          <w:b w:val="0"/>
          <w:bCs w:val="0"/>
          <w:color w:val="auto"/>
        </w:rPr>
        <w:t xml:space="preserve"> </w:t>
      </w:r>
      <w:r w:rsidR="009F1011">
        <w:rPr>
          <w:rFonts w:ascii="Times New Roman" w:eastAsiaTheme="minorHAnsi" w:hAnsi="Times New Roman" w:cs="Times New Roman"/>
          <w:b w:val="0"/>
          <w:bCs w:val="0"/>
          <w:color w:val="auto"/>
        </w:rPr>
        <w:t>aplikace</w:t>
      </w:r>
      <w:r>
        <w:rPr>
          <w:rFonts w:ascii="Times New Roman" w:eastAsiaTheme="minorHAnsi" w:hAnsi="Times New Roman" w:cs="Times New Roman"/>
          <w:b w:val="0"/>
          <w:bCs w:val="0"/>
          <w:color w:val="auto"/>
        </w:rPr>
        <w:t> vyhlášk</w:t>
      </w:r>
      <w:r w:rsidR="009F1011">
        <w:rPr>
          <w:rFonts w:ascii="Times New Roman" w:eastAsiaTheme="minorHAnsi" w:hAnsi="Times New Roman" w:cs="Times New Roman"/>
          <w:b w:val="0"/>
          <w:bCs w:val="0"/>
          <w:color w:val="auto"/>
        </w:rPr>
        <w:t>y</w:t>
      </w:r>
      <w:r>
        <w:rPr>
          <w:rFonts w:ascii="Times New Roman" w:eastAsiaTheme="minorHAnsi" w:hAnsi="Times New Roman" w:cs="Times New Roman"/>
          <w:b w:val="0"/>
          <w:bCs w:val="0"/>
          <w:color w:val="auto"/>
        </w:rPr>
        <w:t xml:space="preserve"> č. 207/2021 Sb., o vyúčtování dodávek a souvisejících služeb, která je v současné době novelizována a do které je tento institut implementován.</w:t>
      </w:r>
      <w:r w:rsidR="001A503B">
        <w:rPr>
          <w:rFonts w:ascii="Times New Roman" w:eastAsiaTheme="minorHAnsi" w:hAnsi="Times New Roman" w:cs="Times New Roman"/>
          <w:b w:val="0"/>
          <w:bCs w:val="0"/>
          <w:color w:val="auto"/>
        </w:rPr>
        <w:t xml:space="preserve"> </w:t>
      </w:r>
      <w:r w:rsidR="009F1011">
        <w:rPr>
          <w:rFonts w:ascii="Times New Roman" w:eastAsiaTheme="minorHAnsi" w:hAnsi="Times New Roman" w:cs="Times New Roman"/>
          <w:b w:val="0"/>
          <w:bCs w:val="0"/>
          <w:color w:val="auto"/>
        </w:rPr>
        <w:t>Tím s</w:t>
      </w:r>
      <w:r w:rsidR="001A503B">
        <w:rPr>
          <w:rFonts w:ascii="Times New Roman" w:eastAsiaTheme="minorHAnsi" w:hAnsi="Times New Roman" w:cs="Times New Roman"/>
          <w:b w:val="0"/>
          <w:bCs w:val="0"/>
          <w:color w:val="auto"/>
        </w:rPr>
        <w:t>oučasně nedojde k</w:t>
      </w:r>
      <w:r w:rsidR="009F1011">
        <w:rPr>
          <w:rFonts w:ascii="Times New Roman" w:eastAsiaTheme="minorHAnsi" w:hAnsi="Times New Roman" w:cs="Times New Roman"/>
          <w:b w:val="0"/>
          <w:bCs w:val="0"/>
          <w:color w:val="auto"/>
        </w:rPr>
        <w:t> </w:t>
      </w:r>
      <w:r w:rsidR="001A503B">
        <w:rPr>
          <w:rFonts w:ascii="Times New Roman" w:eastAsiaTheme="minorHAnsi" w:hAnsi="Times New Roman" w:cs="Times New Roman"/>
          <w:b w:val="0"/>
          <w:bCs w:val="0"/>
          <w:color w:val="auto"/>
        </w:rPr>
        <w:t>transpozici</w:t>
      </w:r>
      <w:r w:rsidR="009F1011">
        <w:rPr>
          <w:rFonts w:ascii="Times New Roman" w:eastAsiaTheme="minorHAnsi" w:hAnsi="Times New Roman" w:cs="Times New Roman"/>
          <w:b w:val="0"/>
          <w:bCs w:val="0"/>
          <w:color w:val="auto"/>
        </w:rPr>
        <w:t xml:space="preserve"> práva EU,</w:t>
      </w:r>
      <w:r w:rsidR="001A503B">
        <w:rPr>
          <w:rFonts w:ascii="Times New Roman" w:eastAsiaTheme="minorHAnsi" w:hAnsi="Times New Roman" w:cs="Times New Roman"/>
          <w:b w:val="0"/>
          <w:bCs w:val="0"/>
          <w:color w:val="auto"/>
        </w:rPr>
        <w:t xml:space="preserve"> </w:t>
      </w:r>
      <w:r w:rsidR="009F1011">
        <w:rPr>
          <w:rFonts w:ascii="Times New Roman" w:eastAsiaTheme="minorHAnsi" w:hAnsi="Times New Roman" w:cs="Times New Roman"/>
          <w:b w:val="0"/>
          <w:bCs w:val="0"/>
          <w:color w:val="auto"/>
        </w:rPr>
        <w:t>kdy</w:t>
      </w:r>
      <w:r w:rsidR="001A503B">
        <w:rPr>
          <w:rFonts w:ascii="Times New Roman" w:eastAsiaTheme="minorHAnsi" w:hAnsi="Times New Roman" w:cs="Times New Roman"/>
          <w:b w:val="0"/>
          <w:bCs w:val="0"/>
          <w:color w:val="auto"/>
        </w:rPr>
        <w:t xml:space="preserve"> zákazníci nebudou mít možnost vyžívat institut informace o vyúčtování.</w:t>
      </w:r>
    </w:p>
    <w:p w14:paraId="2739C720" w14:textId="6DA2B7C8" w:rsidR="004A1AE2" w:rsidRDefault="001A503B" w:rsidP="00237AFE">
      <w:pPr>
        <w:jc w:val="both"/>
        <w:rPr>
          <w:rFonts w:ascii="Times New Roman" w:hAnsi="Times New Roman" w:cs="Times New Roman"/>
        </w:rPr>
      </w:pPr>
      <w:r w:rsidRPr="00337EFA">
        <w:rPr>
          <w:rFonts w:ascii="Times New Roman" w:hAnsi="Times New Roman" w:cs="Times New Roman"/>
          <w:b/>
          <w:i/>
        </w:rPr>
        <w:t>Varianta II.</w:t>
      </w:r>
      <w:r>
        <w:rPr>
          <w:rFonts w:ascii="Times New Roman" w:hAnsi="Times New Roman" w:cs="Times New Roman"/>
          <w:b/>
          <w:i/>
        </w:rPr>
        <w:t xml:space="preserve"> </w:t>
      </w:r>
      <w:r w:rsidR="004A1AE2">
        <w:rPr>
          <w:rFonts w:ascii="Times New Roman" w:hAnsi="Times New Roman" w:cs="Times New Roman"/>
          <w:b/>
          <w:i/>
        </w:rPr>
        <w:t>–</w:t>
      </w:r>
      <w:r>
        <w:rPr>
          <w:rFonts w:ascii="Times New Roman" w:hAnsi="Times New Roman" w:cs="Times New Roman"/>
          <w:b/>
          <w:i/>
        </w:rPr>
        <w:t xml:space="preserve"> </w:t>
      </w:r>
      <w:r w:rsidR="004A1AE2">
        <w:rPr>
          <w:rFonts w:ascii="Times New Roman" w:hAnsi="Times New Roman" w:cs="Times New Roman"/>
        </w:rPr>
        <w:t>předávání údajů pro potřeby poskytnutí informace o vyúčtování u měření s dálkovým odečtem prostřednictvím tzv. DÚF, tedy v rámci struktury dat předávaných provozovatelem distribuční soustavy pro účely vyúčtování elektřiny.</w:t>
      </w:r>
    </w:p>
    <w:p w14:paraId="308529F4" w14:textId="49AA1EA3" w:rsidR="007C2EA9" w:rsidRPr="007C2EA9" w:rsidRDefault="00127D9B" w:rsidP="00237AFE">
      <w:pPr>
        <w:jc w:val="both"/>
      </w:pPr>
      <w:r w:rsidRPr="00944B23">
        <w:rPr>
          <w:rFonts w:ascii="Times New Roman" w:hAnsi="Times New Roman" w:cs="Times New Roman"/>
          <w:b/>
          <w:i/>
        </w:rPr>
        <w:t>Varianta II</w:t>
      </w:r>
      <w:r w:rsidR="004A1AE2">
        <w:rPr>
          <w:rFonts w:ascii="Times New Roman" w:hAnsi="Times New Roman" w:cs="Times New Roman"/>
          <w:b/>
          <w:i/>
        </w:rPr>
        <w:t>I</w:t>
      </w:r>
      <w:r w:rsidRPr="00944B23">
        <w:rPr>
          <w:rFonts w:ascii="Times New Roman" w:hAnsi="Times New Roman" w:cs="Times New Roman"/>
          <w:b/>
          <w:i/>
        </w:rPr>
        <w:t>.</w:t>
      </w:r>
      <w:r w:rsidRPr="00944B23">
        <w:rPr>
          <w:rFonts w:ascii="Times New Roman" w:hAnsi="Times New Roman" w:cs="Times New Roman"/>
          <w:sz w:val="20"/>
          <w:szCs w:val="20"/>
        </w:rPr>
        <w:t xml:space="preserve"> </w:t>
      </w:r>
      <w:r w:rsidRPr="00E17E88">
        <w:rPr>
          <w:rFonts w:ascii="Times New Roman" w:hAnsi="Times New Roman" w:cs="Times New Roman"/>
          <w:sz w:val="20"/>
          <w:szCs w:val="20"/>
        </w:rPr>
        <w:t xml:space="preserve">– </w:t>
      </w:r>
      <w:r w:rsidR="005100D8">
        <w:rPr>
          <w:rFonts w:ascii="Times New Roman" w:hAnsi="Times New Roman" w:cs="Times New Roman"/>
        </w:rPr>
        <w:t xml:space="preserve">zajištění </w:t>
      </w:r>
      <w:r w:rsidR="004A1AE2">
        <w:rPr>
          <w:rFonts w:ascii="Times New Roman" w:hAnsi="Times New Roman" w:cs="Times New Roman"/>
        </w:rPr>
        <w:t>předávání údajů</w:t>
      </w:r>
      <w:r w:rsidR="004A1AE2" w:rsidRPr="004A1AE2">
        <w:rPr>
          <w:rFonts w:ascii="Times New Roman" w:hAnsi="Times New Roman" w:cs="Times New Roman"/>
        </w:rPr>
        <w:t xml:space="preserve"> </w:t>
      </w:r>
      <w:r w:rsidR="004A1AE2">
        <w:rPr>
          <w:rFonts w:ascii="Times New Roman" w:hAnsi="Times New Roman" w:cs="Times New Roman"/>
        </w:rPr>
        <w:t xml:space="preserve">pro potřeby poskytnutí informace o vyúčtování u měření s dálkovým odečtem </w:t>
      </w:r>
      <w:r w:rsidR="00487DFB">
        <w:rPr>
          <w:rFonts w:ascii="Times New Roman" w:hAnsi="Times New Roman" w:cs="Times New Roman"/>
        </w:rPr>
        <w:t>novou funkcionalitou nad rámec existujících, výhradně pro poskytování informace o vyúčtování</w:t>
      </w:r>
      <w:r w:rsidR="004A1AE2">
        <w:rPr>
          <w:rFonts w:ascii="Times New Roman" w:hAnsi="Times New Roman" w:cs="Times New Roman"/>
        </w:rPr>
        <w:t xml:space="preserve">. </w:t>
      </w:r>
    </w:p>
    <w:p w14:paraId="2DF773A0" w14:textId="7A914382" w:rsidR="00127D9B" w:rsidRPr="00F72401" w:rsidRDefault="001E4545" w:rsidP="00237AFE">
      <w:pPr>
        <w:jc w:val="both"/>
        <w:rPr>
          <w:rFonts w:ascii="Times New Roman" w:hAnsi="Times New Roman" w:cs="Times New Roman"/>
        </w:rPr>
      </w:pPr>
      <w:r w:rsidRPr="001E4545">
        <w:rPr>
          <w:rFonts w:ascii="Times New Roman" w:hAnsi="Times New Roman" w:cs="Times New Roman"/>
        </w:rPr>
        <w:t>Česká republika je povinna transponovat do právního řádu institut tzv. informace o vyúčtování (</w:t>
      </w:r>
      <w:r w:rsidRPr="00F72401">
        <w:rPr>
          <w:rFonts w:ascii="Times New Roman" w:hAnsi="Times New Roman" w:cs="Times New Roman"/>
        </w:rPr>
        <w:t>příloha I směrnice Evropského parlamentu a Rady (EU) 2019/944; příloha VII směrnice Evropského parlamentu a Rady č. 2012/27/ES o energetické účinnosti, ve znění směrnice Evropského parlamentu a Rady (EU) 2018/2002)</w:t>
      </w:r>
      <w:r w:rsidRPr="00F72401">
        <w:rPr>
          <w:rFonts w:ascii="Times New Roman" w:hAnsi="Times New Roman" w:cs="Times New Roman"/>
          <w:bCs/>
        </w:rPr>
        <w:t>.</w:t>
      </w:r>
      <w:r w:rsidRPr="00F72401">
        <w:rPr>
          <w:rFonts w:ascii="Times New Roman" w:hAnsi="Times New Roman" w:cs="Times New Roman"/>
        </w:rPr>
        <w:t xml:space="preserve"> </w:t>
      </w:r>
      <w:r w:rsidRPr="00F72401">
        <w:rPr>
          <w:rFonts w:ascii="Times New Roman" w:hAnsi="Times New Roman" w:cs="Times New Roman"/>
          <w:bCs/>
        </w:rPr>
        <w:t>P</w:t>
      </w:r>
      <w:r w:rsidRPr="00F72401">
        <w:rPr>
          <w:rFonts w:ascii="Times New Roman" w:hAnsi="Times New Roman" w:cs="Times New Roman"/>
        </w:rPr>
        <w:t>rostřednictvím novely energetického zákona zákon</w:t>
      </w:r>
      <w:r w:rsidR="00F2098A">
        <w:rPr>
          <w:rFonts w:ascii="Times New Roman" w:hAnsi="Times New Roman" w:cs="Times New Roman"/>
        </w:rPr>
        <w:t>em</w:t>
      </w:r>
      <w:r w:rsidRPr="00F72401">
        <w:rPr>
          <w:rFonts w:ascii="Times New Roman" w:hAnsi="Times New Roman" w:cs="Times New Roman"/>
        </w:rPr>
        <w:t xml:space="preserve"> č. 362/2021 Sb. </w:t>
      </w:r>
      <w:r w:rsidRPr="00F72401">
        <w:rPr>
          <w:rFonts w:ascii="Times New Roman" w:hAnsi="Times New Roman" w:cs="Times New Roman"/>
          <w:bCs/>
        </w:rPr>
        <w:t>došlo k</w:t>
      </w:r>
      <w:r w:rsidRPr="00F72401">
        <w:rPr>
          <w:rFonts w:ascii="Times New Roman" w:hAnsi="Times New Roman" w:cs="Times New Roman"/>
        </w:rPr>
        <w:t xml:space="preserve"> úprav</w:t>
      </w:r>
      <w:r w:rsidRPr="00F72401">
        <w:rPr>
          <w:rFonts w:ascii="Times New Roman" w:hAnsi="Times New Roman" w:cs="Times New Roman"/>
          <w:bCs/>
        </w:rPr>
        <w:t>ě</w:t>
      </w:r>
      <w:r w:rsidRPr="00F72401">
        <w:rPr>
          <w:rFonts w:ascii="Times New Roman" w:hAnsi="Times New Roman" w:cs="Times New Roman"/>
        </w:rPr>
        <w:t xml:space="preserve"> zmocnění</w:t>
      </w:r>
      <w:r w:rsidR="00697B32">
        <w:rPr>
          <w:rFonts w:ascii="Times New Roman" w:hAnsi="Times New Roman" w:cs="Times New Roman"/>
        </w:rPr>
        <w:t xml:space="preserve"> Energetického regulačního úřadu</w:t>
      </w:r>
      <w:r w:rsidRPr="00F72401">
        <w:rPr>
          <w:rFonts w:ascii="Times New Roman" w:hAnsi="Times New Roman" w:cs="Times New Roman"/>
          <w:bCs/>
        </w:rPr>
        <w:t xml:space="preserve"> a institut</w:t>
      </w:r>
      <w:r w:rsidRPr="00F72401">
        <w:rPr>
          <w:rFonts w:ascii="Times New Roman" w:hAnsi="Times New Roman" w:cs="Times New Roman"/>
        </w:rPr>
        <w:t xml:space="preserve"> se </w:t>
      </w:r>
      <w:r w:rsidRPr="00F72401">
        <w:rPr>
          <w:rFonts w:ascii="Times New Roman" w:hAnsi="Times New Roman" w:cs="Times New Roman"/>
          <w:bCs/>
        </w:rPr>
        <w:t>implementuje</w:t>
      </w:r>
      <w:r w:rsidRPr="00F72401">
        <w:rPr>
          <w:rFonts w:ascii="Times New Roman" w:hAnsi="Times New Roman" w:cs="Times New Roman"/>
        </w:rPr>
        <w:t xml:space="preserve"> prostřednictvím vyhlášky o</w:t>
      </w:r>
      <w:r w:rsidR="00697B32">
        <w:rPr>
          <w:rFonts w:ascii="Times New Roman" w:hAnsi="Times New Roman" w:cs="Times New Roman"/>
        </w:rPr>
        <w:t> </w:t>
      </w:r>
      <w:r w:rsidRPr="00F72401">
        <w:rPr>
          <w:rFonts w:ascii="Times New Roman" w:hAnsi="Times New Roman" w:cs="Times New Roman"/>
        </w:rPr>
        <w:t>vyúčtování</w:t>
      </w:r>
      <w:r w:rsidR="00F72401">
        <w:rPr>
          <w:rFonts w:ascii="Times New Roman" w:hAnsi="Times New Roman" w:cs="Times New Roman"/>
        </w:rPr>
        <w:t xml:space="preserve"> dodávek a souvisejících služeb</w:t>
      </w:r>
      <w:r w:rsidRPr="00F72401">
        <w:rPr>
          <w:rFonts w:ascii="Times New Roman" w:hAnsi="Times New Roman" w:cs="Times New Roman"/>
        </w:rPr>
        <w:t xml:space="preserve"> (vyhláška č. 207/2021 Sb.).</w:t>
      </w:r>
      <w:r w:rsidRPr="00F72401">
        <w:rPr>
          <w:rFonts w:ascii="Times New Roman" w:hAnsi="Times New Roman" w:cs="Times New Roman"/>
          <w:bCs/>
        </w:rPr>
        <w:t xml:space="preserve"> </w:t>
      </w:r>
      <w:r w:rsidRPr="00F72401">
        <w:rPr>
          <w:rFonts w:ascii="Times New Roman" w:hAnsi="Times New Roman" w:cs="Times New Roman"/>
        </w:rPr>
        <w:t>Energetický regulační úřad za</w:t>
      </w:r>
      <w:r w:rsidR="00697B32">
        <w:rPr>
          <w:rFonts w:ascii="Times New Roman" w:hAnsi="Times New Roman" w:cs="Times New Roman"/>
        </w:rPr>
        <w:t> </w:t>
      </w:r>
      <w:r w:rsidRPr="00F72401">
        <w:rPr>
          <w:rFonts w:ascii="Times New Roman" w:hAnsi="Times New Roman" w:cs="Times New Roman"/>
          <w:bCs/>
        </w:rPr>
        <w:t>tímto účelem</w:t>
      </w:r>
      <w:r w:rsidRPr="00F72401">
        <w:rPr>
          <w:rFonts w:ascii="Times New Roman" w:hAnsi="Times New Roman" w:cs="Times New Roman"/>
        </w:rPr>
        <w:t xml:space="preserve"> zahájil přípravu novely vyhlášky o vyúčtování</w:t>
      </w:r>
      <w:r w:rsidR="00F72401" w:rsidRPr="00F72401">
        <w:rPr>
          <w:rFonts w:ascii="Times New Roman" w:hAnsi="Times New Roman" w:cs="Times New Roman"/>
        </w:rPr>
        <w:t xml:space="preserve"> </w:t>
      </w:r>
      <w:r w:rsidR="00F72401">
        <w:rPr>
          <w:rFonts w:ascii="Times New Roman" w:hAnsi="Times New Roman" w:cs="Times New Roman"/>
        </w:rPr>
        <w:t>dodávek a souvisejících služeb</w:t>
      </w:r>
      <w:r w:rsidRPr="00F72401">
        <w:rPr>
          <w:rFonts w:ascii="Times New Roman" w:hAnsi="Times New Roman" w:cs="Times New Roman"/>
        </w:rPr>
        <w:t>, která ke stávající úpravě doplní úpravu informace o vyúčtování. Aby celá úprava informace o vyúčtování mohla být na základě vyhlášky o</w:t>
      </w:r>
      <w:r w:rsidR="00697B32">
        <w:rPr>
          <w:rFonts w:ascii="Times New Roman" w:hAnsi="Times New Roman" w:cs="Times New Roman"/>
        </w:rPr>
        <w:t> </w:t>
      </w:r>
      <w:r w:rsidRPr="00F72401">
        <w:rPr>
          <w:rFonts w:ascii="Times New Roman" w:hAnsi="Times New Roman" w:cs="Times New Roman"/>
        </w:rPr>
        <w:t xml:space="preserve">vyúčtování </w:t>
      </w:r>
      <w:r w:rsidR="00F72401">
        <w:rPr>
          <w:rFonts w:ascii="Times New Roman" w:hAnsi="Times New Roman" w:cs="Times New Roman"/>
        </w:rPr>
        <w:t>dodávek a souvisejících služeb</w:t>
      </w:r>
      <w:r w:rsidR="00F72401" w:rsidRPr="00F72401">
        <w:rPr>
          <w:rFonts w:ascii="Times New Roman" w:hAnsi="Times New Roman" w:cs="Times New Roman"/>
        </w:rPr>
        <w:t xml:space="preserve"> </w:t>
      </w:r>
      <w:r w:rsidRPr="00F72401">
        <w:rPr>
          <w:rFonts w:ascii="Times New Roman" w:hAnsi="Times New Roman" w:cs="Times New Roman"/>
        </w:rPr>
        <w:t xml:space="preserve">realizována, </w:t>
      </w:r>
      <w:r w:rsidRPr="00F72401">
        <w:rPr>
          <w:rFonts w:ascii="Times New Roman" w:hAnsi="Times New Roman" w:cs="Times New Roman"/>
          <w:bCs/>
        </w:rPr>
        <w:t>je</w:t>
      </w:r>
      <w:r w:rsidRPr="00F72401">
        <w:rPr>
          <w:rFonts w:ascii="Times New Roman" w:hAnsi="Times New Roman" w:cs="Times New Roman"/>
        </w:rPr>
        <w:t xml:space="preserve"> nutné za tímto účelem upravit </w:t>
      </w:r>
      <w:r w:rsidRPr="00F72401">
        <w:rPr>
          <w:rFonts w:ascii="Times New Roman" w:hAnsi="Times New Roman" w:cs="Times New Roman"/>
          <w:bCs/>
        </w:rPr>
        <w:t xml:space="preserve">i některá ustanovení </w:t>
      </w:r>
      <w:r w:rsidRPr="00F72401">
        <w:rPr>
          <w:rFonts w:ascii="Times New Roman" w:hAnsi="Times New Roman" w:cs="Times New Roman"/>
        </w:rPr>
        <w:t>vyhlášk</w:t>
      </w:r>
      <w:r w:rsidRPr="00F72401">
        <w:rPr>
          <w:rFonts w:ascii="Times New Roman" w:hAnsi="Times New Roman" w:cs="Times New Roman"/>
          <w:bCs/>
        </w:rPr>
        <w:t>y</w:t>
      </w:r>
      <w:r w:rsidRPr="00F72401">
        <w:rPr>
          <w:rFonts w:ascii="Times New Roman" w:hAnsi="Times New Roman" w:cs="Times New Roman"/>
        </w:rPr>
        <w:t xml:space="preserve"> o Pravidlech trhu s elektřinou. </w:t>
      </w:r>
      <w:r w:rsidR="00F72401" w:rsidRPr="00F72401">
        <w:rPr>
          <w:rFonts w:ascii="Times New Roman" w:hAnsi="Times New Roman" w:cs="Times New Roman"/>
          <w:bCs/>
        </w:rPr>
        <w:t>Provedením úpravy vyhlášky o Pravidlech trhu s elektřinou bude možné</w:t>
      </w:r>
      <w:r w:rsidR="004A1AE2">
        <w:rPr>
          <w:rFonts w:ascii="Times New Roman" w:hAnsi="Times New Roman" w:cs="Times New Roman"/>
          <w:bCs/>
        </w:rPr>
        <w:t xml:space="preserve"> předávat údaje pro potřeby poskytnutí informace o vyúčtování u měření s dálkovým odečtem u zákazníků i bez </w:t>
      </w:r>
      <w:r w:rsidR="00DB42A7">
        <w:rPr>
          <w:rFonts w:ascii="Times New Roman" w:hAnsi="Times New Roman" w:cs="Times New Roman"/>
          <w:bCs/>
        </w:rPr>
        <w:t>toho, aniž by samotná žádost o poskytnutí informace o vyúčtování vyvolala fakturaci spotřeby zákazníka</w:t>
      </w:r>
      <w:r w:rsidR="00F72401" w:rsidRPr="00F72401">
        <w:rPr>
          <w:rFonts w:ascii="Times New Roman" w:hAnsi="Times New Roman" w:cs="Times New Roman"/>
          <w:bCs/>
        </w:rPr>
        <w:t>.</w:t>
      </w:r>
    </w:p>
    <w:p w14:paraId="2414F418" w14:textId="77777777" w:rsidR="00127D9B" w:rsidRPr="00944B23" w:rsidRDefault="00127D9B" w:rsidP="00237AFE">
      <w:pPr>
        <w:jc w:val="both"/>
        <w:rPr>
          <w:rFonts w:ascii="Times New Roman" w:eastAsiaTheme="majorEastAsia" w:hAnsi="Times New Roman" w:cstheme="majorBidi"/>
          <w:b/>
          <w:bCs/>
          <w:u w:val="single"/>
        </w:rPr>
      </w:pPr>
      <w:r w:rsidRPr="00944B23">
        <w:rPr>
          <w:rFonts w:ascii="Times New Roman" w:eastAsiaTheme="majorEastAsia" w:hAnsi="Times New Roman" w:cstheme="majorBidi"/>
          <w:b/>
          <w:bCs/>
          <w:u w:val="single"/>
        </w:rPr>
        <w:t>Vyhodnocení nákladů a přínosů</w:t>
      </w:r>
    </w:p>
    <w:p w14:paraId="52E50FD0" w14:textId="77777777" w:rsidR="00127D9B" w:rsidRPr="00944B23" w:rsidRDefault="00127D9B" w:rsidP="00237AFE">
      <w:pPr>
        <w:jc w:val="both"/>
        <w:rPr>
          <w:rFonts w:ascii="Times New Roman" w:hAnsi="Times New Roman" w:cs="Times New Roman"/>
          <w:b/>
          <w:u w:val="single"/>
        </w:rPr>
      </w:pPr>
      <w:r w:rsidRPr="00944B23">
        <w:rPr>
          <w:rFonts w:ascii="Times New Roman" w:hAnsi="Times New Roman" w:cs="Times New Roman"/>
          <w:b/>
          <w:u w:val="single"/>
        </w:rPr>
        <w:t>Náklady</w:t>
      </w:r>
    </w:p>
    <w:p w14:paraId="389C8943" w14:textId="3A39B658" w:rsidR="00127D9B" w:rsidRPr="00944B23" w:rsidRDefault="00127D9B" w:rsidP="00237AFE">
      <w:pPr>
        <w:jc w:val="both"/>
        <w:rPr>
          <w:rFonts w:ascii="Times New Roman" w:hAnsi="Times New Roman" w:cs="Times New Roman"/>
        </w:rPr>
      </w:pPr>
      <w:r w:rsidRPr="00944B23">
        <w:rPr>
          <w:rFonts w:ascii="Times New Roman" w:hAnsi="Times New Roman" w:cs="Times New Roman"/>
        </w:rPr>
        <w:t xml:space="preserve">Varianta I. </w:t>
      </w:r>
      <w:r w:rsidR="00E57FB1">
        <w:rPr>
          <w:rFonts w:ascii="Times New Roman" w:hAnsi="Times New Roman" w:cs="Times New Roman"/>
        </w:rPr>
        <w:t>U této varianty nejsou očekávány náklady na straně účastníků trhu.</w:t>
      </w:r>
      <w:r w:rsidRPr="00944B23">
        <w:rPr>
          <w:rFonts w:ascii="Times New Roman" w:hAnsi="Times New Roman" w:cs="Times New Roman"/>
        </w:rPr>
        <w:t xml:space="preserve"> </w:t>
      </w:r>
      <w:r w:rsidR="009A71CD">
        <w:rPr>
          <w:rFonts w:ascii="Times New Roman" w:hAnsi="Times New Roman" w:cs="Times New Roman"/>
        </w:rPr>
        <w:t>ČR by nezajištěním aplikace nesplnila svoji transpoziční povinnost.</w:t>
      </w:r>
    </w:p>
    <w:p w14:paraId="5958B254" w14:textId="2EFAD938" w:rsidR="00DB42A7" w:rsidRDefault="00127D9B" w:rsidP="00237AFE">
      <w:pPr>
        <w:jc w:val="both"/>
        <w:rPr>
          <w:rFonts w:ascii="Times New Roman" w:hAnsi="Times New Roman" w:cs="Times New Roman"/>
        </w:rPr>
      </w:pPr>
      <w:r w:rsidRPr="00944B23">
        <w:rPr>
          <w:rFonts w:ascii="Times New Roman" w:hAnsi="Times New Roman" w:cs="Times New Roman"/>
        </w:rPr>
        <w:t xml:space="preserve">Varianta II. </w:t>
      </w:r>
      <w:r w:rsidR="00DB42A7">
        <w:rPr>
          <w:rFonts w:ascii="Times New Roman" w:hAnsi="Times New Roman" w:cs="Times New Roman"/>
        </w:rPr>
        <w:t xml:space="preserve">U této varianty se </w:t>
      </w:r>
      <w:r w:rsidR="008548B9">
        <w:rPr>
          <w:rFonts w:ascii="Times New Roman" w:hAnsi="Times New Roman" w:cs="Times New Roman"/>
        </w:rPr>
        <w:t>ne</w:t>
      </w:r>
      <w:r w:rsidR="00DB42A7">
        <w:rPr>
          <w:rFonts w:ascii="Times New Roman" w:hAnsi="Times New Roman" w:cs="Times New Roman"/>
        </w:rPr>
        <w:t xml:space="preserve">očekávají náklady na straně účastníků trhu, jelikož </w:t>
      </w:r>
      <w:r w:rsidR="008548B9">
        <w:rPr>
          <w:rFonts w:ascii="Times New Roman" w:hAnsi="Times New Roman" w:cs="Times New Roman"/>
        </w:rPr>
        <w:t>údaje pro poskytování informace o vyúčtování budou obdrženy v rámci údajů pro vyúčtování.</w:t>
      </w:r>
    </w:p>
    <w:p w14:paraId="684A9BFD" w14:textId="31D7C7CA" w:rsidR="00127D9B" w:rsidRPr="00944B23" w:rsidRDefault="00DB42A7" w:rsidP="00237AFE">
      <w:pPr>
        <w:jc w:val="both"/>
        <w:rPr>
          <w:rFonts w:ascii="Times New Roman" w:hAnsi="Times New Roman" w:cs="Times New Roman"/>
        </w:rPr>
      </w:pPr>
      <w:r>
        <w:rPr>
          <w:rFonts w:ascii="Times New Roman" w:hAnsi="Times New Roman" w:cs="Times New Roman"/>
        </w:rPr>
        <w:t xml:space="preserve">Varianta III. </w:t>
      </w:r>
      <w:r w:rsidR="00267767" w:rsidRPr="00944B23">
        <w:rPr>
          <w:rFonts w:ascii="Times New Roman" w:hAnsi="Times New Roman" w:cs="Times New Roman"/>
        </w:rPr>
        <w:t xml:space="preserve">U této varianty </w:t>
      </w:r>
      <w:r>
        <w:rPr>
          <w:rFonts w:ascii="Times New Roman" w:hAnsi="Times New Roman" w:cs="Times New Roman"/>
        </w:rPr>
        <w:t>se</w:t>
      </w:r>
      <w:r w:rsidR="00267767" w:rsidRPr="00944B23">
        <w:rPr>
          <w:rFonts w:ascii="Times New Roman" w:hAnsi="Times New Roman" w:cs="Times New Roman"/>
        </w:rPr>
        <w:t xml:space="preserve"> očekáv</w:t>
      </w:r>
      <w:r>
        <w:rPr>
          <w:rFonts w:ascii="Times New Roman" w:hAnsi="Times New Roman" w:cs="Times New Roman"/>
        </w:rPr>
        <w:t>ají</w:t>
      </w:r>
      <w:r w:rsidR="00267767" w:rsidRPr="00944B23">
        <w:rPr>
          <w:rFonts w:ascii="Times New Roman" w:hAnsi="Times New Roman" w:cs="Times New Roman"/>
        </w:rPr>
        <w:t xml:space="preserve"> náklady spojené s úpravou informační</w:t>
      </w:r>
      <w:r w:rsidR="00FA2B33">
        <w:rPr>
          <w:rFonts w:ascii="Times New Roman" w:hAnsi="Times New Roman" w:cs="Times New Roman"/>
        </w:rPr>
        <w:t>ch</w:t>
      </w:r>
      <w:r w:rsidR="00267767" w:rsidRPr="00944B23">
        <w:rPr>
          <w:rFonts w:ascii="Times New Roman" w:hAnsi="Times New Roman" w:cs="Times New Roman"/>
        </w:rPr>
        <w:t xml:space="preserve"> systém</w:t>
      </w:r>
      <w:r w:rsidR="00FA2B33">
        <w:rPr>
          <w:rFonts w:ascii="Times New Roman" w:hAnsi="Times New Roman" w:cs="Times New Roman"/>
        </w:rPr>
        <w:t>ů</w:t>
      </w:r>
      <w:r w:rsidR="00267767" w:rsidRPr="00944B23">
        <w:rPr>
          <w:rFonts w:ascii="Times New Roman" w:hAnsi="Times New Roman" w:cs="Times New Roman"/>
        </w:rPr>
        <w:t xml:space="preserve"> </w:t>
      </w:r>
      <w:r w:rsidR="00FA2B33">
        <w:rPr>
          <w:rFonts w:ascii="Times New Roman" w:hAnsi="Times New Roman" w:cs="Times New Roman"/>
        </w:rPr>
        <w:t>na straně účastníků trhu</w:t>
      </w:r>
      <w:r w:rsidR="008548B9">
        <w:rPr>
          <w:rFonts w:ascii="Times New Roman" w:hAnsi="Times New Roman" w:cs="Times New Roman"/>
        </w:rPr>
        <w:t>,</w:t>
      </w:r>
      <w:r w:rsidR="00753C8B">
        <w:rPr>
          <w:rFonts w:ascii="Times New Roman" w:hAnsi="Times New Roman" w:cs="Times New Roman"/>
        </w:rPr>
        <w:t xml:space="preserve"> </w:t>
      </w:r>
      <w:r w:rsidR="00FA2B33">
        <w:rPr>
          <w:rFonts w:ascii="Times New Roman" w:hAnsi="Times New Roman" w:cs="Times New Roman"/>
        </w:rPr>
        <w:t xml:space="preserve">spojené se zaváděním zcela nových systémů, jelikož </w:t>
      </w:r>
      <w:r w:rsidR="008548B9">
        <w:rPr>
          <w:rFonts w:ascii="Times New Roman" w:hAnsi="Times New Roman" w:cs="Times New Roman"/>
        </w:rPr>
        <w:t>ne</w:t>
      </w:r>
      <w:r w:rsidR="00FA2B33">
        <w:rPr>
          <w:rFonts w:ascii="Times New Roman" w:hAnsi="Times New Roman" w:cs="Times New Roman"/>
        </w:rPr>
        <w:t>budou využity již fungující systémy.</w:t>
      </w:r>
    </w:p>
    <w:p w14:paraId="114F3226" w14:textId="77777777" w:rsidR="00127D9B" w:rsidRPr="00944B23" w:rsidRDefault="00127D9B" w:rsidP="00237AFE">
      <w:pPr>
        <w:jc w:val="both"/>
        <w:rPr>
          <w:rFonts w:ascii="Times New Roman" w:hAnsi="Times New Roman" w:cs="Times New Roman"/>
          <w:b/>
          <w:u w:val="single"/>
        </w:rPr>
      </w:pPr>
      <w:r w:rsidRPr="00944B23">
        <w:rPr>
          <w:rFonts w:ascii="Times New Roman" w:hAnsi="Times New Roman" w:cs="Times New Roman"/>
          <w:b/>
          <w:u w:val="single"/>
        </w:rPr>
        <w:t>Přínosy</w:t>
      </w:r>
    </w:p>
    <w:p w14:paraId="26438B3C" w14:textId="379D4F9C" w:rsidR="00127D9B" w:rsidRPr="00944B23" w:rsidRDefault="00127D9B" w:rsidP="00237AFE">
      <w:pPr>
        <w:jc w:val="both"/>
        <w:rPr>
          <w:rFonts w:ascii="Times New Roman" w:hAnsi="Times New Roman" w:cs="Times New Roman"/>
        </w:rPr>
      </w:pPr>
      <w:r w:rsidRPr="00944B23">
        <w:rPr>
          <w:rFonts w:ascii="Times New Roman" w:hAnsi="Times New Roman" w:cs="Times New Roman"/>
        </w:rPr>
        <w:t xml:space="preserve">Varianta I. </w:t>
      </w:r>
      <w:r w:rsidR="00FA2B33">
        <w:rPr>
          <w:rFonts w:ascii="Times New Roman" w:hAnsi="Times New Roman" w:cs="Times New Roman"/>
        </w:rPr>
        <w:t xml:space="preserve">U této varianty se </w:t>
      </w:r>
      <w:r w:rsidR="00FA2B33" w:rsidRPr="00944B23">
        <w:rPr>
          <w:rFonts w:ascii="Times New Roman" w:hAnsi="Times New Roman" w:cs="Times New Roman"/>
        </w:rPr>
        <w:t>nepředpokláda</w:t>
      </w:r>
      <w:r w:rsidR="00FA2B33">
        <w:rPr>
          <w:rFonts w:ascii="Times New Roman" w:hAnsi="Times New Roman" w:cs="Times New Roman"/>
        </w:rPr>
        <w:t>jí</w:t>
      </w:r>
      <w:r w:rsidRPr="00944B23">
        <w:rPr>
          <w:rFonts w:ascii="Times New Roman" w:hAnsi="Times New Roman" w:cs="Times New Roman"/>
        </w:rPr>
        <w:t xml:space="preserve"> žádné přínosy.</w:t>
      </w:r>
      <w:r w:rsidR="00DB42A7">
        <w:rPr>
          <w:rFonts w:ascii="Times New Roman" w:hAnsi="Times New Roman" w:cs="Times New Roman"/>
        </w:rPr>
        <w:t xml:space="preserve"> Zákazníci nebudou mít možnost si průběžně ověřovat stav spotřeby elektřiny. </w:t>
      </w:r>
    </w:p>
    <w:p w14:paraId="3DB0E566" w14:textId="2D61A344" w:rsidR="00DB42A7" w:rsidRDefault="00127D9B" w:rsidP="00237AFE">
      <w:pPr>
        <w:jc w:val="both"/>
        <w:rPr>
          <w:rFonts w:ascii="Times New Roman" w:hAnsi="Times New Roman" w:cs="Times New Roman"/>
        </w:rPr>
      </w:pPr>
      <w:r w:rsidRPr="00944B23">
        <w:rPr>
          <w:rFonts w:ascii="Times New Roman" w:hAnsi="Times New Roman" w:cs="Times New Roman"/>
        </w:rPr>
        <w:t xml:space="preserve">Varianta II. </w:t>
      </w:r>
      <w:r w:rsidR="00D95DCE">
        <w:rPr>
          <w:rFonts w:ascii="Times New Roman" w:hAnsi="Times New Roman" w:cs="Times New Roman"/>
        </w:rPr>
        <w:t>V</w:t>
      </w:r>
      <w:r w:rsidR="009A71CD">
        <w:rPr>
          <w:rFonts w:ascii="Times New Roman" w:hAnsi="Times New Roman" w:cs="Times New Roman"/>
        </w:rPr>
        <w:t xml:space="preserve"> rámci </w:t>
      </w:r>
      <w:r w:rsidR="002F2ACC">
        <w:rPr>
          <w:rFonts w:ascii="Times New Roman" w:hAnsi="Times New Roman" w:cs="Times New Roman"/>
        </w:rPr>
        <w:t xml:space="preserve">vyúčtování by </w:t>
      </w:r>
      <w:r w:rsidR="00D95DCE">
        <w:rPr>
          <w:rFonts w:ascii="Times New Roman" w:hAnsi="Times New Roman" w:cs="Times New Roman"/>
        </w:rPr>
        <w:t>dodavatel</w:t>
      </w:r>
      <w:r w:rsidR="002F2ACC">
        <w:rPr>
          <w:rFonts w:ascii="Times New Roman" w:hAnsi="Times New Roman" w:cs="Times New Roman"/>
        </w:rPr>
        <w:t xml:space="preserve"> získal informaci o spotřebě,</w:t>
      </w:r>
      <w:r w:rsidR="00D95DCE">
        <w:rPr>
          <w:rFonts w:ascii="Times New Roman" w:hAnsi="Times New Roman" w:cs="Times New Roman"/>
        </w:rPr>
        <w:t xml:space="preserve"> kterou je možné využít pro poskytování informace o vyúčtování.</w:t>
      </w:r>
      <w:r w:rsidR="009A71CD">
        <w:rPr>
          <w:rFonts w:ascii="Times New Roman" w:hAnsi="Times New Roman" w:cs="Times New Roman"/>
        </w:rPr>
        <w:t xml:space="preserve"> </w:t>
      </w:r>
      <w:r w:rsidR="0003735C">
        <w:rPr>
          <w:rFonts w:ascii="Times New Roman" w:hAnsi="Times New Roman" w:cs="Times New Roman"/>
        </w:rPr>
        <w:t>Provedením této varianty bude možné dokončit aplikaci vyhlášky č. 207/2021 Sb., o vyúčtování dodávek a souvisejících služeb a zajistit soulad s platnou právní úpravou.</w:t>
      </w:r>
    </w:p>
    <w:p w14:paraId="084155D1" w14:textId="26DE96A3" w:rsidR="00127D9B" w:rsidRPr="00944B23" w:rsidRDefault="00DB42A7" w:rsidP="00237AFE">
      <w:pPr>
        <w:jc w:val="both"/>
        <w:rPr>
          <w:rFonts w:ascii="Times New Roman" w:hAnsi="Times New Roman" w:cs="Times New Roman"/>
        </w:rPr>
      </w:pPr>
      <w:r>
        <w:rPr>
          <w:rFonts w:ascii="Times New Roman" w:hAnsi="Times New Roman" w:cs="Times New Roman"/>
        </w:rPr>
        <w:t xml:space="preserve">Varianta III. </w:t>
      </w:r>
      <w:r w:rsidR="00B876C4">
        <w:rPr>
          <w:rFonts w:ascii="Times New Roman" w:hAnsi="Times New Roman" w:cs="Times New Roman"/>
        </w:rPr>
        <w:t>U této varianty je hlavním přínosem</w:t>
      </w:r>
      <w:r w:rsidR="00267767" w:rsidRPr="00944B23">
        <w:rPr>
          <w:rFonts w:ascii="Times New Roman" w:hAnsi="Times New Roman" w:cs="Times New Roman"/>
        </w:rPr>
        <w:t xml:space="preserve"> to, že </w:t>
      </w:r>
      <w:r w:rsidR="00D95DCE">
        <w:rPr>
          <w:rFonts w:ascii="Times New Roman" w:hAnsi="Times New Roman" w:cs="Times New Roman"/>
        </w:rPr>
        <w:t>dodavatelé</w:t>
      </w:r>
      <w:r w:rsidR="00FA2B33">
        <w:rPr>
          <w:rFonts w:ascii="Times New Roman" w:hAnsi="Times New Roman" w:cs="Times New Roman"/>
        </w:rPr>
        <w:t xml:space="preserve"> obdrží průběžnou informaci o spotřeb</w:t>
      </w:r>
      <w:r w:rsidR="00357A5E">
        <w:rPr>
          <w:rFonts w:ascii="Times New Roman" w:hAnsi="Times New Roman" w:cs="Times New Roman"/>
        </w:rPr>
        <w:t>ě</w:t>
      </w:r>
      <w:r w:rsidR="00D95DCE">
        <w:rPr>
          <w:rFonts w:ascii="Times New Roman" w:hAnsi="Times New Roman" w:cs="Times New Roman"/>
        </w:rPr>
        <w:t xml:space="preserve"> pro poskytování informace o vyúčtování</w:t>
      </w:r>
      <w:r w:rsidR="00FA2B33">
        <w:rPr>
          <w:rFonts w:ascii="Times New Roman" w:hAnsi="Times New Roman" w:cs="Times New Roman"/>
        </w:rPr>
        <w:t xml:space="preserve">. Provedením této varianty bude možné dokončit </w:t>
      </w:r>
      <w:r w:rsidR="002E0C0F">
        <w:rPr>
          <w:rFonts w:ascii="Times New Roman" w:hAnsi="Times New Roman" w:cs="Times New Roman"/>
        </w:rPr>
        <w:t>aplikaci</w:t>
      </w:r>
      <w:r w:rsidR="00FA2B33">
        <w:rPr>
          <w:rFonts w:ascii="Times New Roman" w:hAnsi="Times New Roman" w:cs="Times New Roman"/>
        </w:rPr>
        <w:t xml:space="preserve"> vyhlášky č. 207/2021 Sb., o vyúčtování dodávek a souvisejících služeb a zajistit soulad s platnou právní úpravou.</w:t>
      </w:r>
    </w:p>
    <w:p w14:paraId="4D85DE4F" w14:textId="4445A5E2" w:rsidR="00127D9B" w:rsidRDefault="009E0F32"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1C8CFDB9" w14:textId="47654712" w:rsidR="009E0F32" w:rsidRPr="00337EFA" w:rsidRDefault="009E0F32" w:rsidP="00237AFE">
      <w:pPr>
        <w:pStyle w:val="Odstavecseseznamem"/>
        <w:numPr>
          <w:ilvl w:val="0"/>
          <w:numId w:val="20"/>
        </w:numPr>
        <w:jc w:val="both"/>
        <w:rPr>
          <w:rFonts w:ascii="Times New Roman" w:hAnsi="Times New Roman" w:cs="Times New Roman"/>
          <w:u w:val="single"/>
        </w:rPr>
      </w:pPr>
      <w:r w:rsidRPr="00337EFA">
        <w:rPr>
          <w:rFonts w:ascii="Times New Roman" w:hAnsi="Times New Roman" w:cs="Times New Roman"/>
          <w:u w:val="single"/>
        </w:rPr>
        <w:t>Varianta II</w:t>
      </w:r>
      <w:r w:rsidR="00D964BF">
        <w:rPr>
          <w:rFonts w:ascii="Times New Roman" w:hAnsi="Times New Roman" w:cs="Times New Roman"/>
          <w:u w:val="single"/>
        </w:rPr>
        <w:t>I.</w:t>
      </w:r>
    </w:p>
    <w:p w14:paraId="691EC5F4" w14:textId="17CC76BF" w:rsidR="009E0F32" w:rsidRDefault="009E0F32" w:rsidP="00237AFE">
      <w:pPr>
        <w:pStyle w:val="Odstavecseseznamem"/>
        <w:numPr>
          <w:ilvl w:val="0"/>
          <w:numId w:val="20"/>
        </w:numPr>
        <w:jc w:val="both"/>
        <w:rPr>
          <w:rFonts w:ascii="Times New Roman" w:hAnsi="Times New Roman" w:cs="Times New Roman"/>
          <w:u w:val="single"/>
        </w:rPr>
      </w:pPr>
      <w:r w:rsidRPr="00337EFA">
        <w:rPr>
          <w:rFonts w:ascii="Times New Roman" w:hAnsi="Times New Roman" w:cs="Times New Roman"/>
          <w:u w:val="single"/>
        </w:rPr>
        <w:t>Varianta I</w:t>
      </w:r>
      <w:r w:rsidR="00D964BF">
        <w:rPr>
          <w:rFonts w:ascii="Times New Roman" w:hAnsi="Times New Roman" w:cs="Times New Roman"/>
          <w:u w:val="single"/>
        </w:rPr>
        <w:t>I.</w:t>
      </w:r>
    </w:p>
    <w:p w14:paraId="03C39206" w14:textId="1335741E" w:rsidR="00D964BF" w:rsidRPr="00337EFA" w:rsidRDefault="00D964BF" w:rsidP="00237AFE">
      <w:pPr>
        <w:pStyle w:val="Odstavecseseznamem"/>
        <w:numPr>
          <w:ilvl w:val="0"/>
          <w:numId w:val="20"/>
        </w:numPr>
        <w:jc w:val="both"/>
        <w:rPr>
          <w:rFonts w:ascii="Times New Roman" w:hAnsi="Times New Roman" w:cs="Times New Roman"/>
          <w:u w:val="single"/>
        </w:rPr>
      </w:pPr>
      <w:r>
        <w:rPr>
          <w:rFonts w:ascii="Times New Roman" w:hAnsi="Times New Roman" w:cs="Times New Roman"/>
          <w:u w:val="single"/>
        </w:rPr>
        <w:t>Varianta I.</w:t>
      </w:r>
    </w:p>
    <w:p w14:paraId="23AE5D0F" w14:textId="13645369" w:rsidR="00127D9B" w:rsidRDefault="00127D9B" w:rsidP="00237AFE">
      <w:pPr>
        <w:jc w:val="both"/>
        <w:rPr>
          <w:rFonts w:ascii="Times New Roman" w:hAnsi="Times New Roman" w:cs="Times New Roman"/>
        </w:rPr>
      </w:pPr>
      <w:r w:rsidRPr="00944B23">
        <w:rPr>
          <w:rFonts w:ascii="Times New Roman" w:hAnsi="Times New Roman" w:cs="Times New Roman"/>
        </w:rPr>
        <w:t>Navrhujeme postupovat dle varianty II</w:t>
      </w:r>
      <w:r w:rsidR="00D964BF">
        <w:rPr>
          <w:rFonts w:ascii="Times New Roman" w:hAnsi="Times New Roman" w:cs="Times New Roman"/>
        </w:rPr>
        <w:t>I</w:t>
      </w:r>
      <w:r w:rsidRPr="00944B23">
        <w:rPr>
          <w:rFonts w:ascii="Times New Roman" w:hAnsi="Times New Roman" w:cs="Times New Roman"/>
        </w:rPr>
        <w:t xml:space="preserve">., která zajistí žádoucí </w:t>
      </w:r>
      <w:r w:rsidR="00FA2B33">
        <w:rPr>
          <w:rFonts w:ascii="Times New Roman" w:hAnsi="Times New Roman" w:cs="Times New Roman"/>
        </w:rPr>
        <w:t>stav, tedy naplnění požadavků platné právní úpravy</w:t>
      </w:r>
      <w:r w:rsidR="00267767" w:rsidRPr="00944B23">
        <w:rPr>
          <w:rFonts w:ascii="Times New Roman" w:hAnsi="Times New Roman" w:cs="Times New Roman"/>
        </w:rPr>
        <w:t>.</w:t>
      </w:r>
      <w:r w:rsidR="00FA2B33">
        <w:rPr>
          <w:rFonts w:ascii="Times New Roman" w:hAnsi="Times New Roman" w:cs="Times New Roman"/>
        </w:rPr>
        <w:t xml:space="preserve"> Konkrétně </w:t>
      </w:r>
      <w:r w:rsidR="00FA2B33" w:rsidRPr="00F72401">
        <w:rPr>
          <w:rFonts w:ascii="Times New Roman" w:hAnsi="Times New Roman" w:cs="Times New Roman"/>
        </w:rPr>
        <w:t>příloh</w:t>
      </w:r>
      <w:r w:rsidR="00FA2B33">
        <w:rPr>
          <w:rFonts w:ascii="Times New Roman" w:hAnsi="Times New Roman" w:cs="Times New Roman"/>
        </w:rPr>
        <w:t>y</w:t>
      </w:r>
      <w:r w:rsidR="00FA2B33" w:rsidRPr="00F72401">
        <w:rPr>
          <w:rFonts w:ascii="Times New Roman" w:hAnsi="Times New Roman" w:cs="Times New Roman"/>
        </w:rPr>
        <w:t xml:space="preserve"> I směrnice Evropského parlamentu a Rady (EU) 2019/944; příloha VII směrnice Evropského parlamentu a Rady č. 2012/27/ES o energetické účinnosti, ve znění směrnice Evropského parlamentu a Rady (EU) 2018/2002)</w:t>
      </w:r>
      <w:r w:rsidR="00FA2B33">
        <w:rPr>
          <w:rFonts w:ascii="Times New Roman" w:hAnsi="Times New Roman" w:cs="Times New Roman"/>
          <w:bCs/>
        </w:rPr>
        <w:t xml:space="preserve"> a</w:t>
      </w:r>
      <w:r w:rsidR="00FA2B33" w:rsidRPr="00F72401">
        <w:rPr>
          <w:rFonts w:ascii="Times New Roman" w:hAnsi="Times New Roman" w:cs="Times New Roman"/>
        </w:rPr>
        <w:t xml:space="preserve"> novely energetického zákona (zákon č. 362/2021 Sb.)</w:t>
      </w:r>
      <w:r w:rsidR="00FA2B33">
        <w:rPr>
          <w:rFonts w:ascii="Times New Roman" w:hAnsi="Times New Roman" w:cs="Times New Roman"/>
        </w:rPr>
        <w:t>.</w:t>
      </w:r>
    </w:p>
    <w:p w14:paraId="55CE0DEB" w14:textId="3F8E61FD" w:rsidR="00C73E44" w:rsidRDefault="00C73E44" w:rsidP="00237AFE">
      <w:pPr>
        <w:jc w:val="both"/>
        <w:rPr>
          <w:rFonts w:ascii="Times New Roman" w:hAnsi="Times New Roman" w:cs="Times New Roman"/>
        </w:rPr>
      </w:pPr>
      <w:r>
        <w:rPr>
          <w:rFonts w:ascii="Times New Roman" w:hAnsi="Times New Roman" w:cs="Times New Roman"/>
        </w:rPr>
        <w:t xml:space="preserve">Zvolená varianta nemá dopady na státní rozpočet. Zvolená varianta </w:t>
      </w:r>
      <w:r w:rsidR="0049218D">
        <w:rPr>
          <w:rFonts w:ascii="Times New Roman" w:hAnsi="Times New Roman" w:cs="Times New Roman"/>
        </w:rPr>
        <w:t xml:space="preserve">nemá </w:t>
      </w:r>
      <w:r>
        <w:rPr>
          <w:rFonts w:ascii="Times New Roman" w:hAnsi="Times New Roman" w:cs="Times New Roman"/>
        </w:rPr>
        <w:t xml:space="preserve">dopady do podnikatelského prostředí, jelikož </w:t>
      </w:r>
      <w:r w:rsidR="0049218D">
        <w:rPr>
          <w:rFonts w:ascii="Times New Roman" w:hAnsi="Times New Roman" w:cs="Times New Roman"/>
        </w:rPr>
        <w:t>nevynucuje</w:t>
      </w:r>
      <w:r>
        <w:rPr>
          <w:rFonts w:ascii="Times New Roman" w:hAnsi="Times New Roman" w:cs="Times New Roman"/>
        </w:rPr>
        <w:t xml:space="preserve"> úpravu informačních systémů některých dotčených skupin osob. Zvolená varianta má pozitivní sociální dopady, jelikož ve svém důsledku (ve spojení s úpravou vyhlášky o vyúčtování) umožní zákazníkům častější kontrolu svojí spotřeby, a tím pádem</w:t>
      </w:r>
      <w:r w:rsidR="00D53E08">
        <w:rPr>
          <w:rFonts w:ascii="Times New Roman" w:hAnsi="Times New Roman" w:cs="Times New Roman"/>
        </w:rPr>
        <w:t xml:space="preserve"> zajistí jejich lepší informovanost o jejich celkové spotřebě a o očekávaných nákladech. </w:t>
      </w:r>
      <w:r w:rsidR="002A7B82">
        <w:rPr>
          <w:rFonts w:ascii="Times New Roman" w:hAnsi="Times New Roman" w:cs="Times New Roman"/>
        </w:rPr>
        <w:t xml:space="preserve">Zvolená varianta nemá dopady ve vztahu k zákazu diskriminace a ve vztahu k rovnosti žen a mužů, nemá dopady ani na výkon státní statistické služby. </w:t>
      </w:r>
      <w:r w:rsidR="00B65E97">
        <w:rPr>
          <w:rFonts w:ascii="Times New Roman" w:hAnsi="Times New Roman" w:cs="Times New Roman"/>
        </w:rPr>
        <w:t>Dodatečné d</w:t>
      </w:r>
      <w:r w:rsidR="002A7B82">
        <w:rPr>
          <w:rFonts w:ascii="Times New Roman" w:hAnsi="Times New Roman" w:cs="Times New Roman"/>
        </w:rPr>
        <w:t>opady ve vztahu k ochraně soukromí a</w:t>
      </w:r>
      <w:r w:rsidR="00B65E97">
        <w:rPr>
          <w:rFonts w:ascii="Times New Roman" w:hAnsi="Times New Roman" w:cs="Times New Roman"/>
        </w:rPr>
        <w:t xml:space="preserve"> osobních údajů nejsou vyvolány, právní titul zůstává stávající.</w:t>
      </w:r>
      <w:r w:rsidR="002A7B82">
        <w:rPr>
          <w:rFonts w:ascii="Times New Roman" w:hAnsi="Times New Roman" w:cs="Times New Roman"/>
        </w:rPr>
        <w:t xml:space="preserve"> </w:t>
      </w:r>
      <w:r w:rsidR="0038048F">
        <w:rPr>
          <w:rFonts w:ascii="Times New Roman" w:hAnsi="Times New Roman" w:cs="Times New Roman"/>
        </w:rPr>
        <w:t>Zvolená varianta</w:t>
      </w:r>
      <w:r w:rsidR="0038048F" w:rsidRPr="00944B23">
        <w:rPr>
          <w:rFonts w:ascii="Times New Roman" w:hAnsi="Times New Roman" w:cs="Times New Roman"/>
        </w:rPr>
        <w:t xml:space="preserve"> nepředpokládá jakékoliv </w:t>
      </w:r>
      <w:r w:rsidR="0038048F">
        <w:rPr>
          <w:rFonts w:ascii="Times New Roman" w:hAnsi="Times New Roman" w:cs="Times New Roman"/>
        </w:rPr>
        <w:t xml:space="preserve">dopady na míru korupce, </w:t>
      </w:r>
      <w:r w:rsidR="0038048F" w:rsidRPr="00944B23">
        <w:rPr>
          <w:rFonts w:ascii="Times New Roman" w:hAnsi="Times New Roman" w:cs="Times New Roman"/>
        </w:rPr>
        <w:t>navrhované změny de facto neumožňují vznik korupčního prostředí. Návrh vyhlášky nepředpokládá založení korupčních rizik ani jejich nárůst.</w:t>
      </w:r>
      <w:r w:rsidR="00DF6047">
        <w:rPr>
          <w:rFonts w:ascii="Times New Roman" w:hAnsi="Times New Roman" w:cs="Times New Roman"/>
        </w:rPr>
        <w:t xml:space="preserve"> Zvolená varianta</w:t>
      </w:r>
      <w:r w:rsidR="00BC1780">
        <w:rPr>
          <w:rFonts w:ascii="Times New Roman" w:hAnsi="Times New Roman" w:cs="Times New Roman"/>
        </w:rPr>
        <w:t xml:space="preserve"> s ohledem na svůj obsah</w:t>
      </w:r>
      <w:r w:rsidR="00DF6047">
        <w:rPr>
          <w:rFonts w:ascii="Times New Roman" w:hAnsi="Times New Roman" w:cs="Times New Roman"/>
        </w:rPr>
        <w:t xml:space="preserve"> nemá dopady na bezpečnost a obranu státu.</w:t>
      </w:r>
    </w:p>
    <w:p w14:paraId="270A5B75" w14:textId="023DB62D" w:rsidR="00D964BF" w:rsidRPr="00267767" w:rsidRDefault="00D964BF" w:rsidP="00237AFE">
      <w:pPr>
        <w:pStyle w:val="Nadpis3"/>
        <w:spacing w:after="120"/>
        <w:jc w:val="both"/>
        <w:rPr>
          <w:rFonts w:ascii="Times New Roman" w:eastAsiaTheme="minorHAnsi" w:hAnsi="Times New Roman" w:cs="Times New Roman"/>
          <w:bCs w:val="0"/>
          <w:color w:val="auto"/>
          <w:sz w:val="20"/>
          <w:szCs w:val="20"/>
        </w:rPr>
      </w:pPr>
      <w:r w:rsidRPr="00267767">
        <w:rPr>
          <w:rFonts w:ascii="Times New Roman" w:eastAsiaTheme="minorHAnsi" w:hAnsi="Times New Roman" w:cs="Times New Roman"/>
          <w:bCs w:val="0"/>
          <w:color w:val="auto"/>
          <w:sz w:val="20"/>
          <w:szCs w:val="20"/>
        </w:rPr>
        <w:t>2.1.</w:t>
      </w:r>
      <w:r>
        <w:rPr>
          <w:rFonts w:ascii="Times New Roman" w:eastAsiaTheme="minorHAnsi" w:hAnsi="Times New Roman" w:cs="Times New Roman"/>
          <w:bCs w:val="0"/>
          <w:color w:val="auto"/>
          <w:sz w:val="20"/>
          <w:szCs w:val="20"/>
        </w:rPr>
        <w:t>2</w:t>
      </w:r>
      <w:r w:rsidRPr="00267767">
        <w:rPr>
          <w:rFonts w:ascii="Times New Roman" w:eastAsiaTheme="minorHAnsi" w:hAnsi="Times New Roman" w:cs="Times New Roman"/>
          <w:bCs w:val="0"/>
          <w:color w:val="auto"/>
          <w:sz w:val="20"/>
          <w:szCs w:val="20"/>
        </w:rPr>
        <w:t xml:space="preserve"> </w:t>
      </w:r>
      <w:r>
        <w:rPr>
          <w:rFonts w:ascii="Times New Roman" w:eastAsiaTheme="minorHAnsi" w:hAnsi="Times New Roman" w:cs="Times New Roman"/>
          <w:bCs w:val="0"/>
          <w:color w:val="auto"/>
        </w:rPr>
        <w:t>Předávání údajů pro potřeby poskytnutí informace o vyúčtování u měření bez dálkového odečtu</w:t>
      </w:r>
    </w:p>
    <w:p w14:paraId="53635C36" w14:textId="437D7DB5" w:rsidR="00D964BF" w:rsidRPr="00E17E88" w:rsidRDefault="00D964BF" w:rsidP="00237AFE">
      <w:pPr>
        <w:jc w:val="both"/>
        <w:rPr>
          <w:rFonts w:ascii="Times New Roman" w:hAnsi="Times New Roman" w:cs="Times New Roman"/>
          <w:sz w:val="20"/>
          <w:szCs w:val="20"/>
        </w:rPr>
      </w:pPr>
      <w:r w:rsidRPr="00944B23">
        <w:rPr>
          <w:rFonts w:ascii="Times New Roman" w:hAnsi="Times New Roman" w:cs="Times New Roman"/>
          <w:b/>
          <w:i/>
        </w:rPr>
        <w:t>Varianta I</w:t>
      </w:r>
      <w:r w:rsidRPr="00944B23">
        <w:rPr>
          <w:rFonts w:ascii="Times New Roman" w:hAnsi="Times New Roman" w:cs="Times New Roman"/>
        </w:rPr>
        <w:t>.</w:t>
      </w:r>
      <w:r w:rsidRPr="00E17E88">
        <w:rPr>
          <w:rFonts w:ascii="Times New Roman" w:hAnsi="Times New Roman" w:cs="Times New Roman"/>
          <w:sz w:val="20"/>
          <w:szCs w:val="20"/>
        </w:rPr>
        <w:t xml:space="preserve"> – </w:t>
      </w:r>
      <w:r w:rsidRPr="00944B23">
        <w:rPr>
          <w:rFonts w:ascii="Times New Roman" w:hAnsi="Times New Roman" w:cs="Times New Roman"/>
        </w:rPr>
        <w:t xml:space="preserve">rezignace na </w:t>
      </w:r>
      <w:r>
        <w:rPr>
          <w:rFonts w:ascii="Times New Roman" w:hAnsi="Times New Roman" w:cs="Times New Roman"/>
        </w:rPr>
        <w:t>provedení textové úpravy vyhlášky a neprovedení právní úpravy, která by umožnila zavedení předávání tzv. informace o vyúčtování.</w:t>
      </w:r>
    </w:p>
    <w:p w14:paraId="25D5731D" w14:textId="6E30CB86" w:rsidR="00D964BF" w:rsidRDefault="00D964BF" w:rsidP="00237AFE">
      <w:pPr>
        <w:pStyle w:val="Nadpis3"/>
        <w:spacing w:after="120"/>
        <w:jc w:val="both"/>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Pokud by se nepřistoupilo na neprovedení úpravy a zákazníci by neměli možnost předávat samoodečty pro účely získání informace o vyúčtování, došlo by k nesouladu s vyhláškou č. 207/2021 Sb., o vyúčtování dodávek a souvisejících služeb, která je v současné době novelizována a do které je tento institut implementován. Současně nedojde k transpozici a zákazníci nebudou mít možnost vy</w:t>
      </w:r>
      <w:r w:rsidR="00073BA0">
        <w:rPr>
          <w:rFonts w:ascii="Times New Roman" w:eastAsiaTheme="minorHAnsi" w:hAnsi="Times New Roman" w:cs="Times New Roman"/>
          <w:b w:val="0"/>
          <w:bCs w:val="0"/>
          <w:color w:val="auto"/>
        </w:rPr>
        <w:t>u</w:t>
      </w:r>
      <w:r>
        <w:rPr>
          <w:rFonts w:ascii="Times New Roman" w:eastAsiaTheme="minorHAnsi" w:hAnsi="Times New Roman" w:cs="Times New Roman"/>
          <w:b w:val="0"/>
          <w:bCs w:val="0"/>
          <w:color w:val="auto"/>
        </w:rPr>
        <w:t>žívat institut informace o vyúčtování.</w:t>
      </w:r>
    </w:p>
    <w:p w14:paraId="08ADDDCE" w14:textId="11F3CAA7" w:rsidR="00D964BF" w:rsidRDefault="00D964BF" w:rsidP="00237AFE">
      <w:pPr>
        <w:jc w:val="both"/>
        <w:rPr>
          <w:rFonts w:ascii="Times New Roman" w:hAnsi="Times New Roman" w:cs="Times New Roman"/>
        </w:rPr>
      </w:pPr>
      <w:r w:rsidRPr="00B72BC3">
        <w:rPr>
          <w:rFonts w:ascii="Times New Roman" w:hAnsi="Times New Roman" w:cs="Times New Roman"/>
          <w:b/>
          <w:i/>
        </w:rPr>
        <w:t>Varianta II.</w:t>
      </w:r>
      <w:r>
        <w:rPr>
          <w:rFonts w:ascii="Times New Roman" w:hAnsi="Times New Roman" w:cs="Times New Roman"/>
          <w:b/>
          <w:i/>
        </w:rPr>
        <w:t xml:space="preserve"> – </w:t>
      </w:r>
      <w:r w:rsidR="0030119A">
        <w:rPr>
          <w:rFonts w:ascii="Times New Roman" w:hAnsi="Times New Roman" w:cs="Times New Roman"/>
        </w:rPr>
        <w:t>Z</w:t>
      </w:r>
      <w:r w:rsidR="0030119A" w:rsidRPr="00337EFA">
        <w:rPr>
          <w:rFonts w:ascii="Times New Roman" w:hAnsi="Times New Roman" w:cs="Times New Roman"/>
        </w:rPr>
        <w:t>ákazník/</w:t>
      </w:r>
      <w:r w:rsidR="0030714F" w:rsidRPr="00337EFA">
        <w:rPr>
          <w:rFonts w:ascii="Times New Roman" w:hAnsi="Times New Roman" w:cs="Times New Roman"/>
        </w:rPr>
        <w:t>dodavatel</w:t>
      </w:r>
      <w:r w:rsidR="0030714F">
        <w:rPr>
          <w:rFonts w:ascii="Times New Roman" w:hAnsi="Times New Roman" w:cs="Times New Roman"/>
          <w:b/>
          <w:i/>
        </w:rPr>
        <w:t xml:space="preserve"> – </w:t>
      </w:r>
      <w:r w:rsidR="0030714F" w:rsidRPr="0030714F">
        <w:rPr>
          <w:rFonts w:ascii="Times New Roman" w:hAnsi="Times New Roman" w:cs="Times New Roman"/>
        </w:rPr>
        <w:t>předávání</w:t>
      </w:r>
      <w:r>
        <w:rPr>
          <w:rFonts w:ascii="Times New Roman" w:hAnsi="Times New Roman" w:cs="Times New Roman"/>
        </w:rPr>
        <w:t xml:space="preserve"> údajů pro potřeby poskytnutí informace o vyúčtování u měření bez dálkového </w:t>
      </w:r>
      <w:r w:rsidR="000D39CD">
        <w:rPr>
          <w:rFonts w:ascii="Times New Roman" w:hAnsi="Times New Roman" w:cs="Times New Roman"/>
        </w:rPr>
        <w:t>odečtu</w:t>
      </w:r>
      <w:r>
        <w:rPr>
          <w:rFonts w:ascii="Times New Roman" w:hAnsi="Times New Roman" w:cs="Times New Roman"/>
        </w:rPr>
        <w:t xml:space="preserve"> prostřednictvím </w:t>
      </w:r>
      <w:r w:rsidR="000D39CD">
        <w:rPr>
          <w:rFonts w:ascii="Times New Roman" w:hAnsi="Times New Roman" w:cs="Times New Roman"/>
        </w:rPr>
        <w:t xml:space="preserve">kontrolních samoodečtů </w:t>
      </w:r>
      <w:r w:rsidR="007C53CB">
        <w:rPr>
          <w:rFonts w:ascii="Times New Roman" w:hAnsi="Times New Roman" w:cs="Times New Roman"/>
        </w:rPr>
        <w:t>po</w:t>
      </w:r>
      <w:r w:rsidR="000D39CD">
        <w:rPr>
          <w:rFonts w:ascii="Times New Roman" w:hAnsi="Times New Roman" w:cs="Times New Roman"/>
        </w:rPr>
        <w:t>dle platné právní úpravy</w:t>
      </w:r>
      <w:r w:rsidR="0030119A">
        <w:rPr>
          <w:rFonts w:ascii="Times New Roman" w:hAnsi="Times New Roman" w:cs="Times New Roman"/>
        </w:rPr>
        <w:t>.</w:t>
      </w:r>
      <w:r w:rsidR="000D39CD">
        <w:rPr>
          <w:rFonts w:ascii="Times New Roman" w:hAnsi="Times New Roman" w:cs="Times New Roman"/>
        </w:rPr>
        <w:t xml:space="preserve"> </w:t>
      </w:r>
    </w:p>
    <w:p w14:paraId="7F9A2F7C" w14:textId="1A8D0E3C" w:rsidR="00073BA0" w:rsidRDefault="0030119A" w:rsidP="00237AFE">
      <w:pPr>
        <w:jc w:val="both"/>
        <w:rPr>
          <w:rFonts w:ascii="Times New Roman" w:hAnsi="Times New Roman" w:cs="Times New Roman"/>
        </w:rPr>
      </w:pPr>
      <w:r>
        <w:rPr>
          <w:rFonts w:ascii="Times New Roman" w:hAnsi="Times New Roman" w:cs="Times New Roman"/>
        </w:rPr>
        <w:t>Provozovatel soustavy/</w:t>
      </w:r>
      <w:r w:rsidR="0030714F">
        <w:rPr>
          <w:rFonts w:ascii="Times New Roman" w:hAnsi="Times New Roman" w:cs="Times New Roman"/>
        </w:rPr>
        <w:t>dodavatel – předávání</w:t>
      </w:r>
      <w:r w:rsidR="00073BA0">
        <w:rPr>
          <w:rFonts w:ascii="Times New Roman" w:hAnsi="Times New Roman" w:cs="Times New Roman"/>
        </w:rPr>
        <w:t xml:space="preserve"> údajů </w:t>
      </w:r>
      <w:r w:rsidR="00B0169C">
        <w:rPr>
          <w:rFonts w:ascii="Times New Roman" w:hAnsi="Times New Roman" w:cs="Times New Roman"/>
        </w:rPr>
        <w:t xml:space="preserve">a jejich validace </w:t>
      </w:r>
      <w:r w:rsidR="00073BA0">
        <w:rPr>
          <w:rFonts w:ascii="Times New Roman" w:hAnsi="Times New Roman" w:cs="Times New Roman"/>
        </w:rPr>
        <w:t>pro potřeby poskytnutí informace prostřednictvím tzv. DÚF, tedy v rámci struktury dat předávaných provozovatelem distribuční soustavy pro účely vyúčtování elektřiny.</w:t>
      </w:r>
    </w:p>
    <w:p w14:paraId="00F1017D" w14:textId="461BDB48" w:rsidR="00D964BF" w:rsidRDefault="00D964BF" w:rsidP="00237AFE">
      <w:pPr>
        <w:jc w:val="both"/>
        <w:rPr>
          <w:rFonts w:ascii="Times New Roman" w:hAnsi="Times New Roman" w:cs="Times New Roman"/>
        </w:rPr>
      </w:pPr>
      <w:r w:rsidRPr="00944B23">
        <w:rPr>
          <w:rFonts w:ascii="Times New Roman" w:hAnsi="Times New Roman" w:cs="Times New Roman"/>
          <w:b/>
          <w:i/>
        </w:rPr>
        <w:t>Varianta II</w:t>
      </w:r>
      <w:r>
        <w:rPr>
          <w:rFonts w:ascii="Times New Roman" w:hAnsi="Times New Roman" w:cs="Times New Roman"/>
          <w:b/>
          <w:i/>
        </w:rPr>
        <w:t>I</w:t>
      </w:r>
      <w:r w:rsidRPr="00944B23">
        <w:rPr>
          <w:rFonts w:ascii="Times New Roman" w:hAnsi="Times New Roman" w:cs="Times New Roman"/>
          <w:b/>
          <w:i/>
        </w:rPr>
        <w:t>.</w:t>
      </w:r>
      <w:r w:rsidRPr="00944B23">
        <w:rPr>
          <w:rFonts w:ascii="Times New Roman" w:hAnsi="Times New Roman" w:cs="Times New Roman"/>
          <w:sz w:val="20"/>
          <w:szCs w:val="20"/>
        </w:rPr>
        <w:t xml:space="preserve"> </w:t>
      </w:r>
      <w:r w:rsidRPr="00E17E88">
        <w:rPr>
          <w:rFonts w:ascii="Times New Roman" w:hAnsi="Times New Roman" w:cs="Times New Roman"/>
          <w:sz w:val="20"/>
          <w:szCs w:val="20"/>
        </w:rPr>
        <w:t xml:space="preserve">– </w:t>
      </w:r>
      <w:r w:rsidR="00B0169C">
        <w:rPr>
          <w:rFonts w:ascii="Times New Roman" w:hAnsi="Times New Roman" w:cs="Times New Roman"/>
        </w:rPr>
        <w:t>Z</w:t>
      </w:r>
      <w:r w:rsidR="00B0169C" w:rsidRPr="003F5213">
        <w:rPr>
          <w:rFonts w:ascii="Times New Roman" w:hAnsi="Times New Roman" w:cs="Times New Roman"/>
        </w:rPr>
        <w:t>ákazník/</w:t>
      </w:r>
      <w:r w:rsidR="00230FF5" w:rsidRPr="003F5213">
        <w:rPr>
          <w:rFonts w:ascii="Times New Roman" w:hAnsi="Times New Roman" w:cs="Times New Roman"/>
        </w:rPr>
        <w:t>dodavatel</w:t>
      </w:r>
      <w:r w:rsidR="00230FF5">
        <w:rPr>
          <w:rFonts w:ascii="Times New Roman" w:hAnsi="Times New Roman" w:cs="Times New Roman"/>
          <w:b/>
          <w:i/>
        </w:rPr>
        <w:t xml:space="preserve"> – </w:t>
      </w:r>
      <w:r w:rsidR="00230FF5" w:rsidRPr="00230FF5">
        <w:rPr>
          <w:rFonts w:ascii="Times New Roman" w:hAnsi="Times New Roman" w:cs="Times New Roman"/>
        </w:rPr>
        <w:t>předávání</w:t>
      </w:r>
      <w:r>
        <w:rPr>
          <w:rFonts w:ascii="Times New Roman" w:hAnsi="Times New Roman" w:cs="Times New Roman"/>
        </w:rPr>
        <w:t xml:space="preserve"> údajů</w:t>
      </w:r>
      <w:r w:rsidRPr="004A1AE2">
        <w:rPr>
          <w:rFonts w:ascii="Times New Roman" w:hAnsi="Times New Roman" w:cs="Times New Roman"/>
        </w:rPr>
        <w:t xml:space="preserve"> </w:t>
      </w:r>
      <w:r>
        <w:rPr>
          <w:rFonts w:ascii="Times New Roman" w:hAnsi="Times New Roman" w:cs="Times New Roman"/>
        </w:rPr>
        <w:t>pro potřeby poskytnutí informace o vyúčtování u měření</w:t>
      </w:r>
      <w:r w:rsidR="000D39CD">
        <w:rPr>
          <w:rFonts w:ascii="Times New Roman" w:hAnsi="Times New Roman" w:cs="Times New Roman"/>
        </w:rPr>
        <w:t xml:space="preserve"> bez</w:t>
      </w:r>
      <w:r>
        <w:rPr>
          <w:rFonts w:ascii="Times New Roman" w:hAnsi="Times New Roman" w:cs="Times New Roman"/>
        </w:rPr>
        <w:t> dálkov</w:t>
      </w:r>
      <w:r w:rsidR="000D39CD">
        <w:rPr>
          <w:rFonts w:ascii="Times New Roman" w:hAnsi="Times New Roman" w:cs="Times New Roman"/>
        </w:rPr>
        <w:t>ého</w:t>
      </w:r>
      <w:r>
        <w:rPr>
          <w:rFonts w:ascii="Times New Roman" w:hAnsi="Times New Roman" w:cs="Times New Roman"/>
        </w:rPr>
        <w:t xml:space="preserve"> odečt</w:t>
      </w:r>
      <w:r w:rsidR="000D39CD">
        <w:rPr>
          <w:rFonts w:ascii="Times New Roman" w:hAnsi="Times New Roman" w:cs="Times New Roman"/>
        </w:rPr>
        <w:t>u s využitím nového druhu samoodečtu</w:t>
      </w:r>
      <w:r>
        <w:rPr>
          <w:rFonts w:ascii="Times New Roman" w:hAnsi="Times New Roman" w:cs="Times New Roman"/>
        </w:rPr>
        <w:t xml:space="preserve">. </w:t>
      </w:r>
    </w:p>
    <w:p w14:paraId="48DC3527" w14:textId="419BDD3E" w:rsidR="00B0169C" w:rsidRPr="007C2EA9" w:rsidRDefault="00B0169C" w:rsidP="00237AFE">
      <w:pPr>
        <w:jc w:val="both"/>
      </w:pPr>
      <w:r>
        <w:rPr>
          <w:rFonts w:ascii="Times New Roman" w:hAnsi="Times New Roman" w:cs="Times New Roman"/>
        </w:rPr>
        <w:t>Provozovatel soustavy/dodavatel – prostřednictvím institutu, který nepředznamenává fakturaci</w:t>
      </w:r>
      <w:r w:rsidR="00D66EDF">
        <w:rPr>
          <w:rFonts w:ascii="Times New Roman" w:hAnsi="Times New Roman" w:cs="Times New Roman"/>
        </w:rPr>
        <w:t>.</w:t>
      </w:r>
    </w:p>
    <w:p w14:paraId="38D2CFDC" w14:textId="62EB39B5" w:rsidR="00D964BF" w:rsidRPr="00F72401" w:rsidRDefault="00D964BF" w:rsidP="00237AFE">
      <w:pPr>
        <w:jc w:val="both"/>
        <w:rPr>
          <w:rFonts w:ascii="Times New Roman" w:hAnsi="Times New Roman" w:cs="Times New Roman"/>
        </w:rPr>
      </w:pPr>
      <w:r w:rsidRPr="001E4545">
        <w:rPr>
          <w:rFonts w:ascii="Times New Roman" w:hAnsi="Times New Roman" w:cs="Times New Roman"/>
        </w:rPr>
        <w:t>Česká republika je povinna transponovat do právního řádu institut tzv. informace o vyúčtování (</w:t>
      </w:r>
      <w:r w:rsidRPr="00F72401">
        <w:rPr>
          <w:rFonts w:ascii="Times New Roman" w:hAnsi="Times New Roman" w:cs="Times New Roman"/>
        </w:rPr>
        <w:t>příloha I směrnice Evropského parlamentu a Rady (EU) 2019/944; příloha VII směrnice Evropského parlamentu a Rady č. 2012/27/ES o energetické účinnosti, ve znění směrnice Evropského parlamentu a Rady (EU) 2018/2002)</w:t>
      </w:r>
      <w:r w:rsidRPr="00F72401">
        <w:rPr>
          <w:rFonts w:ascii="Times New Roman" w:hAnsi="Times New Roman" w:cs="Times New Roman"/>
          <w:bCs/>
        </w:rPr>
        <w:t>.</w:t>
      </w:r>
      <w:r w:rsidRPr="00F72401">
        <w:rPr>
          <w:rFonts w:ascii="Times New Roman" w:hAnsi="Times New Roman" w:cs="Times New Roman"/>
        </w:rPr>
        <w:t xml:space="preserve"> </w:t>
      </w:r>
      <w:r w:rsidRPr="00F72401">
        <w:rPr>
          <w:rFonts w:ascii="Times New Roman" w:hAnsi="Times New Roman" w:cs="Times New Roman"/>
          <w:bCs/>
        </w:rPr>
        <w:t>P</w:t>
      </w:r>
      <w:r w:rsidRPr="00F72401">
        <w:rPr>
          <w:rFonts w:ascii="Times New Roman" w:hAnsi="Times New Roman" w:cs="Times New Roman"/>
        </w:rPr>
        <w:t>rostřednictvím novely energetického zákona zákon</w:t>
      </w:r>
      <w:r>
        <w:rPr>
          <w:rFonts w:ascii="Times New Roman" w:hAnsi="Times New Roman" w:cs="Times New Roman"/>
        </w:rPr>
        <w:t>em</w:t>
      </w:r>
      <w:r w:rsidRPr="00F72401">
        <w:rPr>
          <w:rFonts w:ascii="Times New Roman" w:hAnsi="Times New Roman" w:cs="Times New Roman"/>
        </w:rPr>
        <w:t xml:space="preserve"> č. 362/2021 Sb. </w:t>
      </w:r>
      <w:r w:rsidRPr="00F72401">
        <w:rPr>
          <w:rFonts w:ascii="Times New Roman" w:hAnsi="Times New Roman" w:cs="Times New Roman"/>
          <w:bCs/>
        </w:rPr>
        <w:t>došlo k</w:t>
      </w:r>
      <w:r w:rsidRPr="00F72401">
        <w:rPr>
          <w:rFonts w:ascii="Times New Roman" w:hAnsi="Times New Roman" w:cs="Times New Roman"/>
        </w:rPr>
        <w:t xml:space="preserve"> úprav</w:t>
      </w:r>
      <w:r w:rsidRPr="00F72401">
        <w:rPr>
          <w:rFonts w:ascii="Times New Roman" w:hAnsi="Times New Roman" w:cs="Times New Roman"/>
          <w:bCs/>
        </w:rPr>
        <w:t>ě</w:t>
      </w:r>
      <w:r w:rsidRPr="00F72401">
        <w:rPr>
          <w:rFonts w:ascii="Times New Roman" w:hAnsi="Times New Roman" w:cs="Times New Roman"/>
        </w:rPr>
        <w:t xml:space="preserve"> zmocnění</w:t>
      </w:r>
      <w:r>
        <w:rPr>
          <w:rFonts w:ascii="Times New Roman" w:hAnsi="Times New Roman" w:cs="Times New Roman"/>
        </w:rPr>
        <w:t xml:space="preserve"> Energetického regulačního úřadu</w:t>
      </w:r>
      <w:r w:rsidRPr="00F72401">
        <w:rPr>
          <w:rFonts w:ascii="Times New Roman" w:hAnsi="Times New Roman" w:cs="Times New Roman"/>
          <w:bCs/>
        </w:rPr>
        <w:t xml:space="preserve"> a institut</w:t>
      </w:r>
      <w:r w:rsidRPr="00F72401">
        <w:rPr>
          <w:rFonts w:ascii="Times New Roman" w:hAnsi="Times New Roman" w:cs="Times New Roman"/>
        </w:rPr>
        <w:t xml:space="preserve"> se </w:t>
      </w:r>
      <w:r w:rsidRPr="00F72401">
        <w:rPr>
          <w:rFonts w:ascii="Times New Roman" w:hAnsi="Times New Roman" w:cs="Times New Roman"/>
          <w:bCs/>
        </w:rPr>
        <w:t>implementuje</w:t>
      </w:r>
      <w:r w:rsidRPr="00F72401">
        <w:rPr>
          <w:rFonts w:ascii="Times New Roman" w:hAnsi="Times New Roman" w:cs="Times New Roman"/>
        </w:rPr>
        <w:t xml:space="preserve"> prostřednictvím vyhlášky o</w:t>
      </w:r>
      <w:r>
        <w:rPr>
          <w:rFonts w:ascii="Times New Roman" w:hAnsi="Times New Roman" w:cs="Times New Roman"/>
        </w:rPr>
        <w:t> </w:t>
      </w:r>
      <w:r w:rsidRPr="00F72401">
        <w:rPr>
          <w:rFonts w:ascii="Times New Roman" w:hAnsi="Times New Roman" w:cs="Times New Roman"/>
        </w:rPr>
        <w:t>vyúčtování</w:t>
      </w:r>
      <w:r>
        <w:rPr>
          <w:rFonts w:ascii="Times New Roman" w:hAnsi="Times New Roman" w:cs="Times New Roman"/>
        </w:rPr>
        <w:t xml:space="preserve"> dodávek a souvisejících služeb</w:t>
      </w:r>
      <w:r w:rsidRPr="00F72401">
        <w:rPr>
          <w:rFonts w:ascii="Times New Roman" w:hAnsi="Times New Roman" w:cs="Times New Roman"/>
        </w:rPr>
        <w:t xml:space="preserve"> (vyhláška č. 207/2021 Sb.).</w:t>
      </w:r>
      <w:r w:rsidRPr="00F72401">
        <w:rPr>
          <w:rFonts w:ascii="Times New Roman" w:hAnsi="Times New Roman" w:cs="Times New Roman"/>
          <w:bCs/>
        </w:rPr>
        <w:t xml:space="preserve"> </w:t>
      </w:r>
      <w:r w:rsidRPr="00F72401">
        <w:rPr>
          <w:rFonts w:ascii="Times New Roman" w:hAnsi="Times New Roman" w:cs="Times New Roman"/>
        </w:rPr>
        <w:t>Energetický regulační úřad za</w:t>
      </w:r>
      <w:r>
        <w:rPr>
          <w:rFonts w:ascii="Times New Roman" w:hAnsi="Times New Roman" w:cs="Times New Roman"/>
        </w:rPr>
        <w:t> </w:t>
      </w:r>
      <w:r w:rsidRPr="00F72401">
        <w:rPr>
          <w:rFonts w:ascii="Times New Roman" w:hAnsi="Times New Roman" w:cs="Times New Roman"/>
          <w:bCs/>
        </w:rPr>
        <w:t>tímto účelem</w:t>
      </w:r>
      <w:r w:rsidRPr="00F72401">
        <w:rPr>
          <w:rFonts w:ascii="Times New Roman" w:hAnsi="Times New Roman" w:cs="Times New Roman"/>
        </w:rPr>
        <w:t xml:space="preserve"> zahájil přípravu novely vyhlášky o vyúčtování </w:t>
      </w:r>
      <w:r>
        <w:rPr>
          <w:rFonts w:ascii="Times New Roman" w:hAnsi="Times New Roman" w:cs="Times New Roman"/>
        </w:rPr>
        <w:t>dodávek a souvisejících služeb</w:t>
      </w:r>
      <w:r w:rsidRPr="00F72401">
        <w:rPr>
          <w:rFonts w:ascii="Times New Roman" w:hAnsi="Times New Roman" w:cs="Times New Roman"/>
        </w:rPr>
        <w:t>, která ke stávající úpravě doplní úpravu informace o vyúčtování. Aby celá úprava informace o vyúčtování mohla být na základě vyhlášky o</w:t>
      </w:r>
      <w:r>
        <w:rPr>
          <w:rFonts w:ascii="Times New Roman" w:hAnsi="Times New Roman" w:cs="Times New Roman"/>
        </w:rPr>
        <w:t> </w:t>
      </w:r>
      <w:r w:rsidRPr="00F72401">
        <w:rPr>
          <w:rFonts w:ascii="Times New Roman" w:hAnsi="Times New Roman" w:cs="Times New Roman"/>
        </w:rPr>
        <w:t xml:space="preserve">vyúčtování </w:t>
      </w:r>
      <w:r>
        <w:rPr>
          <w:rFonts w:ascii="Times New Roman" w:hAnsi="Times New Roman" w:cs="Times New Roman"/>
        </w:rPr>
        <w:t>dodávek a souvisejících služeb</w:t>
      </w:r>
      <w:r w:rsidRPr="00F72401">
        <w:rPr>
          <w:rFonts w:ascii="Times New Roman" w:hAnsi="Times New Roman" w:cs="Times New Roman"/>
        </w:rPr>
        <w:t xml:space="preserve"> realizována, </w:t>
      </w:r>
      <w:r w:rsidRPr="00F72401">
        <w:rPr>
          <w:rFonts w:ascii="Times New Roman" w:hAnsi="Times New Roman" w:cs="Times New Roman"/>
          <w:bCs/>
        </w:rPr>
        <w:t>je</w:t>
      </w:r>
      <w:r w:rsidRPr="00F72401">
        <w:rPr>
          <w:rFonts w:ascii="Times New Roman" w:hAnsi="Times New Roman" w:cs="Times New Roman"/>
        </w:rPr>
        <w:t xml:space="preserve"> nutné za tímto účelem upravit </w:t>
      </w:r>
      <w:r w:rsidRPr="00F72401">
        <w:rPr>
          <w:rFonts w:ascii="Times New Roman" w:hAnsi="Times New Roman" w:cs="Times New Roman"/>
          <w:bCs/>
        </w:rPr>
        <w:t xml:space="preserve">i některá ustanovení </w:t>
      </w:r>
      <w:r w:rsidRPr="00F72401">
        <w:rPr>
          <w:rFonts w:ascii="Times New Roman" w:hAnsi="Times New Roman" w:cs="Times New Roman"/>
        </w:rPr>
        <w:t>vyhlášk</w:t>
      </w:r>
      <w:r w:rsidRPr="00F72401">
        <w:rPr>
          <w:rFonts w:ascii="Times New Roman" w:hAnsi="Times New Roman" w:cs="Times New Roman"/>
          <w:bCs/>
        </w:rPr>
        <w:t>y</w:t>
      </w:r>
      <w:r w:rsidRPr="00F72401">
        <w:rPr>
          <w:rFonts w:ascii="Times New Roman" w:hAnsi="Times New Roman" w:cs="Times New Roman"/>
        </w:rPr>
        <w:t xml:space="preserve"> o Pravidlech trhu s elektřinou. </w:t>
      </w:r>
      <w:r w:rsidRPr="00F72401">
        <w:rPr>
          <w:rFonts w:ascii="Times New Roman" w:hAnsi="Times New Roman" w:cs="Times New Roman"/>
          <w:bCs/>
        </w:rPr>
        <w:t xml:space="preserve">Provedením úpravy vyhlášky o Pravidlech trhu s elektřinou bude možné </w:t>
      </w:r>
      <w:r>
        <w:rPr>
          <w:rFonts w:ascii="Times New Roman" w:hAnsi="Times New Roman" w:cs="Times New Roman"/>
          <w:bCs/>
        </w:rPr>
        <w:t>předávat údaje</w:t>
      </w:r>
      <w:r w:rsidR="000D39CD">
        <w:rPr>
          <w:rFonts w:ascii="Times New Roman" w:hAnsi="Times New Roman" w:cs="Times New Roman"/>
          <w:bCs/>
        </w:rPr>
        <w:t xml:space="preserve"> (samoodečty)</w:t>
      </w:r>
      <w:r>
        <w:rPr>
          <w:rFonts w:ascii="Times New Roman" w:hAnsi="Times New Roman" w:cs="Times New Roman"/>
          <w:bCs/>
        </w:rPr>
        <w:t xml:space="preserve"> pro potřeby poskytnutí informace o vyúčtování u měření </w:t>
      </w:r>
      <w:r w:rsidR="000D39CD">
        <w:rPr>
          <w:rFonts w:ascii="Times New Roman" w:hAnsi="Times New Roman" w:cs="Times New Roman"/>
          <w:bCs/>
        </w:rPr>
        <w:t>bez</w:t>
      </w:r>
      <w:r>
        <w:rPr>
          <w:rFonts w:ascii="Times New Roman" w:hAnsi="Times New Roman" w:cs="Times New Roman"/>
          <w:bCs/>
        </w:rPr>
        <w:t> dálkov</w:t>
      </w:r>
      <w:r w:rsidR="000D39CD">
        <w:rPr>
          <w:rFonts w:ascii="Times New Roman" w:hAnsi="Times New Roman" w:cs="Times New Roman"/>
          <w:bCs/>
        </w:rPr>
        <w:t>ého</w:t>
      </w:r>
      <w:r>
        <w:rPr>
          <w:rFonts w:ascii="Times New Roman" w:hAnsi="Times New Roman" w:cs="Times New Roman"/>
          <w:bCs/>
        </w:rPr>
        <w:t xml:space="preserve"> odečt</w:t>
      </w:r>
      <w:r w:rsidR="000D39CD">
        <w:rPr>
          <w:rFonts w:ascii="Times New Roman" w:hAnsi="Times New Roman" w:cs="Times New Roman"/>
          <w:bCs/>
        </w:rPr>
        <w:t>u</w:t>
      </w:r>
      <w:r>
        <w:rPr>
          <w:rFonts w:ascii="Times New Roman" w:hAnsi="Times New Roman" w:cs="Times New Roman"/>
          <w:bCs/>
        </w:rPr>
        <w:t xml:space="preserve"> u zákazníků</w:t>
      </w:r>
      <w:r w:rsidRPr="00F72401">
        <w:rPr>
          <w:rFonts w:ascii="Times New Roman" w:hAnsi="Times New Roman" w:cs="Times New Roman"/>
          <w:bCs/>
        </w:rPr>
        <w:t>.</w:t>
      </w:r>
    </w:p>
    <w:p w14:paraId="0A7CEE4A" w14:textId="77777777" w:rsidR="00D964BF" w:rsidRPr="00944B23" w:rsidRDefault="00D964BF" w:rsidP="00237AFE">
      <w:pPr>
        <w:jc w:val="both"/>
        <w:rPr>
          <w:rFonts w:ascii="Times New Roman" w:eastAsiaTheme="majorEastAsia" w:hAnsi="Times New Roman" w:cstheme="majorBidi"/>
          <w:b/>
          <w:bCs/>
          <w:u w:val="single"/>
        </w:rPr>
      </w:pPr>
      <w:r w:rsidRPr="00944B23">
        <w:rPr>
          <w:rFonts w:ascii="Times New Roman" w:eastAsiaTheme="majorEastAsia" w:hAnsi="Times New Roman" w:cstheme="majorBidi"/>
          <w:b/>
          <w:bCs/>
          <w:u w:val="single"/>
        </w:rPr>
        <w:t>Vyhodnocení nákladů a přínosů</w:t>
      </w:r>
    </w:p>
    <w:p w14:paraId="75CE30C5" w14:textId="77777777" w:rsidR="00D964BF" w:rsidRPr="00944B23" w:rsidRDefault="00D964BF" w:rsidP="00237AFE">
      <w:pPr>
        <w:jc w:val="both"/>
        <w:rPr>
          <w:rFonts w:ascii="Times New Roman" w:hAnsi="Times New Roman" w:cs="Times New Roman"/>
          <w:b/>
          <w:u w:val="single"/>
        </w:rPr>
      </w:pPr>
      <w:r w:rsidRPr="00944B23">
        <w:rPr>
          <w:rFonts w:ascii="Times New Roman" w:hAnsi="Times New Roman" w:cs="Times New Roman"/>
          <w:b/>
          <w:u w:val="single"/>
        </w:rPr>
        <w:t>Náklady</w:t>
      </w:r>
    </w:p>
    <w:p w14:paraId="0231F5FF" w14:textId="77777777" w:rsidR="00D964BF" w:rsidRPr="00944B23" w:rsidRDefault="00D964BF" w:rsidP="00237AFE">
      <w:pPr>
        <w:jc w:val="both"/>
        <w:rPr>
          <w:rFonts w:ascii="Times New Roman" w:hAnsi="Times New Roman" w:cs="Times New Roman"/>
        </w:rPr>
      </w:pPr>
      <w:r w:rsidRPr="00944B23">
        <w:rPr>
          <w:rFonts w:ascii="Times New Roman" w:hAnsi="Times New Roman" w:cs="Times New Roman"/>
        </w:rPr>
        <w:t xml:space="preserve">Varianta I. </w:t>
      </w:r>
      <w:r>
        <w:rPr>
          <w:rFonts w:ascii="Times New Roman" w:hAnsi="Times New Roman" w:cs="Times New Roman"/>
        </w:rPr>
        <w:t>U této varianty nejsou očekávány náklady na straně účastníků trhu.</w:t>
      </w:r>
      <w:r w:rsidRPr="00944B23">
        <w:rPr>
          <w:rFonts w:ascii="Times New Roman" w:hAnsi="Times New Roman" w:cs="Times New Roman"/>
        </w:rPr>
        <w:t xml:space="preserve"> </w:t>
      </w:r>
    </w:p>
    <w:p w14:paraId="51B6F800" w14:textId="4DD04601" w:rsidR="00D964BF" w:rsidRDefault="00D964BF" w:rsidP="00237AFE">
      <w:pPr>
        <w:jc w:val="both"/>
        <w:rPr>
          <w:rFonts w:ascii="Times New Roman" w:hAnsi="Times New Roman" w:cs="Times New Roman"/>
        </w:rPr>
      </w:pPr>
      <w:r w:rsidRPr="00944B23">
        <w:rPr>
          <w:rFonts w:ascii="Times New Roman" w:hAnsi="Times New Roman" w:cs="Times New Roman"/>
        </w:rPr>
        <w:t xml:space="preserve">Varianta II. </w:t>
      </w:r>
      <w:r w:rsidR="000D39CD">
        <w:rPr>
          <w:rFonts w:ascii="Times New Roman" w:hAnsi="Times New Roman" w:cs="Times New Roman"/>
        </w:rPr>
        <w:t>U této varianty nejsou očekávány náklady na straně účastníků trhu</w:t>
      </w:r>
      <w:r>
        <w:rPr>
          <w:rFonts w:ascii="Times New Roman" w:hAnsi="Times New Roman" w:cs="Times New Roman"/>
        </w:rPr>
        <w:t>.</w:t>
      </w:r>
    </w:p>
    <w:p w14:paraId="7354F2F6" w14:textId="13FD97F9" w:rsidR="00D964BF" w:rsidRPr="00944B23" w:rsidRDefault="00D964BF" w:rsidP="00237AFE">
      <w:pPr>
        <w:jc w:val="both"/>
        <w:rPr>
          <w:rFonts w:ascii="Times New Roman" w:hAnsi="Times New Roman" w:cs="Times New Roman"/>
        </w:rPr>
      </w:pPr>
      <w:r>
        <w:rPr>
          <w:rFonts w:ascii="Times New Roman" w:hAnsi="Times New Roman" w:cs="Times New Roman"/>
        </w:rPr>
        <w:t xml:space="preserve">Varianta III. </w:t>
      </w:r>
      <w:r w:rsidRPr="00944B23">
        <w:rPr>
          <w:rFonts w:ascii="Times New Roman" w:hAnsi="Times New Roman" w:cs="Times New Roman"/>
        </w:rPr>
        <w:t xml:space="preserve">U této varianty </w:t>
      </w:r>
      <w:r>
        <w:rPr>
          <w:rFonts w:ascii="Times New Roman" w:hAnsi="Times New Roman" w:cs="Times New Roman"/>
        </w:rPr>
        <w:t>se</w:t>
      </w:r>
      <w:r w:rsidRPr="00944B23">
        <w:rPr>
          <w:rFonts w:ascii="Times New Roman" w:hAnsi="Times New Roman" w:cs="Times New Roman"/>
        </w:rPr>
        <w:t xml:space="preserve"> očekáv</w:t>
      </w:r>
      <w:r>
        <w:rPr>
          <w:rFonts w:ascii="Times New Roman" w:hAnsi="Times New Roman" w:cs="Times New Roman"/>
        </w:rPr>
        <w:t>ají</w:t>
      </w:r>
      <w:r w:rsidRPr="00944B23">
        <w:rPr>
          <w:rFonts w:ascii="Times New Roman" w:hAnsi="Times New Roman" w:cs="Times New Roman"/>
        </w:rPr>
        <w:t xml:space="preserve"> </w:t>
      </w:r>
      <w:r w:rsidR="00D66EDF">
        <w:rPr>
          <w:rFonts w:ascii="Times New Roman" w:hAnsi="Times New Roman" w:cs="Times New Roman"/>
        </w:rPr>
        <w:t xml:space="preserve">částečné </w:t>
      </w:r>
      <w:r w:rsidRPr="00944B23">
        <w:rPr>
          <w:rFonts w:ascii="Times New Roman" w:hAnsi="Times New Roman" w:cs="Times New Roman"/>
        </w:rPr>
        <w:t>náklady spojené s úpravou informační</w:t>
      </w:r>
      <w:r>
        <w:rPr>
          <w:rFonts w:ascii="Times New Roman" w:hAnsi="Times New Roman" w:cs="Times New Roman"/>
        </w:rPr>
        <w:t>ch</w:t>
      </w:r>
      <w:r w:rsidRPr="00944B23">
        <w:rPr>
          <w:rFonts w:ascii="Times New Roman" w:hAnsi="Times New Roman" w:cs="Times New Roman"/>
        </w:rPr>
        <w:t xml:space="preserve"> systém</w:t>
      </w:r>
      <w:r>
        <w:rPr>
          <w:rFonts w:ascii="Times New Roman" w:hAnsi="Times New Roman" w:cs="Times New Roman"/>
        </w:rPr>
        <w:t>ů</w:t>
      </w:r>
      <w:r w:rsidRPr="00944B23">
        <w:rPr>
          <w:rFonts w:ascii="Times New Roman" w:hAnsi="Times New Roman" w:cs="Times New Roman"/>
        </w:rPr>
        <w:t xml:space="preserve"> </w:t>
      </w:r>
      <w:r>
        <w:rPr>
          <w:rFonts w:ascii="Times New Roman" w:hAnsi="Times New Roman" w:cs="Times New Roman"/>
        </w:rPr>
        <w:t>na straně účastníků trhu. Neočekávají se náklady spojené se zaváděním zcela nových systémů, jelikož budou využity již fungující systémy, které budou pouze doplněny o nové funkcionality.</w:t>
      </w:r>
    </w:p>
    <w:p w14:paraId="1CF9CBD8" w14:textId="77777777" w:rsidR="00D964BF" w:rsidRPr="00944B23" w:rsidRDefault="00D964BF" w:rsidP="00237AFE">
      <w:pPr>
        <w:jc w:val="both"/>
        <w:rPr>
          <w:rFonts w:ascii="Times New Roman" w:hAnsi="Times New Roman" w:cs="Times New Roman"/>
          <w:b/>
          <w:u w:val="single"/>
        </w:rPr>
      </w:pPr>
      <w:r w:rsidRPr="00944B23">
        <w:rPr>
          <w:rFonts w:ascii="Times New Roman" w:hAnsi="Times New Roman" w:cs="Times New Roman"/>
          <w:b/>
          <w:u w:val="single"/>
        </w:rPr>
        <w:t>Přínosy</w:t>
      </w:r>
    </w:p>
    <w:p w14:paraId="360DD657" w14:textId="77777777" w:rsidR="00D964BF" w:rsidRPr="00944B23" w:rsidRDefault="00D964BF" w:rsidP="00237AFE">
      <w:pPr>
        <w:jc w:val="both"/>
        <w:rPr>
          <w:rFonts w:ascii="Times New Roman" w:hAnsi="Times New Roman" w:cs="Times New Roman"/>
        </w:rPr>
      </w:pPr>
      <w:r w:rsidRPr="00944B23">
        <w:rPr>
          <w:rFonts w:ascii="Times New Roman" w:hAnsi="Times New Roman" w:cs="Times New Roman"/>
        </w:rPr>
        <w:t xml:space="preserve">Varianta I. </w:t>
      </w:r>
      <w:r>
        <w:rPr>
          <w:rFonts w:ascii="Times New Roman" w:hAnsi="Times New Roman" w:cs="Times New Roman"/>
        </w:rPr>
        <w:t xml:space="preserve">U této varianty se </w:t>
      </w:r>
      <w:r w:rsidRPr="00944B23">
        <w:rPr>
          <w:rFonts w:ascii="Times New Roman" w:hAnsi="Times New Roman" w:cs="Times New Roman"/>
        </w:rPr>
        <w:t>nepředpokláda</w:t>
      </w:r>
      <w:r>
        <w:rPr>
          <w:rFonts w:ascii="Times New Roman" w:hAnsi="Times New Roman" w:cs="Times New Roman"/>
        </w:rPr>
        <w:t>jí</w:t>
      </w:r>
      <w:r w:rsidRPr="00944B23">
        <w:rPr>
          <w:rFonts w:ascii="Times New Roman" w:hAnsi="Times New Roman" w:cs="Times New Roman"/>
        </w:rPr>
        <w:t xml:space="preserve"> žádné přínosy.</w:t>
      </w:r>
      <w:r>
        <w:rPr>
          <w:rFonts w:ascii="Times New Roman" w:hAnsi="Times New Roman" w:cs="Times New Roman"/>
        </w:rPr>
        <w:t xml:space="preserve"> Zákazníci nebudou mít možnost si průběžně ověřovat stav spotřeby elektřiny. </w:t>
      </w:r>
    </w:p>
    <w:p w14:paraId="4BE49C46" w14:textId="3A4F783B" w:rsidR="00D964BF" w:rsidRDefault="00D964BF" w:rsidP="00237AFE">
      <w:pPr>
        <w:jc w:val="both"/>
        <w:rPr>
          <w:rFonts w:ascii="Times New Roman" w:hAnsi="Times New Roman" w:cs="Times New Roman"/>
        </w:rPr>
      </w:pPr>
      <w:r w:rsidRPr="00944B23">
        <w:rPr>
          <w:rFonts w:ascii="Times New Roman" w:hAnsi="Times New Roman" w:cs="Times New Roman"/>
        </w:rPr>
        <w:t xml:space="preserve">Varianta II. </w:t>
      </w:r>
      <w:r>
        <w:rPr>
          <w:rFonts w:ascii="Times New Roman" w:hAnsi="Times New Roman" w:cs="Times New Roman"/>
        </w:rPr>
        <w:t>U této varianty nejsou předpokládány přínosy.</w:t>
      </w:r>
      <w:r w:rsidR="00D66EDF">
        <w:rPr>
          <w:rFonts w:ascii="Times New Roman" w:hAnsi="Times New Roman" w:cs="Times New Roman"/>
        </w:rPr>
        <w:t xml:space="preserve"> Touto konstrukcí dochází k zohlednění samoodečtů v rámci vyúčtování, resp. aktivace samotného vyúčtování, co</w:t>
      </w:r>
      <w:r w:rsidR="00246981">
        <w:rPr>
          <w:rFonts w:ascii="Times New Roman" w:hAnsi="Times New Roman" w:cs="Times New Roman"/>
        </w:rPr>
        <w:t>ž</w:t>
      </w:r>
      <w:r w:rsidR="00D66EDF">
        <w:rPr>
          <w:rFonts w:ascii="Times New Roman" w:hAnsi="Times New Roman" w:cs="Times New Roman"/>
        </w:rPr>
        <w:t xml:space="preserve"> není cílem poskytování informace o vyúčtování (zákaz práva EU).</w:t>
      </w:r>
    </w:p>
    <w:p w14:paraId="1C4C0D03" w14:textId="59181655" w:rsidR="00D964BF" w:rsidRPr="00944B23" w:rsidRDefault="00D964BF" w:rsidP="00237AFE">
      <w:pPr>
        <w:jc w:val="both"/>
        <w:rPr>
          <w:rFonts w:ascii="Times New Roman" w:hAnsi="Times New Roman" w:cs="Times New Roman"/>
        </w:rPr>
      </w:pPr>
      <w:r>
        <w:rPr>
          <w:rFonts w:ascii="Times New Roman" w:hAnsi="Times New Roman" w:cs="Times New Roman"/>
        </w:rPr>
        <w:t xml:space="preserve">Varianta III. </w:t>
      </w:r>
      <w:r w:rsidRPr="00944B23">
        <w:rPr>
          <w:rFonts w:ascii="Times New Roman" w:hAnsi="Times New Roman" w:cs="Times New Roman"/>
        </w:rPr>
        <w:t xml:space="preserve">Hlavním přínosem této varianty je to, že </w:t>
      </w:r>
      <w:r>
        <w:rPr>
          <w:rFonts w:ascii="Times New Roman" w:hAnsi="Times New Roman" w:cs="Times New Roman"/>
        </w:rPr>
        <w:t>zákazníci obdrží průběžnou informaci o své spotřebě. Provedením této varianty bude možné dokončit novelu vyhlášky č. 207/2021 Sb., o vyúčtování dodávek a souvisejících služeb a zajistit soulad s platnou právní úpravou</w:t>
      </w:r>
      <w:r w:rsidR="00377AA5">
        <w:rPr>
          <w:rFonts w:ascii="Times New Roman" w:hAnsi="Times New Roman" w:cs="Times New Roman"/>
        </w:rPr>
        <w:t>, a to plně v souladu s právem EU.</w:t>
      </w:r>
    </w:p>
    <w:p w14:paraId="2C9BEEED" w14:textId="77777777" w:rsidR="00D964BF" w:rsidRDefault="00D964BF"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7529D4D5" w14:textId="77777777" w:rsidR="00D964BF" w:rsidRPr="00B72BC3" w:rsidRDefault="00D964BF" w:rsidP="00237AFE">
      <w:pPr>
        <w:pStyle w:val="Odstavecseseznamem"/>
        <w:numPr>
          <w:ilvl w:val="0"/>
          <w:numId w:val="29"/>
        </w:numPr>
        <w:jc w:val="both"/>
        <w:rPr>
          <w:rFonts w:ascii="Times New Roman" w:hAnsi="Times New Roman" w:cs="Times New Roman"/>
          <w:u w:val="single"/>
        </w:rPr>
      </w:pPr>
      <w:r w:rsidRPr="00B72BC3">
        <w:rPr>
          <w:rFonts w:ascii="Times New Roman" w:hAnsi="Times New Roman" w:cs="Times New Roman"/>
          <w:u w:val="single"/>
        </w:rPr>
        <w:t>Varianta II</w:t>
      </w:r>
      <w:r>
        <w:rPr>
          <w:rFonts w:ascii="Times New Roman" w:hAnsi="Times New Roman" w:cs="Times New Roman"/>
          <w:u w:val="single"/>
        </w:rPr>
        <w:t>I.</w:t>
      </w:r>
    </w:p>
    <w:p w14:paraId="60D6EE4E" w14:textId="77777777" w:rsidR="00D964BF" w:rsidRDefault="00D964BF" w:rsidP="00237AFE">
      <w:pPr>
        <w:pStyle w:val="Odstavecseseznamem"/>
        <w:numPr>
          <w:ilvl w:val="0"/>
          <w:numId w:val="29"/>
        </w:numPr>
        <w:jc w:val="both"/>
        <w:rPr>
          <w:rFonts w:ascii="Times New Roman" w:hAnsi="Times New Roman" w:cs="Times New Roman"/>
          <w:u w:val="single"/>
        </w:rPr>
      </w:pPr>
      <w:r w:rsidRPr="00B72BC3">
        <w:rPr>
          <w:rFonts w:ascii="Times New Roman" w:hAnsi="Times New Roman" w:cs="Times New Roman"/>
          <w:u w:val="single"/>
        </w:rPr>
        <w:t>Varianta I</w:t>
      </w:r>
      <w:r>
        <w:rPr>
          <w:rFonts w:ascii="Times New Roman" w:hAnsi="Times New Roman" w:cs="Times New Roman"/>
          <w:u w:val="single"/>
        </w:rPr>
        <w:t>I.</w:t>
      </w:r>
    </w:p>
    <w:p w14:paraId="30811B27" w14:textId="77777777" w:rsidR="00D964BF" w:rsidRPr="00B72BC3" w:rsidRDefault="00D964BF" w:rsidP="00237AFE">
      <w:pPr>
        <w:pStyle w:val="Odstavecseseznamem"/>
        <w:numPr>
          <w:ilvl w:val="0"/>
          <w:numId w:val="29"/>
        </w:numPr>
        <w:jc w:val="both"/>
        <w:rPr>
          <w:rFonts w:ascii="Times New Roman" w:hAnsi="Times New Roman" w:cs="Times New Roman"/>
          <w:u w:val="single"/>
        </w:rPr>
      </w:pPr>
      <w:r>
        <w:rPr>
          <w:rFonts w:ascii="Times New Roman" w:hAnsi="Times New Roman" w:cs="Times New Roman"/>
          <w:u w:val="single"/>
        </w:rPr>
        <w:t>Varianta I.</w:t>
      </w:r>
    </w:p>
    <w:p w14:paraId="63FB6176" w14:textId="77777777" w:rsidR="00D964BF" w:rsidRDefault="00D964BF" w:rsidP="00237AFE">
      <w:pPr>
        <w:jc w:val="both"/>
        <w:rPr>
          <w:rFonts w:ascii="Times New Roman" w:hAnsi="Times New Roman" w:cs="Times New Roman"/>
        </w:rPr>
      </w:pPr>
      <w:r w:rsidRPr="00944B23">
        <w:rPr>
          <w:rFonts w:ascii="Times New Roman" w:hAnsi="Times New Roman" w:cs="Times New Roman"/>
        </w:rPr>
        <w:t>Navrhujeme postupovat dle varianty II</w:t>
      </w:r>
      <w:r>
        <w:rPr>
          <w:rFonts w:ascii="Times New Roman" w:hAnsi="Times New Roman" w:cs="Times New Roman"/>
        </w:rPr>
        <w:t>I</w:t>
      </w:r>
      <w:r w:rsidRPr="00944B23">
        <w:rPr>
          <w:rFonts w:ascii="Times New Roman" w:hAnsi="Times New Roman" w:cs="Times New Roman"/>
        </w:rPr>
        <w:t xml:space="preserve">., která zajistí žádoucí </w:t>
      </w:r>
      <w:r>
        <w:rPr>
          <w:rFonts w:ascii="Times New Roman" w:hAnsi="Times New Roman" w:cs="Times New Roman"/>
        </w:rPr>
        <w:t>stav, tedy naplnění požadavků platné právní úpravy</w:t>
      </w:r>
      <w:r w:rsidRPr="00944B23">
        <w:rPr>
          <w:rFonts w:ascii="Times New Roman" w:hAnsi="Times New Roman" w:cs="Times New Roman"/>
        </w:rPr>
        <w:t>.</w:t>
      </w:r>
      <w:r>
        <w:rPr>
          <w:rFonts w:ascii="Times New Roman" w:hAnsi="Times New Roman" w:cs="Times New Roman"/>
        </w:rPr>
        <w:t xml:space="preserve"> Konkrétně </w:t>
      </w:r>
      <w:r w:rsidRPr="00F72401">
        <w:rPr>
          <w:rFonts w:ascii="Times New Roman" w:hAnsi="Times New Roman" w:cs="Times New Roman"/>
        </w:rPr>
        <w:t>příloh</w:t>
      </w:r>
      <w:r>
        <w:rPr>
          <w:rFonts w:ascii="Times New Roman" w:hAnsi="Times New Roman" w:cs="Times New Roman"/>
        </w:rPr>
        <w:t>y</w:t>
      </w:r>
      <w:r w:rsidRPr="00F72401">
        <w:rPr>
          <w:rFonts w:ascii="Times New Roman" w:hAnsi="Times New Roman" w:cs="Times New Roman"/>
        </w:rPr>
        <w:t xml:space="preserve"> I směrnice Evropského parlamentu a Rady (EU) 2019/944; příloha VII směrnice Evropského parlamentu a Rady č. 2012/27/ES o energetické účinnosti, ve znění směrnice Evropského parlamentu a Rady (EU) 2018/2002)</w:t>
      </w:r>
      <w:r>
        <w:rPr>
          <w:rFonts w:ascii="Times New Roman" w:hAnsi="Times New Roman" w:cs="Times New Roman"/>
          <w:bCs/>
        </w:rPr>
        <w:t xml:space="preserve"> a</w:t>
      </w:r>
      <w:r w:rsidRPr="00F72401">
        <w:rPr>
          <w:rFonts w:ascii="Times New Roman" w:hAnsi="Times New Roman" w:cs="Times New Roman"/>
        </w:rPr>
        <w:t xml:space="preserve"> novely energetického zákona (zákon č. 362/2021 Sb.)</w:t>
      </w:r>
      <w:r>
        <w:rPr>
          <w:rFonts w:ascii="Times New Roman" w:hAnsi="Times New Roman" w:cs="Times New Roman"/>
        </w:rPr>
        <w:t>.</w:t>
      </w:r>
    </w:p>
    <w:p w14:paraId="10514974" w14:textId="7B654AE9" w:rsidR="001A7B09" w:rsidRDefault="00D964BF" w:rsidP="00237AFE">
      <w:pPr>
        <w:jc w:val="both"/>
        <w:rPr>
          <w:rFonts w:ascii="Times New Roman" w:hAnsi="Times New Roman" w:cs="Times New Roman"/>
        </w:rPr>
      </w:pPr>
      <w:r>
        <w:rPr>
          <w:rFonts w:ascii="Times New Roman" w:hAnsi="Times New Roman" w:cs="Times New Roman"/>
        </w:rPr>
        <w:t xml:space="preserve">Zvolená varianta nemá dopady na státní rozpočet. Zvolená varianta </w:t>
      </w:r>
      <w:r w:rsidR="00862E42">
        <w:rPr>
          <w:rFonts w:ascii="Times New Roman" w:hAnsi="Times New Roman" w:cs="Times New Roman"/>
        </w:rPr>
        <w:t>může mít</w:t>
      </w:r>
      <w:r>
        <w:rPr>
          <w:rFonts w:ascii="Times New Roman" w:hAnsi="Times New Roman" w:cs="Times New Roman"/>
        </w:rPr>
        <w:t xml:space="preserve"> dopady do podnikatelského prostředí, jelikož si vynucuje úpravu informačních systémů některých dotčených skupin osob</w:t>
      </w:r>
      <w:r w:rsidR="00862E42">
        <w:rPr>
          <w:rFonts w:ascii="Times New Roman" w:hAnsi="Times New Roman" w:cs="Times New Roman"/>
        </w:rPr>
        <w:t xml:space="preserve"> – nicméně eliminováno využitím stávajících, pouze doplněných o funkcionality</w:t>
      </w:r>
      <w:r>
        <w:rPr>
          <w:rFonts w:ascii="Times New Roman" w:hAnsi="Times New Roman" w:cs="Times New Roman"/>
        </w:rPr>
        <w:t xml:space="preserve">. Zvolená varianta má pozitivní sociální dopady, jelikož ve svém důsledku (ve spojení s úpravou vyhlášky o vyúčtování) umožní zákazníkům častější kontrolu svojí spotřeby, a tím pádem zajistí jejich lepší informovanost o jejich celkové spotřebě a o očekávaných nákladech. Zvolená varianta nemá dopady ve vztahu k zákazu diskriminace a ve vztahu k rovnosti žen a mužů, nemá dopady ani na výkon státní statistické služby. </w:t>
      </w:r>
      <w:r w:rsidR="00862E42">
        <w:rPr>
          <w:rFonts w:ascii="Times New Roman" w:hAnsi="Times New Roman" w:cs="Times New Roman"/>
        </w:rPr>
        <w:t>Dodatečné dopady ve vztahu k ochraně soukromí a osobních údajů nejsou vyvolány, právní titul zůstává stávající.</w:t>
      </w:r>
      <w:r>
        <w:rPr>
          <w:rFonts w:ascii="Times New Roman" w:hAnsi="Times New Roman" w:cs="Times New Roman"/>
        </w:rPr>
        <w:t xml:space="preserve"> Zvolená varianta</w:t>
      </w:r>
      <w:r w:rsidRPr="00944B23">
        <w:rPr>
          <w:rFonts w:ascii="Times New Roman" w:hAnsi="Times New Roman" w:cs="Times New Roman"/>
        </w:rPr>
        <w:t xml:space="preserve"> nepředpokládá jakékoliv </w:t>
      </w:r>
      <w:r>
        <w:rPr>
          <w:rFonts w:ascii="Times New Roman" w:hAnsi="Times New Roman" w:cs="Times New Roman"/>
        </w:rPr>
        <w:t xml:space="preserve">dopady na míru korupce, </w:t>
      </w:r>
      <w:r w:rsidRPr="00944B23">
        <w:rPr>
          <w:rFonts w:ascii="Times New Roman" w:hAnsi="Times New Roman" w:cs="Times New Roman"/>
        </w:rPr>
        <w:t>navrhované změny de facto neumožňují vznik korupčního prostředí. Návrh vyhlášky nepředpokládá založení korupčních rizik ani jejich nárůst.</w:t>
      </w:r>
      <w:r>
        <w:rPr>
          <w:rFonts w:ascii="Times New Roman" w:hAnsi="Times New Roman" w:cs="Times New Roman"/>
        </w:rPr>
        <w:t xml:space="preserve"> Zvolená varianta s ohledem na svůj obsah nemá dopady na bezpečnost a obranu státu.</w:t>
      </w:r>
    </w:p>
    <w:p w14:paraId="77F7C726" w14:textId="77777777" w:rsidR="00337EFA" w:rsidRPr="00944B23" w:rsidRDefault="00337EFA" w:rsidP="00237AFE">
      <w:pPr>
        <w:jc w:val="both"/>
        <w:rPr>
          <w:rFonts w:ascii="Times New Roman" w:hAnsi="Times New Roman" w:cs="Times New Roman"/>
        </w:rPr>
      </w:pPr>
    </w:p>
    <w:p w14:paraId="4043B7C1" w14:textId="4151EA2A" w:rsidR="007C2EA9" w:rsidRPr="003D7FBF" w:rsidRDefault="00EC2F77" w:rsidP="00237AFE">
      <w:pPr>
        <w:pStyle w:val="Nadpis3"/>
        <w:spacing w:after="120"/>
        <w:jc w:val="both"/>
        <w:rPr>
          <w:rFonts w:ascii="Times New Roman" w:eastAsiaTheme="minorHAnsi" w:hAnsi="Times New Roman" w:cs="Times New Roman"/>
          <w:b w:val="0"/>
          <w:bCs w:val="0"/>
          <w:color w:val="auto"/>
          <w:sz w:val="20"/>
          <w:szCs w:val="20"/>
        </w:rPr>
      </w:pPr>
      <w:r w:rsidRPr="003D7FBF">
        <w:rPr>
          <w:rFonts w:ascii="Times New Roman" w:eastAsiaTheme="minorHAnsi" w:hAnsi="Times New Roman" w:cs="Times New Roman"/>
          <w:bCs w:val="0"/>
          <w:color w:val="auto"/>
          <w:sz w:val="20"/>
          <w:szCs w:val="20"/>
        </w:rPr>
        <w:t>2.1.</w:t>
      </w:r>
      <w:r w:rsidR="00E27173">
        <w:rPr>
          <w:rFonts w:ascii="Times New Roman" w:eastAsiaTheme="minorHAnsi" w:hAnsi="Times New Roman" w:cs="Times New Roman"/>
          <w:bCs w:val="0"/>
          <w:color w:val="auto"/>
          <w:sz w:val="20"/>
          <w:szCs w:val="20"/>
        </w:rPr>
        <w:t>3</w:t>
      </w:r>
      <w:r w:rsidR="00267767" w:rsidRPr="003D7FBF">
        <w:rPr>
          <w:rFonts w:ascii="Times New Roman" w:eastAsiaTheme="minorHAnsi" w:hAnsi="Times New Roman" w:cs="Times New Roman"/>
          <w:bCs w:val="0"/>
          <w:color w:val="auto"/>
          <w:sz w:val="20"/>
          <w:szCs w:val="20"/>
        </w:rPr>
        <w:t xml:space="preserve"> </w:t>
      </w:r>
      <w:r w:rsidR="00FA2B33" w:rsidRPr="003D7FBF">
        <w:rPr>
          <w:rFonts w:ascii="Times New Roman" w:eastAsiaTheme="minorHAnsi" w:hAnsi="Times New Roman" w:cs="Times New Roman"/>
          <w:bCs w:val="0"/>
          <w:color w:val="auto"/>
        </w:rPr>
        <w:t xml:space="preserve">Zavedení </w:t>
      </w:r>
      <w:r w:rsidR="002C61F3">
        <w:rPr>
          <w:rFonts w:ascii="Times New Roman" w:eastAsiaTheme="minorHAnsi" w:hAnsi="Times New Roman" w:cs="Times New Roman"/>
          <w:bCs w:val="0"/>
          <w:color w:val="auto"/>
        </w:rPr>
        <w:t>specifického</w:t>
      </w:r>
      <w:r w:rsidR="00FA2B33" w:rsidRPr="003D7FBF">
        <w:rPr>
          <w:rFonts w:ascii="Times New Roman" w:eastAsiaTheme="minorHAnsi" w:hAnsi="Times New Roman" w:cs="Times New Roman"/>
          <w:bCs w:val="0"/>
          <w:color w:val="auto"/>
        </w:rPr>
        <w:t xml:space="preserve"> </w:t>
      </w:r>
      <w:r w:rsidR="00E27173" w:rsidRPr="00E27173">
        <w:rPr>
          <w:rFonts w:ascii="Times New Roman" w:eastAsiaTheme="minorHAnsi" w:hAnsi="Times New Roman" w:cs="Times New Roman"/>
          <w:bCs w:val="0"/>
          <w:color w:val="auto"/>
        </w:rPr>
        <w:t>systém</w:t>
      </w:r>
      <w:r w:rsidR="000C4D71">
        <w:rPr>
          <w:rFonts w:ascii="Times New Roman" w:eastAsiaTheme="minorHAnsi" w:hAnsi="Times New Roman" w:cs="Times New Roman"/>
          <w:bCs w:val="0"/>
          <w:color w:val="auto"/>
        </w:rPr>
        <w:t>u</w:t>
      </w:r>
      <w:r w:rsidR="00E27173" w:rsidRPr="00E27173">
        <w:rPr>
          <w:rFonts w:ascii="Times New Roman" w:eastAsiaTheme="minorHAnsi" w:hAnsi="Times New Roman" w:cs="Times New Roman"/>
          <w:bCs w:val="0"/>
          <w:color w:val="auto"/>
        </w:rPr>
        <w:t xml:space="preserve"> </w:t>
      </w:r>
      <w:r w:rsidR="002C61F3">
        <w:rPr>
          <w:rFonts w:ascii="Times New Roman" w:eastAsiaTheme="minorHAnsi" w:hAnsi="Times New Roman" w:cs="Times New Roman"/>
          <w:bCs w:val="0"/>
          <w:color w:val="auto"/>
        </w:rPr>
        <w:t>vyhodnocování</w:t>
      </w:r>
      <w:r w:rsidR="00E27173" w:rsidRPr="00E27173">
        <w:rPr>
          <w:rFonts w:ascii="Times New Roman" w:eastAsiaTheme="minorHAnsi" w:hAnsi="Times New Roman" w:cs="Times New Roman"/>
          <w:bCs w:val="0"/>
          <w:color w:val="auto"/>
        </w:rPr>
        <w:t xml:space="preserve"> údajů pro </w:t>
      </w:r>
      <w:r w:rsidR="006E4FF7" w:rsidRPr="00E27173">
        <w:rPr>
          <w:rFonts w:ascii="Times New Roman" w:eastAsiaTheme="minorHAnsi" w:hAnsi="Times New Roman" w:cs="Times New Roman"/>
          <w:bCs w:val="0"/>
          <w:color w:val="auto"/>
        </w:rPr>
        <w:t>zúčtování</w:t>
      </w:r>
      <w:r w:rsidR="00E27173" w:rsidRPr="00E27173">
        <w:rPr>
          <w:rFonts w:ascii="Times New Roman" w:eastAsiaTheme="minorHAnsi" w:hAnsi="Times New Roman" w:cs="Times New Roman"/>
          <w:bCs w:val="0"/>
          <w:color w:val="auto"/>
        </w:rPr>
        <w:t xml:space="preserve"> odchylek a pro vyúčtování </w:t>
      </w:r>
      <w:r w:rsidR="002C61F3">
        <w:rPr>
          <w:rFonts w:ascii="Times New Roman" w:eastAsiaTheme="minorHAnsi" w:hAnsi="Times New Roman" w:cs="Times New Roman"/>
          <w:bCs w:val="0"/>
          <w:color w:val="auto"/>
        </w:rPr>
        <w:t>elektřiny</w:t>
      </w:r>
      <w:r w:rsidR="00E27173" w:rsidRPr="00E27173">
        <w:rPr>
          <w:rFonts w:ascii="Times New Roman" w:eastAsiaTheme="minorHAnsi" w:hAnsi="Times New Roman" w:cs="Times New Roman"/>
          <w:bCs w:val="0"/>
          <w:color w:val="auto"/>
        </w:rPr>
        <w:t xml:space="preserve"> p</w:t>
      </w:r>
      <w:r w:rsidR="002C61F3">
        <w:rPr>
          <w:rFonts w:ascii="Times New Roman" w:eastAsiaTheme="minorHAnsi" w:hAnsi="Times New Roman" w:cs="Times New Roman"/>
          <w:bCs w:val="0"/>
          <w:color w:val="auto"/>
        </w:rPr>
        <w:t>ři</w:t>
      </w:r>
      <w:r w:rsidR="00E27173" w:rsidRPr="00E27173">
        <w:rPr>
          <w:rFonts w:ascii="Times New Roman" w:eastAsiaTheme="minorHAnsi" w:hAnsi="Times New Roman" w:cs="Times New Roman"/>
          <w:bCs w:val="0"/>
          <w:color w:val="auto"/>
        </w:rPr>
        <w:t xml:space="preserve"> zohlednění množství elektřiny vyrobené ve výrobně elektřiny </w:t>
      </w:r>
      <w:r w:rsidR="002C61F3">
        <w:rPr>
          <w:rFonts w:ascii="Times New Roman" w:eastAsiaTheme="minorHAnsi" w:hAnsi="Times New Roman" w:cs="Times New Roman"/>
          <w:bCs w:val="0"/>
          <w:color w:val="auto"/>
        </w:rPr>
        <w:t>pro</w:t>
      </w:r>
      <w:r w:rsidR="00E27173" w:rsidRPr="00E27173">
        <w:rPr>
          <w:rFonts w:ascii="Times New Roman" w:eastAsiaTheme="minorHAnsi" w:hAnsi="Times New Roman" w:cs="Times New Roman"/>
          <w:bCs w:val="0"/>
          <w:color w:val="auto"/>
        </w:rPr>
        <w:t xml:space="preserve"> jiné předávací míst</w:t>
      </w:r>
      <w:r w:rsidR="002C61F3">
        <w:rPr>
          <w:rFonts w:ascii="Times New Roman" w:eastAsiaTheme="minorHAnsi" w:hAnsi="Times New Roman" w:cs="Times New Roman"/>
          <w:bCs w:val="0"/>
          <w:color w:val="auto"/>
        </w:rPr>
        <w:t>o</w:t>
      </w:r>
      <w:r w:rsidR="00E27173" w:rsidRPr="00E27173">
        <w:rPr>
          <w:rFonts w:ascii="Times New Roman" w:eastAsiaTheme="minorHAnsi" w:hAnsi="Times New Roman" w:cs="Times New Roman"/>
          <w:bCs w:val="0"/>
          <w:color w:val="auto"/>
        </w:rPr>
        <w:t xml:space="preserve"> odběrného místa v rámci bytového domu</w:t>
      </w:r>
    </w:p>
    <w:p w14:paraId="53D07F31" w14:textId="4CB0A6C3" w:rsidR="00267767" w:rsidRPr="003D7FBF" w:rsidRDefault="00267767" w:rsidP="00237AFE">
      <w:pPr>
        <w:jc w:val="both"/>
        <w:rPr>
          <w:rFonts w:ascii="Times New Roman" w:hAnsi="Times New Roman"/>
        </w:rPr>
      </w:pPr>
      <w:r w:rsidRPr="003D7FBF">
        <w:rPr>
          <w:rFonts w:ascii="Times New Roman" w:hAnsi="Times New Roman"/>
          <w:b/>
          <w:i/>
        </w:rPr>
        <w:t>Varianta I</w:t>
      </w:r>
      <w:r w:rsidRPr="003D7FBF">
        <w:rPr>
          <w:rFonts w:ascii="Times New Roman" w:hAnsi="Times New Roman"/>
        </w:rPr>
        <w:t xml:space="preserve">. – rezignace na </w:t>
      </w:r>
      <w:r w:rsidR="002C4E6B" w:rsidRPr="003D7FBF">
        <w:rPr>
          <w:rFonts w:ascii="Times New Roman" w:hAnsi="Times New Roman"/>
        </w:rPr>
        <w:t>provedení úprav spojených se zavedením modelu sdílení vyrobené elektřiny v bytových domech</w:t>
      </w:r>
      <w:r w:rsidR="00246981">
        <w:rPr>
          <w:rFonts w:ascii="Times New Roman" w:hAnsi="Times New Roman"/>
        </w:rPr>
        <w:t xml:space="preserve"> prostřednictvím specifického systému vyhodnocování údajů</w:t>
      </w:r>
      <w:r w:rsidR="001048D4" w:rsidRPr="003D7FBF">
        <w:rPr>
          <w:rFonts w:ascii="Times New Roman" w:hAnsi="Times New Roman"/>
        </w:rPr>
        <w:t>.</w:t>
      </w:r>
    </w:p>
    <w:p w14:paraId="00AC51A6" w14:textId="7E912359" w:rsidR="00267767" w:rsidRPr="003D7FBF" w:rsidRDefault="00267767" w:rsidP="00237AFE">
      <w:pPr>
        <w:pStyle w:val="Nadpis3"/>
        <w:spacing w:after="120"/>
        <w:jc w:val="both"/>
        <w:rPr>
          <w:rFonts w:ascii="Times New Roman" w:eastAsiaTheme="minorHAnsi" w:hAnsi="Times New Roman"/>
          <w:b w:val="0"/>
          <w:color w:val="auto"/>
        </w:rPr>
      </w:pPr>
      <w:r w:rsidRPr="003D7FBF">
        <w:rPr>
          <w:rFonts w:ascii="Times New Roman" w:eastAsiaTheme="minorHAnsi" w:hAnsi="Times New Roman"/>
          <w:b w:val="0"/>
          <w:color w:val="auto"/>
        </w:rPr>
        <w:t>Pokud by se nepřistoupilo k navrhované úpravě</w:t>
      </w:r>
      <w:r w:rsidR="002C4E6B" w:rsidRPr="003D7FBF">
        <w:rPr>
          <w:rFonts w:ascii="Times New Roman" w:eastAsiaTheme="minorHAnsi" w:hAnsi="Times New Roman"/>
          <w:b w:val="0"/>
          <w:color w:val="auto"/>
        </w:rPr>
        <w:t xml:space="preserve">, ERÚ by nereagoval na požadavky účastníků trhu, resp. </w:t>
      </w:r>
      <w:r w:rsidR="002E1106" w:rsidRPr="003D7FBF">
        <w:rPr>
          <w:rFonts w:ascii="Times New Roman" w:eastAsiaTheme="minorHAnsi" w:hAnsi="Times New Roman"/>
          <w:b w:val="0"/>
          <w:color w:val="auto"/>
        </w:rPr>
        <w:t xml:space="preserve">by zavrhl nastupující trend na </w:t>
      </w:r>
      <w:r w:rsidR="002C4E6B" w:rsidRPr="003D7FBF">
        <w:rPr>
          <w:rFonts w:ascii="Times New Roman" w:eastAsiaTheme="minorHAnsi" w:hAnsi="Times New Roman"/>
          <w:b w:val="0"/>
          <w:color w:val="auto"/>
        </w:rPr>
        <w:t>trhu</w:t>
      </w:r>
      <w:r w:rsidR="002E1106" w:rsidRPr="003D7FBF">
        <w:rPr>
          <w:rFonts w:ascii="Times New Roman" w:eastAsiaTheme="minorHAnsi" w:hAnsi="Times New Roman"/>
          <w:b w:val="0"/>
          <w:color w:val="auto"/>
        </w:rPr>
        <w:t xml:space="preserve"> s elektřinou</w:t>
      </w:r>
      <w:r w:rsidR="002C4E6B" w:rsidRPr="003D7FBF">
        <w:rPr>
          <w:rFonts w:ascii="Times New Roman" w:eastAsiaTheme="minorHAnsi" w:hAnsi="Times New Roman"/>
          <w:b w:val="0"/>
          <w:color w:val="auto"/>
        </w:rPr>
        <w:t>.</w:t>
      </w:r>
    </w:p>
    <w:p w14:paraId="276CB520" w14:textId="57C638CF" w:rsidR="006E4FF7" w:rsidRDefault="00267767" w:rsidP="00237AFE">
      <w:pPr>
        <w:jc w:val="both"/>
        <w:rPr>
          <w:rFonts w:ascii="Times New Roman" w:hAnsi="Times New Roman"/>
        </w:rPr>
      </w:pPr>
      <w:r w:rsidRPr="003D7FBF">
        <w:rPr>
          <w:rFonts w:ascii="Times New Roman" w:hAnsi="Times New Roman"/>
          <w:b/>
          <w:i/>
        </w:rPr>
        <w:t>Varianta II.</w:t>
      </w:r>
      <w:r w:rsidRPr="003D7FBF">
        <w:rPr>
          <w:rFonts w:ascii="Times New Roman" w:hAnsi="Times New Roman"/>
        </w:rPr>
        <w:t xml:space="preserve"> – </w:t>
      </w:r>
      <w:r w:rsidR="00EF7496">
        <w:rPr>
          <w:rFonts w:ascii="Times New Roman" w:hAnsi="Times New Roman"/>
        </w:rPr>
        <w:t>implementace zjednodušeného modelu, který by umožnil za současně platných podmínek vytvořit prostředí pro rozvoj aktivních zákazníků, kteří vyrábí elektřinu a tuto následně sdílí v rámci určité sociální komunity (v tomto případě bytový dům). Současné tržní prostředí poskytuje možnost samovýroby a následně spotřeby v místě výroby zákazníkům, kteří vlastní dům. Tímto vzniká určitá nerovnováha na trhu mezi zákazníky bydlícími ve vlastním domě a zákazníky, kteří bydlí v bytovém domě a možnost samovýroby a následně spotřeby v místě výroby nemají.</w:t>
      </w:r>
      <w:r w:rsidR="003C36F7">
        <w:rPr>
          <w:rFonts w:ascii="Times New Roman" w:hAnsi="Times New Roman"/>
        </w:rPr>
        <w:t xml:space="preserve"> </w:t>
      </w:r>
    </w:p>
    <w:p w14:paraId="7FD2B643" w14:textId="1993D695" w:rsidR="003F467A" w:rsidRPr="00337EFA" w:rsidRDefault="006E4FF7" w:rsidP="00237AFE">
      <w:pPr>
        <w:jc w:val="both"/>
        <w:rPr>
          <w:rFonts w:ascii="Times New Roman" w:hAnsi="Times New Roman"/>
        </w:rPr>
      </w:pPr>
      <w:r>
        <w:rPr>
          <w:rFonts w:ascii="Times New Roman" w:hAnsi="Times New Roman"/>
        </w:rPr>
        <w:t>Cílem této varianty je z</w:t>
      </w:r>
      <w:r w:rsidRPr="006E4FF7">
        <w:rPr>
          <w:rFonts w:ascii="Times New Roman" w:hAnsi="Times New Roman"/>
        </w:rPr>
        <w:t>avedení systém</w:t>
      </w:r>
      <w:r w:rsidR="000C4D71">
        <w:rPr>
          <w:rFonts w:ascii="Times New Roman" w:hAnsi="Times New Roman"/>
        </w:rPr>
        <w:t>u</w:t>
      </w:r>
      <w:r w:rsidRPr="006E4FF7">
        <w:rPr>
          <w:rFonts w:ascii="Times New Roman" w:hAnsi="Times New Roman"/>
        </w:rPr>
        <w:t xml:space="preserve"> předávání údajů pro zúčtování odchylek a pro vyúčtování pro zohlednění množství elektřiny vyrobené ve výrobně elektřiny v jiném předávacím místě odběrného místa v rámci bytového domu</w:t>
      </w:r>
      <w:r>
        <w:rPr>
          <w:rFonts w:ascii="Times New Roman" w:hAnsi="Times New Roman"/>
        </w:rPr>
        <w:t>, který</w:t>
      </w:r>
      <w:r w:rsidR="003C36F7">
        <w:rPr>
          <w:rFonts w:ascii="Times New Roman" w:hAnsi="Times New Roman"/>
        </w:rPr>
        <w:t xml:space="preserve"> je postaven na několika základních podmínkách, a to: (i) vyrábí se elektřina ze zdroje energie, který je připojený k distribuční soustavě v rámci jednoho vchodu bytového domu, (</w:t>
      </w:r>
      <w:proofErr w:type="spellStart"/>
      <w:r w:rsidR="003C36F7">
        <w:rPr>
          <w:rFonts w:ascii="Times New Roman" w:hAnsi="Times New Roman"/>
        </w:rPr>
        <w:t>ii</w:t>
      </w:r>
      <w:proofErr w:type="spellEnd"/>
      <w:r w:rsidR="003C36F7">
        <w:rPr>
          <w:rFonts w:ascii="Times New Roman" w:hAnsi="Times New Roman"/>
        </w:rPr>
        <w:t xml:space="preserve">) </w:t>
      </w:r>
      <w:r>
        <w:rPr>
          <w:rFonts w:ascii="Times New Roman" w:hAnsi="Times New Roman"/>
        </w:rPr>
        <w:t>předávání</w:t>
      </w:r>
      <w:r w:rsidR="003C36F7">
        <w:rPr>
          <w:rFonts w:ascii="Times New Roman" w:hAnsi="Times New Roman"/>
        </w:rPr>
        <w:t xml:space="preserve"> vyrobené elektřiny mezi </w:t>
      </w:r>
      <w:r w:rsidR="00044D3B">
        <w:rPr>
          <w:rFonts w:ascii="Times New Roman" w:hAnsi="Times New Roman"/>
        </w:rPr>
        <w:t xml:space="preserve">odběrnými místy </w:t>
      </w:r>
      <w:r w:rsidR="003C36F7">
        <w:rPr>
          <w:rFonts w:ascii="Times New Roman" w:hAnsi="Times New Roman"/>
        </w:rPr>
        <w:t>nesmí probíhat s využitím distribuční soustavy</w:t>
      </w:r>
      <w:r w:rsidR="003C36F7" w:rsidRPr="003C36F7">
        <w:rPr>
          <w:rFonts w:ascii="Times New Roman" w:hAnsi="Times New Roman"/>
        </w:rPr>
        <w:t xml:space="preserve"> </w:t>
      </w:r>
      <w:r w:rsidR="003C36F7">
        <w:rPr>
          <w:rFonts w:ascii="Times New Roman" w:hAnsi="Times New Roman"/>
        </w:rPr>
        <w:t xml:space="preserve">(pro </w:t>
      </w:r>
      <w:r>
        <w:rPr>
          <w:rFonts w:ascii="Times New Roman" w:hAnsi="Times New Roman"/>
        </w:rPr>
        <w:t>předávání</w:t>
      </w:r>
      <w:r w:rsidR="003C36F7">
        <w:rPr>
          <w:rFonts w:ascii="Times New Roman" w:hAnsi="Times New Roman"/>
        </w:rPr>
        <w:t xml:space="preserve"> v rámci jednoho vchodu bytového domu se využívá např. hlavní domovní vedení), (</w:t>
      </w:r>
      <w:proofErr w:type="spellStart"/>
      <w:r w:rsidR="003C36F7">
        <w:rPr>
          <w:rFonts w:ascii="Times New Roman" w:hAnsi="Times New Roman"/>
        </w:rPr>
        <w:t>iii</w:t>
      </w:r>
      <w:proofErr w:type="spellEnd"/>
      <w:r w:rsidR="003C36F7">
        <w:rPr>
          <w:rFonts w:ascii="Times New Roman" w:hAnsi="Times New Roman"/>
        </w:rPr>
        <w:t xml:space="preserve">) </w:t>
      </w:r>
      <w:r w:rsidR="00805F1B">
        <w:rPr>
          <w:rFonts w:ascii="Times New Roman" w:hAnsi="Times New Roman"/>
        </w:rPr>
        <w:t>tok elektřiny je měřen elektroměrem, který zaznamenává hodnoty o směru toku průběhově a (</w:t>
      </w:r>
      <w:proofErr w:type="spellStart"/>
      <w:r w:rsidR="00805F1B">
        <w:rPr>
          <w:rFonts w:ascii="Times New Roman" w:hAnsi="Times New Roman"/>
        </w:rPr>
        <w:t>iv</w:t>
      </w:r>
      <w:proofErr w:type="spellEnd"/>
      <w:r w:rsidR="00805F1B">
        <w:rPr>
          <w:rFonts w:ascii="Times New Roman" w:hAnsi="Times New Roman"/>
        </w:rPr>
        <w:t>)</w:t>
      </w:r>
      <w:r w:rsidR="003C36F7">
        <w:rPr>
          <w:rFonts w:ascii="Times New Roman" w:hAnsi="Times New Roman"/>
        </w:rPr>
        <w:t xml:space="preserve"> </w:t>
      </w:r>
      <w:r w:rsidR="00805F1B">
        <w:rPr>
          <w:rFonts w:ascii="Times New Roman" w:hAnsi="Times New Roman"/>
        </w:rPr>
        <w:t>účtuje se</w:t>
      </w:r>
      <w:r w:rsidR="0086651E">
        <w:rPr>
          <w:rFonts w:ascii="Times New Roman" w:hAnsi="Times New Roman"/>
        </w:rPr>
        <w:t xml:space="preserve"> množství spotřebované</w:t>
      </w:r>
      <w:r w:rsidR="00805F1B">
        <w:rPr>
          <w:rFonts w:ascii="Times New Roman" w:hAnsi="Times New Roman"/>
        </w:rPr>
        <w:t xml:space="preserve"> elektřin</w:t>
      </w:r>
      <w:r w:rsidR="0086651E">
        <w:rPr>
          <w:rFonts w:ascii="Times New Roman" w:hAnsi="Times New Roman"/>
        </w:rPr>
        <w:t>y</w:t>
      </w:r>
      <w:r w:rsidR="00805F1B">
        <w:rPr>
          <w:rFonts w:ascii="Times New Roman" w:hAnsi="Times New Roman"/>
        </w:rPr>
        <w:t>, kter</w:t>
      </w:r>
      <w:r w:rsidR="0086651E">
        <w:rPr>
          <w:rFonts w:ascii="Times New Roman" w:hAnsi="Times New Roman"/>
        </w:rPr>
        <w:t>é</w:t>
      </w:r>
      <w:r w:rsidR="00805F1B">
        <w:rPr>
          <w:rFonts w:ascii="Times New Roman" w:hAnsi="Times New Roman"/>
        </w:rPr>
        <w:t xml:space="preserve"> je ponížen</w:t>
      </w:r>
      <w:r w:rsidR="0086651E">
        <w:rPr>
          <w:rFonts w:ascii="Times New Roman" w:hAnsi="Times New Roman"/>
        </w:rPr>
        <w:t>o</w:t>
      </w:r>
      <w:r w:rsidR="00805F1B">
        <w:rPr>
          <w:rFonts w:ascii="Times New Roman" w:hAnsi="Times New Roman"/>
        </w:rPr>
        <w:t xml:space="preserve"> o hodnotu </w:t>
      </w:r>
      <w:r w:rsidR="005227AB">
        <w:rPr>
          <w:rFonts w:ascii="Times New Roman" w:hAnsi="Times New Roman"/>
        </w:rPr>
        <w:t>alokovaného rozsahu</w:t>
      </w:r>
      <w:r w:rsidR="00805F1B">
        <w:rPr>
          <w:rFonts w:ascii="Times New Roman" w:hAnsi="Times New Roman"/>
        </w:rPr>
        <w:t xml:space="preserve"> (hodnota je určena na základě implementovaného alokačního klíče</w:t>
      </w:r>
      <w:r w:rsidR="0086651E">
        <w:rPr>
          <w:rFonts w:ascii="Times New Roman" w:hAnsi="Times New Roman"/>
        </w:rPr>
        <w:t>, který si mezi sebou dohodnou zúčastněné osoby</w:t>
      </w:r>
      <w:r w:rsidR="00805F1B">
        <w:rPr>
          <w:rFonts w:ascii="Times New Roman" w:hAnsi="Times New Roman"/>
        </w:rPr>
        <w:t>).</w:t>
      </w:r>
      <w:r w:rsidR="001A7B09">
        <w:rPr>
          <w:rFonts w:ascii="Times New Roman" w:hAnsi="Times New Roman"/>
        </w:rPr>
        <w:t xml:space="preserve"> </w:t>
      </w:r>
      <w:r w:rsidR="0071736B">
        <w:rPr>
          <w:rFonts w:ascii="Times New Roman" w:hAnsi="Times New Roman"/>
        </w:rPr>
        <w:t>Schéma</w:t>
      </w:r>
      <w:r w:rsidR="001A7B09">
        <w:rPr>
          <w:rFonts w:ascii="Times New Roman" w:hAnsi="Times New Roman"/>
        </w:rPr>
        <w:t xml:space="preserve"> fungování tohoto modelu je uveden</w:t>
      </w:r>
      <w:r w:rsidR="0071736B">
        <w:rPr>
          <w:rFonts w:ascii="Times New Roman" w:hAnsi="Times New Roman"/>
        </w:rPr>
        <w:t>o</w:t>
      </w:r>
      <w:r w:rsidR="001A7B09">
        <w:rPr>
          <w:rFonts w:ascii="Times New Roman" w:hAnsi="Times New Roman"/>
        </w:rPr>
        <w:t xml:space="preserve"> </w:t>
      </w:r>
      <w:r w:rsidR="0071736B">
        <w:rPr>
          <w:rFonts w:ascii="Times New Roman" w:hAnsi="Times New Roman"/>
        </w:rPr>
        <w:t>na</w:t>
      </w:r>
      <w:r w:rsidR="001A7B09">
        <w:rPr>
          <w:rFonts w:ascii="Times New Roman" w:hAnsi="Times New Roman"/>
        </w:rPr>
        <w:t> obrázku č. 1.</w:t>
      </w:r>
    </w:p>
    <w:p w14:paraId="5385936F" w14:textId="535E477E" w:rsidR="000C4D71" w:rsidRPr="00337EFA" w:rsidRDefault="000C4D71" w:rsidP="00237AFE">
      <w:pPr>
        <w:jc w:val="both"/>
        <w:rPr>
          <w:rFonts w:ascii="Times New Roman" w:hAnsi="Times New Roman"/>
        </w:rPr>
      </w:pPr>
      <w:r w:rsidRPr="003D7FBF">
        <w:rPr>
          <w:rFonts w:ascii="Times New Roman" w:hAnsi="Times New Roman"/>
          <w:b/>
          <w:i/>
        </w:rPr>
        <w:t>Varianta II</w:t>
      </w:r>
      <w:r>
        <w:rPr>
          <w:rFonts w:ascii="Times New Roman" w:hAnsi="Times New Roman"/>
          <w:b/>
          <w:i/>
        </w:rPr>
        <w:t>I</w:t>
      </w:r>
      <w:r w:rsidRPr="003D7FBF">
        <w:rPr>
          <w:rFonts w:ascii="Times New Roman" w:hAnsi="Times New Roman"/>
          <w:b/>
          <w:i/>
        </w:rPr>
        <w:t>.</w:t>
      </w:r>
      <w:r>
        <w:rPr>
          <w:rFonts w:ascii="Times New Roman" w:hAnsi="Times New Roman"/>
          <w:b/>
          <w:i/>
        </w:rPr>
        <w:t xml:space="preserve"> </w:t>
      </w:r>
      <w:r>
        <w:rPr>
          <w:rFonts w:ascii="Times New Roman" w:hAnsi="Times New Roman"/>
          <w:i/>
        </w:rPr>
        <w:t xml:space="preserve">– </w:t>
      </w:r>
      <w:r w:rsidRPr="00337EFA">
        <w:rPr>
          <w:rFonts w:ascii="Times New Roman" w:hAnsi="Times New Roman"/>
        </w:rPr>
        <w:t>implementace modelu a provedení úprav</w:t>
      </w:r>
      <w:r>
        <w:rPr>
          <w:rFonts w:ascii="Times New Roman" w:hAnsi="Times New Roman"/>
        </w:rPr>
        <w:t>, které by umožnily sdílení vyrobené elektřiny mezi předávacími místy zákazníků i s využitím distribuční soustavy. Tato varianta závisí na provedení zákonných úprav, které umožní fungování energetických společenství na trhu s elektřinou. V současnosti platná právní úprava tento model fungování neumožňuje</w:t>
      </w:r>
      <w:r w:rsidR="002C61F3">
        <w:rPr>
          <w:rFonts w:ascii="Times New Roman" w:hAnsi="Times New Roman"/>
        </w:rPr>
        <w:t xml:space="preserve">, chybí zákonná </w:t>
      </w:r>
      <w:r w:rsidR="00753C8B">
        <w:rPr>
          <w:rFonts w:ascii="Times New Roman" w:hAnsi="Times New Roman"/>
        </w:rPr>
        <w:t>úprava,</w:t>
      </w:r>
      <w:r w:rsidR="002C61F3">
        <w:rPr>
          <w:rFonts w:ascii="Times New Roman" w:hAnsi="Times New Roman"/>
        </w:rPr>
        <w:t xml:space="preserve"> a tedy zákonný základ pro vyhlášky, jakož i speciální zmocnění</w:t>
      </w:r>
      <w:r>
        <w:rPr>
          <w:rFonts w:ascii="Times New Roman" w:hAnsi="Times New Roman"/>
        </w:rPr>
        <w:t>.</w:t>
      </w:r>
    </w:p>
    <w:p w14:paraId="6221AE0A" w14:textId="77777777" w:rsidR="006E4FF7" w:rsidRDefault="006E4FF7" w:rsidP="00237AFE">
      <w:pPr>
        <w:jc w:val="both"/>
        <w:rPr>
          <w:rFonts w:ascii="Times New Roman" w:eastAsiaTheme="majorEastAsia" w:hAnsi="Times New Roman" w:cs="Times New Roman"/>
          <w:b/>
          <w:bCs/>
          <w:u w:val="single"/>
        </w:rPr>
      </w:pPr>
    </w:p>
    <w:p w14:paraId="5C0DB620" w14:textId="2DB5BE87" w:rsidR="00EF7496" w:rsidRPr="00EF7496" w:rsidRDefault="00267767" w:rsidP="00237AFE">
      <w:pPr>
        <w:jc w:val="both"/>
        <w:rPr>
          <w:rFonts w:ascii="Times New Roman" w:eastAsiaTheme="majorEastAsia" w:hAnsi="Times New Roman" w:cs="Times New Roman"/>
          <w:b/>
          <w:bCs/>
          <w:u w:val="single"/>
        </w:rPr>
      </w:pPr>
      <w:r w:rsidRPr="00EF7496">
        <w:rPr>
          <w:rFonts w:ascii="Times New Roman" w:eastAsiaTheme="majorEastAsia" w:hAnsi="Times New Roman" w:cs="Times New Roman"/>
          <w:b/>
          <w:bCs/>
          <w:u w:val="single"/>
        </w:rPr>
        <w:t>Vyhodnocení nákladů a přínosů</w:t>
      </w:r>
    </w:p>
    <w:p w14:paraId="2B2E69C8" w14:textId="64F9420D" w:rsidR="00267767" w:rsidRDefault="00267767" w:rsidP="00237AFE">
      <w:pPr>
        <w:jc w:val="both"/>
        <w:rPr>
          <w:rFonts w:ascii="Times New Roman" w:hAnsi="Times New Roman" w:cs="Times New Roman"/>
          <w:b/>
          <w:u w:val="single"/>
        </w:rPr>
      </w:pPr>
      <w:r w:rsidRPr="00EF7496">
        <w:rPr>
          <w:rFonts w:ascii="Times New Roman" w:hAnsi="Times New Roman" w:cs="Times New Roman"/>
          <w:b/>
          <w:u w:val="single"/>
        </w:rPr>
        <w:t>Náklady</w:t>
      </w:r>
    </w:p>
    <w:p w14:paraId="2D6751EB" w14:textId="41DC7403" w:rsidR="00EF7496" w:rsidRPr="00944B23" w:rsidRDefault="00EF7496" w:rsidP="00237AFE">
      <w:pPr>
        <w:jc w:val="both"/>
        <w:rPr>
          <w:rFonts w:ascii="Times New Roman" w:hAnsi="Times New Roman" w:cs="Times New Roman"/>
        </w:rPr>
      </w:pPr>
      <w:r w:rsidRPr="00944B23">
        <w:rPr>
          <w:rFonts w:ascii="Times New Roman" w:hAnsi="Times New Roman" w:cs="Times New Roman"/>
        </w:rPr>
        <w:t xml:space="preserve">Varianta I. </w:t>
      </w:r>
      <w:r>
        <w:rPr>
          <w:rFonts w:ascii="Times New Roman" w:hAnsi="Times New Roman" w:cs="Times New Roman"/>
        </w:rPr>
        <w:t>U této varianty nejsou očekávány náklady na straně účastníků trhu.</w:t>
      </w:r>
      <w:r w:rsidRPr="00944B23">
        <w:rPr>
          <w:rFonts w:ascii="Times New Roman" w:hAnsi="Times New Roman" w:cs="Times New Roman"/>
        </w:rPr>
        <w:t xml:space="preserve"> </w:t>
      </w:r>
      <w:r>
        <w:rPr>
          <w:rFonts w:ascii="Times New Roman" w:hAnsi="Times New Roman" w:cs="Times New Roman"/>
        </w:rPr>
        <w:t xml:space="preserve">Lze hovořit pouze o nákladech ušlé příležitosti, které mohou plynout jak samotným zákazníkům v bytových domech, kteří přichází o možnost samovýroby a následně spotřeby </w:t>
      </w:r>
      <w:r w:rsidR="00F05206">
        <w:rPr>
          <w:rFonts w:ascii="Times New Roman" w:hAnsi="Times New Roman" w:cs="Times New Roman"/>
        </w:rPr>
        <w:t xml:space="preserve">takto </w:t>
      </w:r>
      <w:r>
        <w:rPr>
          <w:rFonts w:ascii="Times New Roman" w:hAnsi="Times New Roman" w:cs="Times New Roman"/>
        </w:rPr>
        <w:t xml:space="preserve">vyrobené elektřiny v místě výroby </w:t>
      </w:r>
      <w:r w:rsidR="00F05206">
        <w:rPr>
          <w:rFonts w:ascii="Times New Roman" w:hAnsi="Times New Roman" w:cs="Times New Roman"/>
        </w:rPr>
        <w:t>kvůli</w:t>
      </w:r>
      <w:r>
        <w:rPr>
          <w:rFonts w:ascii="Times New Roman" w:hAnsi="Times New Roman" w:cs="Times New Roman"/>
        </w:rPr>
        <w:t xml:space="preserve"> neukotvení pravidel v platné právní úpravě, tak také jiným aktérům na trhu, kteří přichází o potenciální oblast pro rozvoj své podnikatelské činnosti (</w:t>
      </w:r>
      <w:r w:rsidR="007D429A">
        <w:rPr>
          <w:rFonts w:ascii="Times New Roman" w:hAnsi="Times New Roman" w:cs="Times New Roman"/>
        </w:rPr>
        <w:t>ať už v oblasti inovací a rozvoje nových technologií, nebo v oblasti výroby, výstavby a následné servisní činnosti zařízení)</w:t>
      </w:r>
      <w:r>
        <w:rPr>
          <w:rFonts w:ascii="Times New Roman" w:hAnsi="Times New Roman" w:cs="Times New Roman"/>
        </w:rPr>
        <w:t xml:space="preserve">.  </w:t>
      </w:r>
    </w:p>
    <w:p w14:paraId="4967C7C3" w14:textId="6A1AC6DC" w:rsidR="00EF7496" w:rsidRPr="00337EFA" w:rsidRDefault="00EF7496" w:rsidP="00237AFE">
      <w:pPr>
        <w:jc w:val="both"/>
        <w:rPr>
          <w:rFonts w:ascii="Times New Roman" w:hAnsi="Times New Roman" w:cs="Times New Roman"/>
        </w:rPr>
      </w:pPr>
      <w:r w:rsidRPr="00944B23">
        <w:rPr>
          <w:rFonts w:ascii="Times New Roman" w:hAnsi="Times New Roman" w:cs="Times New Roman"/>
        </w:rPr>
        <w:t>Varianta II.</w:t>
      </w:r>
      <w:r w:rsidR="007D429A">
        <w:rPr>
          <w:rFonts w:ascii="Times New Roman" w:hAnsi="Times New Roman" w:cs="Times New Roman"/>
        </w:rPr>
        <w:t xml:space="preserve"> U této varianty se předpokládají </w:t>
      </w:r>
      <w:r w:rsidR="004A0BBA">
        <w:rPr>
          <w:rFonts w:ascii="Times New Roman" w:hAnsi="Times New Roman" w:cs="Times New Roman"/>
        </w:rPr>
        <w:t>(</w:t>
      </w:r>
      <w:r w:rsidR="007D429A">
        <w:rPr>
          <w:rFonts w:ascii="Times New Roman" w:hAnsi="Times New Roman" w:cs="Times New Roman"/>
        </w:rPr>
        <w:t>min. v</w:t>
      </w:r>
      <w:r w:rsidR="004A0BBA">
        <w:rPr>
          <w:rFonts w:ascii="Times New Roman" w:hAnsi="Times New Roman" w:cs="Times New Roman"/>
        </w:rPr>
        <w:t> </w:t>
      </w:r>
      <w:r w:rsidR="007D429A">
        <w:rPr>
          <w:rFonts w:ascii="Times New Roman" w:hAnsi="Times New Roman" w:cs="Times New Roman"/>
        </w:rPr>
        <w:t>počátcích</w:t>
      </w:r>
      <w:r w:rsidR="004A0BBA">
        <w:rPr>
          <w:rFonts w:ascii="Times New Roman" w:hAnsi="Times New Roman" w:cs="Times New Roman"/>
        </w:rPr>
        <w:t>)</w:t>
      </w:r>
      <w:r w:rsidR="007D429A">
        <w:rPr>
          <w:rFonts w:ascii="Times New Roman" w:hAnsi="Times New Roman" w:cs="Times New Roman"/>
        </w:rPr>
        <w:t xml:space="preserve"> náklady, které budou jak na straně zákazníků, tak také na straně provozovatelů distribučních soustav, obchodníků a operátor</w:t>
      </w:r>
      <w:r w:rsidR="00F05206">
        <w:rPr>
          <w:rFonts w:ascii="Times New Roman" w:hAnsi="Times New Roman" w:cs="Times New Roman"/>
        </w:rPr>
        <w:t>a</w:t>
      </w:r>
      <w:r w:rsidR="007D429A">
        <w:rPr>
          <w:rFonts w:ascii="Times New Roman" w:hAnsi="Times New Roman" w:cs="Times New Roman"/>
        </w:rPr>
        <w:t xml:space="preserve"> trhu. Na straně zákazníků se jedná o náklady, které jsou spojeny: (i) s dosažením shody mezi účastníky sdílení v rámci bytového domu, (</w:t>
      </w:r>
      <w:proofErr w:type="spellStart"/>
      <w:r w:rsidR="007D429A">
        <w:rPr>
          <w:rFonts w:ascii="Times New Roman" w:hAnsi="Times New Roman" w:cs="Times New Roman"/>
        </w:rPr>
        <w:t>ii</w:t>
      </w:r>
      <w:proofErr w:type="spellEnd"/>
      <w:r w:rsidR="007D429A">
        <w:rPr>
          <w:rFonts w:ascii="Times New Roman" w:hAnsi="Times New Roman" w:cs="Times New Roman"/>
        </w:rPr>
        <w:t xml:space="preserve">) s vyřízením </w:t>
      </w:r>
      <w:r w:rsidR="00F93CC3">
        <w:rPr>
          <w:rFonts w:ascii="Times New Roman" w:hAnsi="Times New Roman" w:cs="Times New Roman"/>
        </w:rPr>
        <w:t>registrace</w:t>
      </w:r>
      <w:r w:rsidR="007D429A">
        <w:rPr>
          <w:rFonts w:ascii="Times New Roman" w:hAnsi="Times New Roman" w:cs="Times New Roman"/>
        </w:rPr>
        <w:t xml:space="preserve"> u provozovatele distribuční soustavy, (</w:t>
      </w:r>
      <w:proofErr w:type="spellStart"/>
      <w:r w:rsidR="007D429A">
        <w:rPr>
          <w:rFonts w:ascii="Times New Roman" w:hAnsi="Times New Roman" w:cs="Times New Roman"/>
        </w:rPr>
        <w:t>iii</w:t>
      </w:r>
      <w:proofErr w:type="spellEnd"/>
      <w:r w:rsidR="007D429A">
        <w:rPr>
          <w:rFonts w:ascii="Times New Roman" w:hAnsi="Times New Roman" w:cs="Times New Roman"/>
        </w:rPr>
        <w:t>) s úpravou odběrných míst a (</w:t>
      </w:r>
      <w:proofErr w:type="spellStart"/>
      <w:r w:rsidR="007D429A">
        <w:rPr>
          <w:rFonts w:ascii="Times New Roman" w:hAnsi="Times New Roman" w:cs="Times New Roman"/>
        </w:rPr>
        <w:t>iv</w:t>
      </w:r>
      <w:proofErr w:type="spellEnd"/>
      <w:r w:rsidR="007D429A">
        <w:rPr>
          <w:rFonts w:ascii="Times New Roman" w:hAnsi="Times New Roman" w:cs="Times New Roman"/>
        </w:rPr>
        <w:t>)</w:t>
      </w:r>
      <w:r w:rsidR="00F05206">
        <w:rPr>
          <w:rFonts w:ascii="Times New Roman" w:hAnsi="Times New Roman" w:cs="Times New Roman"/>
        </w:rPr>
        <w:t xml:space="preserve"> s</w:t>
      </w:r>
      <w:r w:rsidR="007D429A">
        <w:rPr>
          <w:rFonts w:ascii="Times New Roman" w:hAnsi="Times New Roman" w:cs="Times New Roman"/>
        </w:rPr>
        <w:t xml:space="preserve"> pořízením zařízení pro výrobu elektřiny. Na straně provozovatelů distribučních soustav, obchodníků a operátora trhu se jedná o náklady, které jsou spojeny: (i) s pořízením potřebných měřících zařízení (náklady u provozovatele distribuční soustavy), (</w:t>
      </w:r>
      <w:proofErr w:type="spellStart"/>
      <w:r w:rsidR="007D429A">
        <w:rPr>
          <w:rFonts w:ascii="Times New Roman" w:hAnsi="Times New Roman" w:cs="Times New Roman"/>
        </w:rPr>
        <w:t>ii</w:t>
      </w:r>
      <w:proofErr w:type="spellEnd"/>
      <w:r w:rsidR="007D429A">
        <w:rPr>
          <w:rFonts w:ascii="Times New Roman" w:hAnsi="Times New Roman" w:cs="Times New Roman"/>
        </w:rPr>
        <w:t>) s úpravou interních informačních systémů (všichni)</w:t>
      </w:r>
      <w:r w:rsidR="0042189A">
        <w:rPr>
          <w:rFonts w:ascii="Times New Roman" w:hAnsi="Times New Roman" w:cs="Times New Roman"/>
        </w:rPr>
        <w:t xml:space="preserve"> a</w:t>
      </w:r>
      <w:r w:rsidR="007D429A">
        <w:rPr>
          <w:rFonts w:ascii="Times New Roman" w:hAnsi="Times New Roman" w:cs="Times New Roman"/>
        </w:rPr>
        <w:t xml:space="preserve"> (</w:t>
      </w:r>
      <w:proofErr w:type="spellStart"/>
      <w:r w:rsidR="007D429A">
        <w:rPr>
          <w:rFonts w:ascii="Times New Roman" w:hAnsi="Times New Roman" w:cs="Times New Roman"/>
        </w:rPr>
        <w:t>iii</w:t>
      </w:r>
      <w:proofErr w:type="spellEnd"/>
      <w:r w:rsidR="007D429A">
        <w:rPr>
          <w:rFonts w:ascii="Times New Roman" w:hAnsi="Times New Roman" w:cs="Times New Roman"/>
        </w:rPr>
        <w:t>) se zavedením nových interních postupů vč. zaškolení zaměstnanců (všichni)</w:t>
      </w:r>
      <w:r w:rsidR="0042189A">
        <w:rPr>
          <w:rFonts w:ascii="Times New Roman" w:hAnsi="Times New Roman" w:cs="Times New Roman"/>
        </w:rPr>
        <w:t>.</w:t>
      </w:r>
      <w:r w:rsidR="007D429A">
        <w:rPr>
          <w:rFonts w:ascii="Times New Roman" w:hAnsi="Times New Roman" w:cs="Times New Roman"/>
        </w:rPr>
        <w:t xml:space="preserve"> </w:t>
      </w:r>
      <w:r w:rsidR="00775C65">
        <w:rPr>
          <w:rFonts w:ascii="Times New Roman" w:hAnsi="Times New Roman" w:cs="Times New Roman"/>
        </w:rPr>
        <w:t xml:space="preserve">Náklady spojené </w:t>
      </w:r>
      <w:r w:rsidR="00FF7421">
        <w:rPr>
          <w:rFonts w:ascii="Times New Roman" w:hAnsi="Times New Roman" w:cs="Times New Roman"/>
        </w:rPr>
        <w:t xml:space="preserve">s pořízením měřících zařízení budou postupně provozovatelům distribučních soustav uznávány v rámci regulace nákladů a započteny do výše distribučních sazeb. </w:t>
      </w:r>
      <w:r w:rsidR="007D429A">
        <w:rPr>
          <w:rFonts w:ascii="Times New Roman" w:hAnsi="Times New Roman" w:cs="Times New Roman"/>
        </w:rPr>
        <w:t xml:space="preserve"> </w:t>
      </w:r>
    </w:p>
    <w:p w14:paraId="42069CF0" w14:textId="2E152DEA" w:rsidR="00C01D3D" w:rsidRPr="009E7848" w:rsidRDefault="00C01D3D" w:rsidP="00237AFE">
      <w:pPr>
        <w:jc w:val="both"/>
        <w:rPr>
          <w:rFonts w:ascii="Times New Roman" w:hAnsi="Times New Roman" w:cs="Times New Roman"/>
        </w:rPr>
      </w:pPr>
      <w:r w:rsidRPr="00337EFA">
        <w:rPr>
          <w:rFonts w:ascii="Times New Roman" w:hAnsi="Times New Roman" w:cs="Times New Roman"/>
        </w:rPr>
        <w:t>Varianta III.</w:t>
      </w:r>
      <w:r w:rsidR="00FF7421" w:rsidRPr="00337EFA">
        <w:rPr>
          <w:rFonts w:ascii="Times New Roman" w:hAnsi="Times New Roman" w:cs="Times New Roman"/>
        </w:rPr>
        <w:t xml:space="preserve"> U této varianty se předpokládají náklady obdobné jako u varianty II., nicméně tyto náklady lze očekávat vyšší, jelikož se jedná o implementaci řešení, které již předpokládá sdílení vyrobené elektřiny s použitím distribuční soustavy, tedy nikoliv jen sdílení v rámci jednoho bytového domu, ale sdílení například i mezi bytovými domy. Tato varianta předpokládá plnohodnotnou implementací postupů pro rozvoj </w:t>
      </w:r>
      <w:r w:rsidR="00245B83" w:rsidRPr="00337EFA">
        <w:rPr>
          <w:rFonts w:ascii="Times New Roman" w:hAnsi="Times New Roman" w:cs="Times New Roman"/>
        </w:rPr>
        <w:t>energetických společenství. Implementace takové varianty bez toho, aniž by byly známy zákonné předpoklady, by mohly vyvolat utopené náklady ve chvíli, kdy se zákonná úprava odkloní od implementovaného řešení.</w:t>
      </w:r>
    </w:p>
    <w:p w14:paraId="55E495F5" w14:textId="77777777" w:rsidR="00C01D3D" w:rsidRDefault="00C01D3D" w:rsidP="00237AFE">
      <w:pPr>
        <w:jc w:val="both"/>
        <w:rPr>
          <w:rFonts w:ascii="Times New Roman" w:hAnsi="Times New Roman" w:cs="Times New Roman"/>
          <w:b/>
          <w:u w:val="single"/>
        </w:rPr>
      </w:pPr>
    </w:p>
    <w:p w14:paraId="18D99A8F" w14:textId="12BF747D" w:rsidR="00267767" w:rsidRDefault="00267767" w:rsidP="00237AFE">
      <w:pPr>
        <w:jc w:val="both"/>
        <w:rPr>
          <w:rFonts w:ascii="Times New Roman" w:hAnsi="Times New Roman" w:cs="Times New Roman"/>
          <w:b/>
          <w:u w:val="single"/>
        </w:rPr>
      </w:pPr>
      <w:r w:rsidRPr="00EF7496">
        <w:rPr>
          <w:rFonts w:ascii="Times New Roman" w:hAnsi="Times New Roman" w:cs="Times New Roman"/>
          <w:b/>
          <w:u w:val="single"/>
        </w:rPr>
        <w:t>Přínosy</w:t>
      </w:r>
    </w:p>
    <w:p w14:paraId="1FCA7B04" w14:textId="440DDBDE" w:rsidR="0042189A" w:rsidRPr="00944B23" w:rsidRDefault="0042189A" w:rsidP="00237AFE">
      <w:pPr>
        <w:jc w:val="both"/>
        <w:rPr>
          <w:rFonts w:ascii="Times New Roman" w:hAnsi="Times New Roman" w:cs="Times New Roman"/>
        </w:rPr>
      </w:pPr>
      <w:r w:rsidRPr="00944B23">
        <w:rPr>
          <w:rFonts w:ascii="Times New Roman" w:hAnsi="Times New Roman" w:cs="Times New Roman"/>
        </w:rPr>
        <w:t xml:space="preserve">Varianta I. </w:t>
      </w:r>
      <w:r>
        <w:rPr>
          <w:rFonts w:ascii="Times New Roman" w:hAnsi="Times New Roman" w:cs="Times New Roman"/>
        </w:rPr>
        <w:t>U této varianty nejsou očekávány přínosy.</w:t>
      </w:r>
    </w:p>
    <w:p w14:paraId="7DD83F9E" w14:textId="65A74802" w:rsidR="0042189A" w:rsidRPr="003C36F7" w:rsidRDefault="0042189A" w:rsidP="00237AFE">
      <w:pPr>
        <w:jc w:val="both"/>
        <w:rPr>
          <w:rFonts w:ascii="Times New Roman" w:hAnsi="Times New Roman" w:cs="Times New Roman"/>
          <w:b/>
          <w:bCs/>
        </w:rPr>
      </w:pPr>
      <w:r w:rsidRPr="00944B23">
        <w:rPr>
          <w:rFonts w:ascii="Times New Roman" w:hAnsi="Times New Roman" w:cs="Times New Roman"/>
        </w:rPr>
        <w:t>Varianta II.</w:t>
      </w:r>
      <w:r>
        <w:rPr>
          <w:rFonts w:ascii="Times New Roman" w:hAnsi="Times New Roman" w:cs="Times New Roman"/>
        </w:rPr>
        <w:t xml:space="preserve"> U této varianty jsou očekávány zejména ekonomické přínosy. Dojde ke stanovení pravidel pro umožnění samovýroby a následné spotřeby vyrobené elektřiny v místě výroby i u skupiny zákazník</w:t>
      </w:r>
      <w:r w:rsidR="007130EB">
        <w:rPr>
          <w:rFonts w:ascii="Times New Roman" w:hAnsi="Times New Roman" w:cs="Times New Roman"/>
        </w:rPr>
        <w:t>ů</w:t>
      </w:r>
      <w:r>
        <w:rPr>
          <w:rFonts w:ascii="Times New Roman" w:hAnsi="Times New Roman" w:cs="Times New Roman"/>
        </w:rPr>
        <w:t>, kteří doposud tuto možnost neměli, nebo měli</w:t>
      </w:r>
      <w:r w:rsidR="007130EB">
        <w:rPr>
          <w:rFonts w:ascii="Times New Roman" w:hAnsi="Times New Roman" w:cs="Times New Roman"/>
        </w:rPr>
        <w:t>, ovšem</w:t>
      </w:r>
      <w:r>
        <w:rPr>
          <w:rFonts w:ascii="Times New Roman" w:hAnsi="Times New Roman" w:cs="Times New Roman"/>
        </w:rPr>
        <w:t xml:space="preserve"> za podmínek, které jsou buď ekonomicky </w:t>
      </w:r>
      <w:r w:rsidR="007130EB">
        <w:rPr>
          <w:rFonts w:ascii="Times New Roman" w:hAnsi="Times New Roman" w:cs="Times New Roman"/>
        </w:rPr>
        <w:t>nepřívětivé</w:t>
      </w:r>
      <w:r>
        <w:rPr>
          <w:rFonts w:ascii="Times New Roman" w:hAnsi="Times New Roman" w:cs="Times New Roman"/>
        </w:rPr>
        <w:t xml:space="preserve">, nebo </w:t>
      </w:r>
      <w:r w:rsidR="007130EB">
        <w:rPr>
          <w:rFonts w:ascii="Times New Roman" w:hAnsi="Times New Roman" w:cs="Times New Roman"/>
        </w:rPr>
        <w:t xml:space="preserve">se </w:t>
      </w:r>
      <w:r>
        <w:rPr>
          <w:rFonts w:ascii="Times New Roman" w:hAnsi="Times New Roman" w:cs="Times New Roman"/>
        </w:rPr>
        <w:t>zakláda</w:t>
      </w:r>
      <w:r w:rsidR="007130EB">
        <w:rPr>
          <w:rFonts w:ascii="Times New Roman" w:hAnsi="Times New Roman" w:cs="Times New Roman"/>
        </w:rPr>
        <w:t>jí</w:t>
      </w:r>
      <w:r>
        <w:rPr>
          <w:rFonts w:ascii="Times New Roman" w:hAnsi="Times New Roman" w:cs="Times New Roman"/>
        </w:rPr>
        <w:t xml:space="preserve"> na nerovnováze v právních vztazích mezi účastníky. </w:t>
      </w:r>
      <w:r w:rsidR="00245B83">
        <w:rPr>
          <w:rFonts w:ascii="Times New Roman" w:hAnsi="Times New Roman" w:cs="Times New Roman"/>
        </w:rPr>
        <w:t xml:space="preserve">Zákazníci budou moci snížit svou závislost na dodávkách centrálních zdrojů. </w:t>
      </w:r>
      <w:r>
        <w:rPr>
          <w:rFonts w:ascii="Times New Roman" w:hAnsi="Times New Roman" w:cs="Times New Roman"/>
        </w:rPr>
        <w:t>Rovněž se očekává přínos v oblasti rozvoje služeb, které mohou přinést značnou redukci nákladů a vytvářet prostředí pro další rozvoj nových forem v oblasti samovýroby</w:t>
      </w:r>
      <w:r w:rsidR="00245B83">
        <w:rPr>
          <w:rFonts w:ascii="Times New Roman" w:hAnsi="Times New Roman" w:cs="Times New Roman"/>
        </w:rPr>
        <w:t>, redistribuce</w:t>
      </w:r>
      <w:r>
        <w:rPr>
          <w:rFonts w:ascii="Times New Roman" w:hAnsi="Times New Roman" w:cs="Times New Roman"/>
        </w:rPr>
        <w:t xml:space="preserve"> a následné spotřeby na straně zákazníků.</w:t>
      </w:r>
      <w:r w:rsidR="003C36F7" w:rsidRPr="003C36F7">
        <w:rPr>
          <w:rFonts w:ascii="Times New Roman" w:hAnsi="Times New Roman"/>
        </w:rPr>
        <w:t xml:space="preserve"> </w:t>
      </w:r>
      <w:r w:rsidR="003C36F7">
        <w:rPr>
          <w:rFonts w:ascii="Times New Roman" w:hAnsi="Times New Roman"/>
        </w:rPr>
        <w:t>Zjednodušený model</w:t>
      </w:r>
      <w:r w:rsidR="00245B83">
        <w:rPr>
          <w:rFonts w:ascii="Times New Roman" w:hAnsi="Times New Roman"/>
        </w:rPr>
        <w:t xml:space="preserve">, který je založený na zavedení systému </w:t>
      </w:r>
      <w:r w:rsidR="00245B83" w:rsidRPr="00245B83">
        <w:rPr>
          <w:rFonts w:ascii="Times New Roman" w:hAnsi="Times New Roman"/>
        </w:rPr>
        <w:t>předávání údajů pro zúčtování odchylek a pro vyúčtování pro zohlednění množství elektřiny vyrobené ve výrobně elektřiny v jiném předávacím místě odběrného místa v rámci bytového domu</w:t>
      </w:r>
      <w:r w:rsidR="003C36F7">
        <w:rPr>
          <w:rFonts w:ascii="Times New Roman" w:hAnsi="Times New Roman"/>
        </w:rPr>
        <w:t xml:space="preserve"> </w:t>
      </w:r>
      <w:r w:rsidR="00245B83">
        <w:rPr>
          <w:rFonts w:ascii="Times New Roman" w:hAnsi="Times New Roman"/>
        </w:rPr>
        <w:t xml:space="preserve">přispěje k </w:t>
      </w:r>
      <w:r w:rsidR="003C36F7">
        <w:rPr>
          <w:rFonts w:ascii="Times New Roman" w:hAnsi="Times New Roman"/>
        </w:rPr>
        <w:t xml:space="preserve">vyšší penetraci aktivních zákazníků na trh s elektřinou. </w:t>
      </w:r>
    </w:p>
    <w:p w14:paraId="452AEF9A" w14:textId="0AEABB61" w:rsidR="00C01D3D" w:rsidRPr="00245B83" w:rsidRDefault="00C01D3D" w:rsidP="00237AFE">
      <w:pPr>
        <w:jc w:val="both"/>
        <w:rPr>
          <w:rFonts w:ascii="Times New Roman" w:hAnsi="Times New Roman" w:cs="Times New Roman"/>
        </w:rPr>
      </w:pPr>
      <w:r w:rsidRPr="00245B83">
        <w:rPr>
          <w:rFonts w:ascii="Times New Roman" w:hAnsi="Times New Roman" w:cs="Times New Roman"/>
        </w:rPr>
        <w:t>Varianta III.</w:t>
      </w:r>
      <w:r w:rsidR="00245B83">
        <w:rPr>
          <w:rFonts w:ascii="Times New Roman" w:hAnsi="Times New Roman" w:cs="Times New Roman"/>
        </w:rPr>
        <w:t xml:space="preserve"> U této varianty nejsou očekávány žádné přínosy, pokud nejsou stanoveny podmínky fungování energetických společenství v zákoně.</w:t>
      </w:r>
    </w:p>
    <w:p w14:paraId="2091398B" w14:textId="77777777" w:rsidR="00C01D3D" w:rsidRDefault="00C01D3D" w:rsidP="00237AFE">
      <w:pPr>
        <w:jc w:val="both"/>
        <w:rPr>
          <w:rFonts w:ascii="Times New Roman" w:hAnsi="Times New Roman" w:cs="Times New Roman"/>
          <w:b/>
          <w:u w:val="single"/>
        </w:rPr>
      </w:pPr>
    </w:p>
    <w:p w14:paraId="792A5428" w14:textId="1B36CE33" w:rsidR="009E0F32" w:rsidRDefault="009E0F32"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540215FC" w14:textId="0F186AC8" w:rsidR="009E0F32" w:rsidRPr="00337421" w:rsidRDefault="009E0F32" w:rsidP="00237AFE">
      <w:pPr>
        <w:pStyle w:val="Odstavecseseznamem"/>
        <w:numPr>
          <w:ilvl w:val="0"/>
          <w:numId w:val="25"/>
        </w:numPr>
        <w:jc w:val="both"/>
        <w:rPr>
          <w:rFonts w:ascii="Times New Roman" w:hAnsi="Times New Roman" w:cs="Times New Roman"/>
          <w:u w:val="single"/>
        </w:rPr>
      </w:pPr>
      <w:r w:rsidRPr="00337421">
        <w:rPr>
          <w:rFonts w:ascii="Times New Roman" w:hAnsi="Times New Roman" w:cs="Times New Roman"/>
          <w:u w:val="single"/>
        </w:rPr>
        <w:t>Varianta II</w:t>
      </w:r>
      <w:r w:rsidR="00623049">
        <w:rPr>
          <w:rFonts w:ascii="Times New Roman" w:hAnsi="Times New Roman" w:cs="Times New Roman"/>
          <w:u w:val="single"/>
        </w:rPr>
        <w:t xml:space="preserve">. se statickým alokačním klíčem, kdy </w:t>
      </w:r>
      <w:r w:rsidR="00724E24">
        <w:rPr>
          <w:rFonts w:ascii="Times New Roman" w:hAnsi="Times New Roman" w:cs="Times New Roman"/>
          <w:u w:val="single"/>
        </w:rPr>
        <w:t xml:space="preserve">funkce </w:t>
      </w:r>
      <w:r w:rsidR="00623049">
        <w:rPr>
          <w:rFonts w:ascii="Times New Roman" w:hAnsi="Times New Roman" w:cs="Times New Roman"/>
          <w:u w:val="single"/>
        </w:rPr>
        <w:t xml:space="preserve">alokace bude </w:t>
      </w:r>
      <w:r w:rsidR="00724E24">
        <w:rPr>
          <w:rFonts w:ascii="Times New Roman" w:hAnsi="Times New Roman" w:cs="Times New Roman"/>
          <w:u w:val="single"/>
        </w:rPr>
        <w:t>implementována</w:t>
      </w:r>
      <w:r w:rsidR="00623049">
        <w:rPr>
          <w:rFonts w:ascii="Times New Roman" w:hAnsi="Times New Roman" w:cs="Times New Roman"/>
          <w:u w:val="single"/>
        </w:rPr>
        <w:t xml:space="preserve"> u provozovatele distribuční soustavy</w:t>
      </w:r>
    </w:p>
    <w:p w14:paraId="6F1253AA" w14:textId="179C42C6" w:rsidR="009E0F32" w:rsidRDefault="009E0F32" w:rsidP="00237AFE">
      <w:pPr>
        <w:pStyle w:val="Odstavecseseznamem"/>
        <w:numPr>
          <w:ilvl w:val="0"/>
          <w:numId w:val="25"/>
        </w:numPr>
        <w:jc w:val="both"/>
        <w:rPr>
          <w:rFonts w:ascii="Times New Roman" w:hAnsi="Times New Roman" w:cs="Times New Roman"/>
          <w:u w:val="single"/>
        </w:rPr>
      </w:pPr>
      <w:r w:rsidRPr="00337421">
        <w:rPr>
          <w:rFonts w:ascii="Times New Roman" w:hAnsi="Times New Roman" w:cs="Times New Roman"/>
          <w:u w:val="single"/>
        </w:rPr>
        <w:t>Varianta I</w:t>
      </w:r>
      <w:r w:rsidR="00623049">
        <w:rPr>
          <w:rFonts w:ascii="Times New Roman" w:hAnsi="Times New Roman" w:cs="Times New Roman"/>
          <w:u w:val="single"/>
        </w:rPr>
        <w:t>II.</w:t>
      </w:r>
    </w:p>
    <w:p w14:paraId="049F3943" w14:textId="60BA6804" w:rsidR="00623049" w:rsidRPr="00337421" w:rsidRDefault="00623049" w:rsidP="00237AFE">
      <w:pPr>
        <w:pStyle w:val="Odstavecseseznamem"/>
        <w:numPr>
          <w:ilvl w:val="0"/>
          <w:numId w:val="25"/>
        </w:numPr>
        <w:jc w:val="both"/>
        <w:rPr>
          <w:rFonts w:ascii="Times New Roman" w:hAnsi="Times New Roman" w:cs="Times New Roman"/>
          <w:u w:val="single"/>
        </w:rPr>
      </w:pPr>
      <w:r>
        <w:rPr>
          <w:rFonts w:ascii="Times New Roman" w:hAnsi="Times New Roman" w:cs="Times New Roman"/>
          <w:u w:val="single"/>
        </w:rPr>
        <w:t>Varianta I.</w:t>
      </w:r>
    </w:p>
    <w:p w14:paraId="7524F050" w14:textId="7E219B2B" w:rsidR="00337EFA" w:rsidRDefault="00297715" w:rsidP="00237AFE">
      <w:pPr>
        <w:jc w:val="both"/>
        <w:rPr>
          <w:rFonts w:ascii="Times New Roman" w:hAnsi="Times New Roman" w:cs="Times New Roman"/>
        </w:rPr>
      </w:pPr>
      <w:r>
        <w:rPr>
          <w:rFonts w:ascii="Times New Roman" w:hAnsi="Times New Roman" w:cs="Times New Roman"/>
        </w:rPr>
        <w:t>Zvolena byla</w:t>
      </w:r>
      <w:r w:rsidR="0042189A" w:rsidRPr="00944B23">
        <w:rPr>
          <w:rFonts w:ascii="Times New Roman" w:hAnsi="Times New Roman" w:cs="Times New Roman"/>
        </w:rPr>
        <w:t xml:space="preserve"> variant</w:t>
      </w:r>
      <w:r>
        <w:rPr>
          <w:rFonts w:ascii="Times New Roman" w:hAnsi="Times New Roman" w:cs="Times New Roman"/>
        </w:rPr>
        <w:t>a</w:t>
      </w:r>
      <w:r w:rsidR="0042189A" w:rsidRPr="00944B23">
        <w:rPr>
          <w:rFonts w:ascii="Times New Roman" w:hAnsi="Times New Roman" w:cs="Times New Roman"/>
        </w:rPr>
        <w:t xml:space="preserve"> II.</w:t>
      </w:r>
      <w:r w:rsidR="00623049">
        <w:rPr>
          <w:rFonts w:ascii="Times New Roman" w:hAnsi="Times New Roman" w:cs="Times New Roman"/>
        </w:rPr>
        <w:t xml:space="preserve"> se statickým alokačním klíčem, kdy </w:t>
      </w:r>
      <w:r w:rsidR="00775C65">
        <w:rPr>
          <w:rFonts w:ascii="Times New Roman" w:hAnsi="Times New Roman" w:cs="Times New Roman"/>
        </w:rPr>
        <w:t>alokace probíhá u provozovatele distribuční soustavy,</w:t>
      </w:r>
      <w:r w:rsidR="0042189A" w:rsidRPr="00944B23">
        <w:rPr>
          <w:rFonts w:ascii="Times New Roman" w:hAnsi="Times New Roman" w:cs="Times New Roman"/>
        </w:rPr>
        <w:t xml:space="preserve"> zajistí žádoucí </w:t>
      </w:r>
      <w:r w:rsidR="0042189A">
        <w:rPr>
          <w:rFonts w:ascii="Times New Roman" w:hAnsi="Times New Roman" w:cs="Times New Roman"/>
        </w:rPr>
        <w:t xml:space="preserve">stav, tedy </w:t>
      </w:r>
      <w:r w:rsidR="00775C65">
        <w:rPr>
          <w:rFonts w:ascii="Times New Roman" w:hAnsi="Times New Roman" w:cs="Times New Roman"/>
        </w:rPr>
        <w:t>z</w:t>
      </w:r>
      <w:r w:rsidR="00775C65" w:rsidRPr="00775C65">
        <w:rPr>
          <w:rFonts w:ascii="Times New Roman" w:hAnsi="Times New Roman" w:cs="Times New Roman"/>
        </w:rPr>
        <w:t>avedení systému předávání údajů pro zúčtování odchylek a pro vyúčtování pro zohlednění množství elektřiny vyrobené ve výrobně elektřiny v jiném předávacím místě odběrného místa v rámci bytového domu</w:t>
      </w:r>
      <w:r w:rsidR="00775C65">
        <w:rPr>
          <w:rFonts w:ascii="Times New Roman" w:hAnsi="Times New Roman" w:cs="Times New Roman"/>
        </w:rPr>
        <w:t xml:space="preserve">. Nastavené podmínky sekundárně povedou </w:t>
      </w:r>
      <w:r w:rsidR="00F51E3A">
        <w:rPr>
          <w:rFonts w:ascii="Times New Roman" w:hAnsi="Times New Roman" w:cs="Times New Roman"/>
        </w:rPr>
        <w:t>k </w:t>
      </w:r>
      <w:r w:rsidR="00775C65">
        <w:rPr>
          <w:rFonts w:ascii="Times New Roman" w:hAnsi="Times New Roman" w:cs="Times New Roman"/>
        </w:rPr>
        <w:t>posílení plnění cílů České republiky v oblasti</w:t>
      </w:r>
      <w:r w:rsidR="0042189A">
        <w:rPr>
          <w:rFonts w:ascii="Times New Roman" w:hAnsi="Times New Roman" w:cs="Times New Roman"/>
        </w:rPr>
        <w:t xml:space="preserve"> rozvoj</w:t>
      </w:r>
      <w:r w:rsidR="00775C65">
        <w:rPr>
          <w:rFonts w:ascii="Times New Roman" w:hAnsi="Times New Roman" w:cs="Times New Roman"/>
        </w:rPr>
        <w:t>e obnovitelných zdrojů energie.</w:t>
      </w:r>
      <w:r w:rsidR="0042189A">
        <w:rPr>
          <w:rFonts w:ascii="Times New Roman" w:hAnsi="Times New Roman" w:cs="Times New Roman"/>
        </w:rPr>
        <w:t xml:space="preserve"> </w:t>
      </w:r>
    </w:p>
    <w:p w14:paraId="4B143EB2" w14:textId="77777777" w:rsidR="00337EFA" w:rsidRDefault="00337EFA" w:rsidP="00237AFE">
      <w:pPr>
        <w:rPr>
          <w:rFonts w:ascii="Times New Roman" w:hAnsi="Times New Roman"/>
          <w:b/>
        </w:rPr>
      </w:pPr>
      <w:r>
        <w:rPr>
          <w:rFonts w:ascii="Times New Roman" w:hAnsi="Times New Roman"/>
          <w:b/>
        </w:rPr>
        <w:br w:type="page"/>
      </w:r>
    </w:p>
    <w:p w14:paraId="75CA13F7" w14:textId="58BFA470" w:rsidR="00337EFA" w:rsidRDefault="00337EFA" w:rsidP="00237AFE">
      <w:pPr>
        <w:jc w:val="both"/>
        <w:rPr>
          <w:rFonts w:ascii="Times New Roman" w:hAnsi="Times New Roman" w:cs="Times New Roman"/>
        </w:rPr>
      </w:pPr>
      <w:r w:rsidRPr="00CD2C58">
        <w:rPr>
          <w:rFonts w:ascii="Times New Roman" w:hAnsi="Times New Roman"/>
          <w:b/>
        </w:rPr>
        <w:t>Obrázek č. 1 Schéma systému předávání údajů pro zúčtování odchylek a pro vyúčtování pro zohlednění množství elektřiny vyrobené ve výrobně elektřiny v jiném předávacím místě odběrného místa v rámci bytového domu</w:t>
      </w:r>
    </w:p>
    <w:p w14:paraId="2040C25D" w14:textId="25241F1B" w:rsidR="00E61668" w:rsidRDefault="00E61668" w:rsidP="00BB3A40">
      <w:pPr>
        <w:jc w:val="center"/>
        <w:rPr>
          <w:rFonts w:ascii="Times New Roman" w:hAnsi="Times New Roman" w:cs="Times New Roman"/>
        </w:rPr>
      </w:pPr>
      <w:r w:rsidRPr="006E4FF7">
        <w:rPr>
          <w:rFonts w:ascii="Times New Roman" w:eastAsiaTheme="majorEastAsia" w:hAnsi="Times New Roman" w:cs="Times New Roman"/>
          <w:b/>
          <w:bCs/>
          <w:noProof/>
          <w:u w:val="single"/>
        </w:rPr>
        <w:drawing>
          <wp:inline distT="0" distB="0" distL="0" distR="0" wp14:anchorId="713EEE35" wp14:editId="3A28B1DD">
            <wp:extent cx="5760720" cy="24580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458085"/>
                    </a:xfrm>
                    <a:prstGeom prst="rect">
                      <a:avLst/>
                    </a:prstGeom>
                    <a:noFill/>
                    <a:ln>
                      <a:noFill/>
                    </a:ln>
                  </pic:spPr>
                </pic:pic>
              </a:graphicData>
            </a:graphic>
          </wp:inline>
        </w:drawing>
      </w:r>
    </w:p>
    <w:p w14:paraId="5248ED84" w14:textId="77777777" w:rsidR="002334BF" w:rsidRDefault="002334BF" w:rsidP="00237AFE">
      <w:pPr>
        <w:jc w:val="both"/>
        <w:rPr>
          <w:rFonts w:ascii="Times New Roman" w:eastAsiaTheme="majorEastAsia" w:hAnsi="Times New Roman" w:cs="Times New Roman"/>
          <w:bCs/>
          <w:i/>
        </w:rPr>
      </w:pPr>
      <w:r w:rsidRPr="003F5213">
        <w:rPr>
          <w:rFonts w:ascii="Times New Roman" w:eastAsiaTheme="majorEastAsia" w:hAnsi="Times New Roman" w:cs="Times New Roman"/>
          <w:bCs/>
          <w:i/>
        </w:rPr>
        <w:t>Zdroj: vlastní zpracování</w:t>
      </w:r>
    </w:p>
    <w:p w14:paraId="11250563" w14:textId="54D55CCD" w:rsidR="00337EFA" w:rsidRDefault="00214EF8" w:rsidP="00237AFE">
      <w:pPr>
        <w:pStyle w:val="Nadpis2-zvren"/>
        <w:numPr>
          <w:ilvl w:val="0"/>
          <w:numId w:val="0"/>
        </w:numPr>
        <w:spacing w:after="120" w:line="276" w:lineRule="auto"/>
        <w:rPr>
          <w:rFonts w:ascii="Times New Roman" w:hAnsi="Times New Roman" w:cs="Times New Roman"/>
          <w:b w:val="0"/>
          <w:color w:val="auto"/>
          <w:sz w:val="22"/>
          <w:szCs w:val="22"/>
        </w:rPr>
      </w:pPr>
      <w:r w:rsidRPr="00337EFA">
        <w:rPr>
          <w:rFonts w:ascii="Times New Roman" w:hAnsi="Times New Roman" w:cs="Times New Roman"/>
          <w:b w:val="0"/>
          <w:color w:val="auto"/>
          <w:sz w:val="22"/>
          <w:szCs w:val="22"/>
        </w:rPr>
        <w:t>Z</w:t>
      </w:r>
      <w:r w:rsidR="007130EB" w:rsidRPr="00337EFA">
        <w:rPr>
          <w:rFonts w:ascii="Times New Roman" w:hAnsi="Times New Roman" w:cs="Times New Roman"/>
          <w:b w:val="0"/>
          <w:color w:val="auto"/>
          <w:sz w:val="22"/>
          <w:szCs w:val="22"/>
        </w:rPr>
        <w:t>volená varianta nemá dopady na státní rozpočet. Zvolená varianta má dopady do podnikatelského prostředí, jelikož si vynucuje úpravu informačních systémů některých dotčených skupin osob</w:t>
      </w:r>
      <w:r w:rsidR="000124E9" w:rsidRPr="00337EFA">
        <w:rPr>
          <w:rFonts w:ascii="Times New Roman" w:hAnsi="Times New Roman" w:cs="Times New Roman"/>
          <w:b w:val="0"/>
          <w:color w:val="auto"/>
          <w:sz w:val="22"/>
          <w:szCs w:val="22"/>
        </w:rPr>
        <w:t>, má ovšem i pozitivní dopady spočívající v rozšíření zákaznického portfolia, umožňuje zavést novou službu v oblasti dodávek elektřiny.</w:t>
      </w:r>
      <w:r w:rsidR="00245B83" w:rsidRPr="00337EFA">
        <w:rPr>
          <w:rFonts w:ascii="Times New Roman" w:hAnsi="Times New Roman" w:cs="Times New Roman"/>
          <w:b w:val="0"/>
          <w:color w:val="auto"/>
          <w:sz w:val="22"/>
          <w:szCs w:val="22"/>
        </w:rPr>
        <w:t xml:space="preserve"> Rovněž se očekávají </w:t>
      </w:r>
      <w:r w:rsidR="009E7848" w:rsidRPr="00337EFA">
        <w:rPr>
          <w:rFonts w:ascii="Times New Roman" w:hAnsi="Times New Roman" w:cs="Times New Roman"/>
          <w:b w:val="0"/>
          <w:color w:val="auto"/>
          <w:sz w:val="22"/>
          <w:szCs w:val="22"/>
        </w:rPr>
        <w:t xml:space="preserve">pozitivní </w:t>
      </w:r>
      <w:r w:rsidR="00245B83" w:rsidRPr="00337EFA">
        <w:rPr>
          <w:rFonts w:ascii="Times New Roman" w:hAnsi="Times New Roman" w:cs="Times New Roman"/>
          <w:b w:val="0"/>
          <w:color w:val="auto"/>
          <w:sz w:val="22"/>
          <w:szCs w:val="22"/>
        </w:rPr>
        <w:t>dopady do oblasti podnikání, které se zaměřuj</w:t>
      </w:r>
      <w:r w:rsidR="009E7848" w:rsidRPr="00337EFA">
        <w:rPr>
          <w:rFonts w:ascii="Times New Roman" w:hAnsi="Times New Roman" w:cs="Times New Roman"/>
          <w:b w:val="0"/>
          <w:color w:val="auto"/>
          <w:sz w:val="22"/>
          <w:szCs w:val="22"/>
        </w:rPr>
        <w:t>e</w:t>
      </w:r>
      <w:r w:rsidR="00245B83" w:rsidRPr="00337EFA">
        <w:rPr>
          <w:rFonts w:ascii="Times New Roman" w:hAnsi="Times New Roman" w:cs="Times New Roman"/>
          <w:b w:val="0"/>
          <w:color w:val="auto"/>
          <w:sz w:val="22"/>
          <w:szCs w:val="22"/>
        </w:rPr>
        <w:t xml:space="preserve"> na </w:t>
      </w:r>
      <w:r w:rsidR="009E7848" w:rsidRPr="00337EFA">
        <w:rPr>
          <w:rFonts w:ascii="Times New Roman" w:hAnsi="Times New Roman" w:cs="Times New Roman"/>
          <w:b w:val="0"/>
          <w:color w:val="auto"/>
          <w:sz w:val="22"/>
          <w:szCs w:val="22"/>
        </w:rPr>
        <w:t>provoz výrobních zařízení a rozvoje různých optimalizačních zařízení sloužících k řízení spotřeby zákazníků.</w:t>
      </w:r>
      <w:r w:rsidR="007130EB" w:rsidRPr="00337EFA">
        <w:rPr>
          <w:rFonts w:ascii="Times New Roman" w:hAnsi="Times New Roman" w:cs="Times New Roman"/>
          <w:b w:val="0"/>
          <w:color w:val="auto"/>
          <w:sz w:val="22"/>
          <w:szCs w:val="22"/>
        </w:rPr>
        <w:t xml:space="preserve"> Zvolená varianta má</w:t>
      </w:r>
      <w:r w:rsidR="000124E9" w:rsidRPr="00337EFA">
        <w:rPr>
          <w:rFonts w:ascii="Times New Roman" w:hAnsi="Times New Roman" w:cs="Times New Roman"/>
          <w:b w:val="0"/>
          <w:color w:val="auto"/>
          <w:sz w:val="22"/>
          <w:szCs w:val="22"/>
        </w:rPr>
        <w:t xml:space="preserve"> dále</w:t>
      </w:r>
      <w:r w:rsidR="007130EB" w:rsidRPr="00337EFA">
        <w:rPr>
          <w:rFonts w:ascii="Times New Roman" w:hAnsi="Times New Roman" w:cs="Times New Roman"/>
          <w:b w:val="0"/>
          <w:color w:val="auto"/>
          <w:sz w:val="22"/>
          <w:szCs w:val="22"/>
        </w:rPr>
        <w:t xml:space="preserve"> pozitivní sociální dopady, jelikož</w:t>
      </w:r>
      <w:r w:rsidR="000124E9" w:rsidRPr="00337EFA">
        <w:rPr>
          <w:rFonts w:ascii="Times New Roman" w:hAnsi="Times New Roman" w:cs="Times New Roman"/>
          <w:b w:val="0"/>
          <w:color w:val="auto"/>
          <w:sz w:val="22"/>
          <w:szCs w:val="22"/>
        </w:rPr>
        <w:t xml:space="preserve"> umožňuje skupině zákazníků čerpat výhody vlastního obnovitelného zdroje energie, což doposud </w:t>
      </w:r>
      <w:r w:rsidR="000B68C1">
        <w:rPr>
          <w:rFonts w:ascii="Times New Roman" w:hAnsi="Times New Roman" w:cs="Times New Roman"/>
          <w:b w:val="0"/>
          <w:color w:val="auto"/>
          <w:sz w:val="22"/>
          <w:szCs w:val="22"/>
        </w:rPr>
        <w:t xml:space="preserve">u této skupiny </w:t>
      </w:r>
      <w:r w:rsidR="000124E9" w:rsidRPr="00337EFA">
        <w:rPr>
          <w:rFonts w:ascii="Times New Roman" w:hAnsi="Times New Roman" w:cs="Times New Roman"/>
          <w:b w:val="0"/>
          <w:color w:val="auto"/>
          <w:sz w:val="22"/>
          <w:szCs w:val="22"/>
        </w:rPr>
        <w:t>možné nebylo. Vyrovnává se tak postavení této skupiny zákazníků v bytových domech ve vztahu ke skupině zákazníků</w:t>
      </w:r>
      <w:r w:rsidR="009E7848" w:rsidRPr="00337EFA">
        <w:rPr>
          <w:rFonts w:ascii="Times New Roman" w:hAnsi="Times New Roman" w:cs="Times New Roman"/>
          <w:b w:val="0"/>
          <w:color w:val="auto"/>
          <w:sz w:val="22"/>
          <w:szCs w:val="22"/>
        </w:rPr>
        <w:t>,</w:t>
      </w:r>
      <w:r w:rsidR="000124E9" w:rsidRPr="00337EFA">
        <w:rPr>
          <w:rFonts w:ascii="Times New Roman" w:hAnsi="Times New Roman" w:cs="Times New Roman"/>
          <w:b w:val="0"/>
          <w:color w:val="auto"/>
          <w:sz w:val="22"/>
          <w:szCs w:val="22"/>
        </w:rPr>
        <w:t xml:space="preserve"> </w:t>
      </w:r>
      <w:r w:rsidR="000B68C1">
        <w:rPr>
          <w:rFonts w:ascii="Times New Roman" w:hAnsi="Times New Roman" w:cs="Times New Roman"/>
          <w:b w:val="0"/>
          <w:color w:val="auto"/>
          <w:sz w:val="22"/>
          <w:szCs w:val="22"/>
        </w:rPr>
        <w:t>vlastníků</w:t>
      </w:r>
      <w:r w:rsidR="009E7848" w:rsidRPr="00337EFA">
        <w:rPr>
          <w:rFonts w:ascii="Times New Roman" w:hAnsi="Times New Roman" w:cs="Times New Roman"/>
          <w:b w:val="0"/>
          <w:color w:val="auto"/>
          <w:sz w:val="22"/>
          <w:szCs w:val="22"/>
        </w:rPr>
        <w:t xml:space="preserve"> rodinných domů s vlastní instalací výrobního zdroje</w:t>
      </w:r>
      <w:r w:rsidR="000124E9" w:rsidRPr="00337EFA">
        <w:rPr>
          <w:rFonts w:ascii="Times New Roman" w:hAnsi="Times New Roman" w:cs="Times New Roman"/>
          <w:b w:val="0"/>
          <w:color w:val="auto"/>
          <w:sz w:val="22"/>
          <w:szCs w:val="22"/>
        </w:rPr>
        <w:t>.</w:t>
      </w:r>
      <w:r w:rsidR="007130EB" w:rsidRPr="00337EFA">
        <w:rPr>
          <w:rFonts w:ascii="Times New Roman" w:hAnsi="Times New Roman" w:cs="Times New Roman"/>
          <w:b w:val="0"/>
          <w:color w:val="auto"/>
          <w:sz w:val="22"/>
          <w:szCs w:val="22"/>
        </w:rPr>
        <w:t xml:space="preserve"> Zvolená varianta nemá dopady ve vztahu k zákazu diskriminace a ve vztahu k rovnosti žen a mužů, nemá dopady ani na výkon státní statistické služby. </w:t>
      </w:r>
      <w:r w:rsidR="00C0163C" w:rsidRPr="00337EFA">
        <w:rPr>
          <w:rFonts w:ascii="Times New Roman" w:hAnsi="Times New Roman" w:cs="Times New Roman"/>
          <w:b w:val="0"/>
          <w:color w:val="auto"/>
          <w:sz w:val="22"/>
          <w:szCs w:val="22"/>
        </w:rPr>
        <w:t xml:space="preserve">Dodatečné dopady ve vztahu k ochraně soukromí a osobních údajů nejsou vyvolány, právní titul zůstává stávající. </w:t>
      </w:r>
      <w:r w:rsidR="007130EB" w:rsidRPr="00337EFA">
        <w:rPr>
          <w:rFonts w:ascii="Times New Roman" w:hAnsi="Times New Roman" w:cs="Times New Roman"/>
          <w:b w:val="0"/>
          <w:color w:val="auto"/>
          <w:sz w:val="22"/>
          <w:szCs w:val="22"/>
        </w:rPr>
        <w:t xml:space="preserve"> Zvolená varianta nepředpokládá jakékoliv dopady na míru korupce, navrhované změny de facto neumožňují vznik korupčního prostředí. Návrh vyhlášky nepředpokládá založení korupčních rizik ani jejich nárůst. Zvolená varianta s ohledem na svůj obsah nemá dopady na bezpečnost a obranu státu.</w:t>
      </w:r>
    </w:p>
    <w:p w14:paraId="7E32BC0D" w14:textId="77777777" w:rsidR="00337EFA" w:rsidRDefault="00337EFA" w:rsidP="00237AFE">
      <w:pPr>
        <w:pStyle w:val="Nadpis2-zvren"/>
        <w:numPr>
          <w:ilvl w:val="0"/>
          <w:numId w:val="0"/>
        </w:numPr>
        <w:spacing w:after="120" w:line="276" w:lineRule="auto"/>
        <w:rPr>
          <w:rFonts w:ascii="Times New Roman" w:hAnsi="Times New Roman" w:cs="Times New Roman"/>
          <w:b w:val="0"/>
          <w:color w:val="auto"/>
          <w:sz w:val="22"/>
          <w:szCs w:val="22"/>
        </w:rPr>
      </w:pPr>
    </w:p>
    <w:p w14:paraId="73DB1222" w14:textId="4666AA4E" w:rsidR="00337EFA" w:rsidRPr="000B68C1" w:rsidRDefault="00602570" w:rsidP="00237AFE">
      <w:pPr>
        <w:pStyle w:val="Nadpis3"/>
        <w:spacing w:after="120"/>
        <w:jc w:val="both"/>
        <w:rPr>
          <w:rFonts w:ascii="Times New Roman" w:eastAsiaTheme="minorHAnsi" w:hAnsi="Times New Roman" w:cs="Times New Roman"/>
          <w:bCs w:val="0"/>
          <w:color w:val="auto"/>
          <w:szCs w:val="20"/>
        </w:rPr>
      </w:pPr>
      <w:r w:rsidRPr="000B68C1">
        <w:rPr>
          <w:rFonts w:ascii="Times New Roman" w:eastAsiaTheme="minorHAnsi" w:hAnsi="Times New Roman" w:cs="Times New Roman"/>
          <w:bCs w:val="0"/>
          <w:color w:val="auto"/>
          <w:szCs w:val="20"/>
        </w:rPr>
        <w:t>2.1.3</w:t>
      </w:r>
      <w:r w:rsidR="00C20D31" w:rsidRPr="000B68C1">
        <w:rPr>
          <w:rFonts w:ascii="Times New Roman" w:eastAsiaTheme="minorHAnsi" w:hAnsi="Times New Roman" w:cs="Times New Roman"/>
          <w:bCs w:val="0"/>
          <w:color w:val="auto"/>
          <w:szCs w:val="20"/>
        </w:rPr>
        <w:t xml:space="preserve"> Hodnota alokovaného rozsahu při zavedení specifického systému vyhodnocování a předávání údajů pro zúčtování odchylek a pro vyúčtování elektřiny při zohlednění množství elektřiny vyrobené ve výrobně elektřiny pro jiné předávacím místo odběrného místa v rámci bytového domu</w:t>
      </w:r>
    </w:p>
    <w:p w14:paraId="682848D2" w14:textId="5275FFAE" w:rsidR="00C20D31" w:rsidRDefault="00C20D31" w:rsidP="00237AFE">
      <w:pPr>
        <w:jc w:val="both"/>
        <w:rPr>
          <w:rFonts w:ascii="Times New Roman" w:eastAsiaTheme="majorEastAsia" w:hAnsi="Times New Roman" w:cs="Times New Roman"/>
          <w:bCs/>
        </w:rPr>
      </w:pPr>
      <w:r>
        <w:rPr>
          <w:rFonts w:ascii="Times New Roman" w:eastAsiaTheme="majorEastAsia" w:hAnsi="Times New Roman" w:cs="Times New Roman"/>
          <w:bCs/>
        </w:rPr>
        <w:t xml:space="preserve">Hodnotu alokovaného rozsahu přiděluje provozovatel distribuční soustavy. Lze rovněž uvažovat i variantu, kdy hodnotu alokovaného rozsahu přiděluje operátor trhu, nicméně tato varianta by vyžadovala zavedení dodatečných datových kanálů mezi operátorem trhu a provozovateli distribučních soustav. Zároveň v současné době nedisponuje operátor trhu daty o výrobě a spotřebě </w:t>
      </w:r>
      <w:r w:rsidR="00AF67BA">
        <w:rPr>
          <w:rFonts w:ascii="Times New Roman" w:eastAsiaTheme="majorEastAsia" w:hAnsi="Times New Roman" w:cs="Times New Roman"/>
          <w:bCs/>
        </w:rPr>
        <w:t xml:space="preserve">zákazníků na hladině nízkého napětí </w:t>
      </w:r>
      <w:r>
        <w:rPr>
          <w:rFonts w:ascii="Times New Roman" w:eastAsiaTheme="majorEastAsia" w:hAnsi="Times New Roman" w:cs="Times New Roman"/>
          <w:bCs/>
        </w:rPr>
        <w:t xml:space="preserve">v časovém rozlišení nižším než 1 hodina. Daty v této </w:t>
      </w:r>
      <w:proofErr w:type="spellStart"/>
      <w:r>
        <w:rPr>
          <w:rFonts w:ascii="Times New Roman" w:eastAsiaTheme="majorEastAsia" w:hAnsi="Times New Roman" w:cs="Times New Roman"/>
          <w:bCs/>
        </w:rPr>
        <w:t>granularitě</w:t>
      </w:r>
      <w:proofErr w:type="spellEnd"/>
      <w:r>
        <w:rPr>
          <w:rFonts w:ascii="Times New Roman" w:eastAsiaTheme="majorEastAsia" w:hAnsi="Times New Roman" w:cs="Times New Roman"/>
          <w:bCs/>
        </w:rPr>
        <w:t xml:space="preserve"> bude operátor trhu disponovat, jakmile dojde k zavedení tzv. inteligentních elektroměrů u zákazníků na hladině nízkého napětí. V současné době je vhodnější s ohledem na již zavedené postupy a možnosti přístupu k datům ohledně spotřeby a výroby elektřiny zákazníků aplikovat funkci alokace rozsahu u provozovatelů distribučních soustav.</w:t>
      </w:r>
    </w:p>
    <w:p w14:paraId="6C7E7D7F" w14:textId="77777777" w:rsidR="00C20D31" w:rsidRDefault="00C20D31" w:rsidP="00237AFE">
      <w:pPr>
        <w:jc w:val="both"/>
        <w:rPr>
          <w:rFonts w:ascii="Times New Roman" w:eastAsiaTheme="majorEastAsia" w:hAnsi="Times New Roman" w:cs="Times New Roman"/>
          <w:bCs/>
        </w:rPr>
      </w:pPr>
      <w:r>
        <w:rPr>
          <w:rFonts w:ascii="Times New Roman" w:eastAsiaTheme="majorEastAsia" w:hAnsi="Times New Roman" w:cs="Times New Roman"/>
          <w:bCs/>
        </w:rPr>
        <w:t>Hodnotu alokovaného rozsahu lze přidělovat pomocí několika různých variant alokačních klíčů, a to:</w:t>
      </w:r>
    </w:p>
    <w:p w14:paraId="4BA16FD7" w14:textId="3D329AE9" w:rsidR="00C20D31" w:rsidRPr="00337EFA" w:rsidRDefault="00D9138D" w:rsidP="00237AFE">
      <w:pPr>
        <w:jc w:val="both"/>
        <w:rPr>
          <w:rFonts w:ascii="Times New Roman" w:eastAsiaTheme="majorEastAsia" w:hAnsi="Times New Roman" w:cs="Times New Roman"/>
          <w:bCs/>
        </w:rPr>
      </w:pPr>
      <w:r w:rsidRPr="003D7FBF">
        <w:rPr>
          <w:rFonts w:ascii="Times New Roman" w:hAnsi="Times New Roman"/>
          <w:b/>
          <w:i/>
        </w:rPr>
        <w:t>Varianta I</w:t>
      </w:r>
      <w:r w:rsidRPr="003D7FBF">
        <w:rPr>
          <w:rFonts w:ascii="Times New Roman" w:hAnsi="Times New Roman"/>
        </w:rPr>
        <w:t xml:space="preserve">. – </w:t>
      </w:r>
      <w:r w:rsidR="00C20D31" w:rsidRPr="00337EFA">
        <w:rPr>
          <w:rFonts w:ascii="Times New Roman" w:eastAsiaTheme="majorEastAsia" w:hAnsi="Times New Roman" w:cs="Times New Roman"/>
          <w:bCs/>
        </w:rPr>
        <w:t>alokační klíč statický</w:t>
      </w:r>
    </w:p>
    <w:p w14:paraId="0B4C6AF1" w14:textId="032CC49A" w:rsidR="00C20D31" w:rsidRPr="00337EFA" w:rsidRDefault="00D9138D" w:rsidP="00237AFE">
      <w:pPr>
        <w:jc w:val="both"/>
        <w:rPr>
          <w:rFonts w:ascii="Times New Roman" w:eastAsiaTheme="majorEastAsia" w:hAnsi="Times New Roman" w:cs="Times New Roman"/>
          <w:bCs/>
        </w:rPr>
      </w:pPr>
      <w:r w:rsidRPr="003D7FBF">
        <w:rPr>
          <w:rFonts w:ascii="Times New Roman" w:hAnsi="Times New Roman"/>
          <w:b/>
          <w:i/>
        </w:rPr>
        <w:t>Varianta I</w:t>
      </w:r>
      <w:r>
        <w:rPr>
          <w:rFonts w:ascii="Times New Roman" w:hAnsi="Times New Roman"/>
          <w:b/>
          <w:i/>
        </w:rPr>
        <w:t>I</w:t>
      </w:r>
      <w:r w:rsidRPr="003D7FBF">
        <w:rPr>
          <w:rFonts w:ascii="Times New Roman" w:hAnsi="Times New Roman"/>
        </w:rPr>
        <w:t xml:space="preserve">. – </w:t>
      </w:r>
      <w:r w:rsidR="00C20D31" w:rsidRPr="00337EFA">
        <w:rPr>
          <w:rFonts w:ascii="Times New Roman" w:eastAsiaTheme="majorEastAsia" w:hAnsi="Times New Roman" w:cs="Times New Roman"/>
          <w:bCs/>
        </w:rPr>
        <w:t>alokační klíč dynamický</w:t>
      </w:r>
    </w:p>
    <w:p w14:paraId="0DAF5F3E" w14:textId="0B134BD9" w:rsidR="00C20D31" w:rsidRPr="00337EFA" w:rsidRDefault="00D9138D" w:rsidP="00237AFE">
      <w:pPr>
        <w:jc w:val="both"/>
        <w:rPr>
          <w:rFonts w:ascii="Times New Roman" w:eastAsiaTheme="majorEastAsia" w:hAnsi="Times New Roman" w:cs="Times New Roman"/>
          <w:bCs/>
        </w:rPr>
      </w:pPr>
      <w:r w:rsidRPr="003D7FBF">
        <w:rPr>
          <w:rFonts w:ascii="Times New Roman" w:hAnsi="Times New Roman"/>
          <w:b/>
          <w:i/>
        </w:rPr>
        <w:t>Varianta I</w:t>
      </w:r>
      <w:r>
        <w:rPr>
          <w:rFonts w:ascii="Times New Roman" w:hAnsi="Times New Roman"/>
          <w:b/>
          <w:i/>
        </w:rPr>
        <w:t>II</w:t>
      </w:r>
      <w:r w:rsidRPr="003D7FBF">
        <w:rPr>
          <w:rFonts w:ascii="Times New Roman" w:hAnsi="Times New Roman"/>
        </w:rPr>
        <w:t xml:space="preserve">. – </w:t>
      </w:r>
      <w:r w:rsidR="00C20D31" w:rsidRPr="00337EFA">
        <w:rPr>
          <w:rFonts w:ascii="Times New Roman" w:eastAsiaTheme="majorEastAsia" w:hAnsi="Times New Roman" w:cs="Times New Roman"/>
          <w:bCs/>
        </w:rPr>
        <w:t>alokační klíč statický s dynamickými prvky.</w:t>
      </w:r>
    </w:p>
    <w:p w14:paraId="17CD059F" w14:textId="20634AAD" w:rsidR="00D9138D" w:rsidRDefault="00D9138D" w:rsidP="00237AFE">
      <w:pPr>
        <w:jc w:val="both"/>
        <w:rPr>
          <w:rFonts w:ascii="Times New Roman" w:eastAsiaTheme="majorEastAsia" w:hAnsi="Times New Roman" w:cs="Times New Roman"/>
          <w:b/>
          <w:bCs/>
          <w:u w:val="single"/>
        </w:rPr>
      </w:pPr>
      <w:r w:rsidRPr="00EF7496">
        <w:rPr>
          <w:rFonts w:ascii="Times New Roman" w:eastAsiaTheme="majorEastAsia" w:hAnsi="Times New Roman" w:cs="Times New Roman"/>
          <w:b/>
          <w:bCs/>
          <w:u w:val="single"/>
        </w:rPr>
        <w:t>Vyhodnocení nákladů a přínosů</w:t>
      </w:r>
    </w:p>
    <w:p w14:paraId="2A43E49B" w14:textId="29D2E4E6" w:rsidR="00D9138D" w:rsidRDefault="00D9138D" w:rsidP="00237AFE">
      <w:pPr>
        <w:jc w:val="both"/>
        <w:rPr>
          <w:rFonts w:ascii="Times New Roman" w:eastAsiaTheme="majorEastAsia" w:hAnsi="Times New Roman" w:cs="Times New Roman"/>
          <w:bCs/>
        </w:rPr>
      </w:pPr>
      <w:r>
        <w:rPr>
          <w:rFonts w:ascii="Times New Roman" w:eastAsiaTheme="majorEastAsia" w:hAnsi="Times New Roman" w:cs="Times New Roman"/>
          <w:bCs/>
        </w:rPr>
        <w:t>Jednotlivé alokační klíče se mezi sebou liší časovou náročností implementace, nákladovostí, technickou náročností implementace a efektivností při alokaci:</w:t>
      </w:r>
    </w:p>
    <w:tbl>
      <w:tblPr>
        <w:tblW w:w="9102" w:type="dxa"/>
        <w:tblInd w:w="-38" w:type="dxa"/>
        <w:tblLayout w:type="fixed"/>
        <w:tblCellMar>
          <w:left w:w="30" w:type="dxa"/>
          <w:right w:w="30" w:type="dxa"/>
        </w:tblCellMar>
        <w:tblLook w:val="0000" w:firstRow="0" w:lastRow="0" w:firstColumn="0" w:lastColumn="0" w:noHBand="0" w:noVBand="0"/>
      </w:tblPr>
      <w:tblGrid>
        <w:gridCol w:w="468"/>
        <w:gridCol w:w="1405"/>
        <w:gridCol w:w="3544"/>
        <w:gridCol w:w="3685"/>
      </w:tblGrid>
      <w:tr w:rsidR="00C20D31" w:rsidRPr="002201B9" w14:paraId="5DF9143A" w14:textId="77777777" w:rsidTr="00D96104">
        <w:trPr>
          <w:trHeight w:val="290"/>
        </w:trPr>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D363C9"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P</w:t>
            </w:r>
            <w:r>
              <w:rPr>
                <w:rFonts w:ascii="Calibri" w:hAnsi="Calibri" w:cs="Calibri"/>
                <w:b/>
                <w:bCs/>
                <w:color w:val="000000"/>
              </w:rPr>
              <w:t>ř</w:t>
            </w:r>
            <w:r w:rsidRPr="002201B9">
              <w:rPr>
                <w:rFonts w:ascii="Calibri" w:hAnsi="Calibri" w:cs="Calibri"/>
                <w:b/>
                <w:bCs/>
                <w:color w:val="000000"/>
              </w:rPr>
              <w:t>.</w:t>
            </w:r>
            <w:r>
              <w:rPr>
                <w:rFonts w:ascii="Calibri" w:hAnsi="Calibri" w:cs="Calibri"/>
                <w:b/>
                <w:bCs/>
                <w:color w:val="000000"/>
              </w:rPr>
              <w:t xml:space="preserve"> </w:t>
            </w:r>
            <w:r w:rsidRPr="002201B9">
              <w:rPr>
                <w:rFonts w:ascii="Calibri" w:hAnsi="Calibri" w:cs="Calibri"/>
                <w:b/>
                <w:bCs/>
                <w:color w:val="000000"/>
              </w:rPr>
              <w:t>č.</w:t>
            </w:r>
          </w:p>
        </w:tc>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A80990"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Varianta alokačního klíče</w:t>
            </w: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839063" w14:textId="77777777" w:rsidR="00C20D31" w:rsidRPr="002201B9" w:rsidRDefault="00C20D31" w:rsidP="00237AFE">
            <w:pPr>
              <w:autoSpaceDE w:val="0"/>
              <w:autoSpaceDN w:val="0"/>
              <w:adjustRightInd w:val="0"/>
              <w:spacing w:after="0"/>
              <w:jc w:val="center"/>
              <w:rPr>
                <w:rFonts w:ascii="Calibri" w:hAnsi="Calibri" w:cs="Calibri"/>
                <w:b/>
                <w:bCs/>
                <w:color w:val="000000"/>
              </w:rPr>
            </w:pPr>
            <w:r w:rsidRPr="002201B9">
              <w:rPr>
                <w:rFonts w:ascii="Calibri" w:hAnsi="Calibri" w:cs="Calibri"/>
                <w:b/>
                <w:bCs/>
                <w:color w:val="000000"/>
              </w:rPr>
              <w:t>výhody</w:t>
            </w:r>
          </w:p>
        </w:tc>
        <w:tc>
          <w:tcPr>
            <w:tcW w:w="3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46ECDA" w14:textId="77777777" w:rsidR="00C20D31" w:rsidRPr="002201B9" w:rsidRDefault="00C20D31" w:rsidP="00237AFE">
            <w:pPr>
              <w:autoSpaceDE w:val="0"/>
              <w:autoSpaceDN w:val="0"/>
              <w:adjustRightInd w:val="0"/>
              <w:spacing w:after="0"/>
              <w:jc w:val="center"/>
              <w:rPr>
                <w:rFonts w:ascii="Calibri" w:hAnsi="Calibri" w:cs="Calibri"/>
                <w:b/>
                <w:bCs/>
                <w:color w:val="000000"/>
              </w:rPr>
            </w:pPr>
            <w:r w:rsidRPr="002201B9">
              <w:rPr>
                <w:rFonts w:ascii="Calibri" w:hAnsi="Calibri" w:cs="Calibri"/>
                <w:b/>
                <w:bCs/>
                <w:color w:val="000000"/>
              </w:rPr>
              <w:t>nevýhody</w:t>
            </w:r>
          </w:p>
        </w:tc>
      </w:tr>
      <w:tr w:rsidR="00C20D31" w:rsidRPr="002201B9" w14:paraId="20CC77FC" w14:textId="77777777" w:rsidTr="00D96104">
        <w:trPr>
          <w:trHeight w:val="1742"/>
        </w:trPr>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89D547"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(i)</w:t>
            </w:r>
          </w:p>
        </w:tc>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C7E753"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alokační klíč statický</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9022F86"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jednoduchý pro implementaci</w:t>
            </w:r>
          </w:p>
          <w:p w14:paraId="23E5EF63"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lze implementovat v krátkém čase (cca několika měsíců)</w:t>
            </w:r>
          </w:p>
          <w:p w14:paraId="471D7C49"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pro implementaci lze využít stávající IT infrastrukturu</w:t>
            </w:r>
          </w:p>
          <w:p w14:paraId="5135D5C2"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nákladově méně náročná varianta</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19565A22"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není možné plně alokovat rozsah vyrobené elektřiny mezi přidružená odběrná místa</w:t>
            </w:r>
          </w:p>
        </w:tc>
      </w:tr>
      <w:tr w:rsidR="00C20D31" w:rsidRPr="002201B9" w14:paraId="24787143" w14:textId="77777777" w:rsidTr="00D96104">
        <w:trPr>
          <w:trHeight w:val="1742"/>
        </w:trPr>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23C9C6"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w:t>
            </w:r>
            <w:proofErr w:type="spellStart"/>
            <w:r w:rsidRPr="002201B9">
              <w:rPr>
                <w:rFonts w:ascii="Calibri" w:hAnsi="Calibri" w:cs="Calibri"/>
                <w:b/>
                <w:bCs/>
                <w:color w:val="000000"/>
              </w:rPr>
              <w:t>ii</w:t>
            </w:r>
            <w:proofErr w:type="spellEnd"/>
            <w:r w:rsidRPr="002201B9">
              <w:rPr>
                <w:rFonts w:ascii="Calibri" w:hAnsi="Calibri" w:cs="Calibri"/>
                <w:b/>
                <w:bCs/>
                <w:color w:val="000000"/>
              </w:rPr>
              <w:t>)</w:t>
            </w:r>
          </w:p>
        </w:tc>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0098DA"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alokační klíč dynamický</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0F4E0EC"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dle počtu zvolených iterací (varianta počítá s více než dvěma koly alokace) je možné maximalizovat alokovaný rozsah vyrobené elektřiny mezi přidružená odběrná místa</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D65B625"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obtížný pro implementaci</w:t>
            </w:r>
          </w:p>
          <w:p w14:paraId="32097F4F"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není možné implementovat v krátkém čase (cca 2-3 roky)</w:t>
            </w:r>
          </w:p>
          <w:p w14:paraId="3165D9AF"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pro implementaci je nutné vyvinout novou IT infrastrukturu</w:t>
            </w:r>
          </w:p>
          <w:p w14:paraId="2B5CDC34"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nákladově velmi náročná varianta</w:t>
            </w:r>
          </w:p>
        </w:tc>
      </w:tr>
      <w:tr w:rsidR="00C20D31" w:rsidRPr="002201B9" w14:paraId="15958EF2" w14:textId="77777777" w:rsidTr="00D96104">
        <w:trPr>
          <w:trHeight w:val="2033"/>
        </w:trPr>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9DDDEC"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w:t>
            </w:r>
            <w:proofErr w:type="spellStart"/>
            <w:r w:rsidRPr="002201B9">
              <w:rPr>
                <w:rFonts w:ascii="Calibri" w:hAnsi="Calibri" w:cs="Calibri"/>
                <w:b/>
                <w:bCs/>
                <w:color w:val="000000"/>
              </w:rPr>
              <w:t>iii</w:t>
            </w:r>
            <w:proofErr w:type="spellEnd"/>
            <w:r w:rsidRPr="002201B9">
              <w:rPr>
                <w:rFonts w:ascii="Calibri" w:hAnsi="Calibri" w:cs="Calibri"/>
                <w:b/>
                <w:bCs/>
                <w:color w:val="000000"/>
              </w:rPr>
              <w:t>)</w:t>
            </w:r>
          </w:p>
        </w:tc>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57849F" w14:textId="77777777" w:rsidR="00C20D31" w:rsidRPr="002201B9" w:rsidRDefault="00C20D31" w:rsidP="00237AFE">
            <w:pPr>
              <w:autoSpaceDE w:val="0"/>
              <w:autoSpaceDN w:val="0"/>
              <w:adjustRightInd w:val="0"/>
              <w:spacing w:after="0"/>
              <w:rPr>
                <w:rFonts w:ascii="Calibri" w:hAnsi="Calibri" w:cs="Calibri"/>
                <w:b/>
                <w:bCs/>
                <w:color w:val="000000"/>
              </w:rPr>
            </w:pPr>
            <w:r w:rsidRPr="002201B9">
              <w:rPr>
                <w:rFonts w:ascii="Calibri" w:hAnsi="Calibri" w:cs="Calibri"/>
                <w:b/>
                <w:bCs/>
                <w:color w:val="000000"/>
              </w:rPr>
              <w:t>alokační klíč statický s dynamickými prvky</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2879217"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dle počtu zvolených iterací (varianta počítá se dvěma koly alokace) je možné zvýšit alokovaný rozsah vyrobené elektřiny mezi přidružená odběrná místa</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05FC5D64"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obtížný pro implementaci</w:t>
            </w:r>
          </w:p>
          <w:p w14:paraId="3D97816C"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není možné implementovat v krátkém čase (cca 1-2 roky)</w:t>
            </w:r>
          </w:p>
          <w:p w14:paraId="784CD9A2"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pro implementaci je možné využít stávající IT infrastrukturu, nicméně je nutná podstatná modifikace</w:t>
            </w:r>
          </w:p>
          <w:p w14:paraId="37460E0B" w14:textId="77777777" w:rsidR="00C20D31" w:rsidRPr="003F5213" w:rsidRDefault="00C20D31" w:rsidP="00237AFE">
            <w:pPr>
              <w:autoSpaceDE w:val="0"/>
              <w:autoSpaceDN w:val="0"/>
              <w:adjustRightInd w:val="0"/>
              <w:spacing w:after="0"/>
              <w:rPr>
                <w:rFonts w:ascii="Calibri" w:hAnsi="Calibri" w:cs="Calibri"/>
                <w:i/>
                <w:color w:val="000000"/>
              </w:rPr>
            </w:pPr>
            <w:r w:rsidRPr="003F5213">
              <w:rPr>
                <w:rFonts w:ascii="Calibri" w:hAnsi="Calibri" w:cs="Calibri"/>
                <w:i/>
                <w:color w:val="000000"/>
              </w:rPr>
              <w:t xml:space="preserve"> - nákladově náročná varianta</w:t>
            </w:r>
          </w:p>
        </w:tc>
      </w:tr>
    </w:tbl>
    <w:p w14:paraId="25999050" w14:textId="77777777" w:rsidR="00C20D31" w:rsidRDefault="00C20D31" w:rsidP="00237AFE">
      <w:pPr>
        <w:jc w:val="both"/>
        <w:rPr>
          <w:rFonts w:ascii="Times New Roman" w:eastAsiaTheme="majorEastAsia" w:hAnsi="Times New Roman" w:cs="Times New Roman"/>
          <w:bCs/>
          <w:i/>
        </w:rPr>
      </w:pPr>
      <w:r w:rsidRPr="003F5213">
        <w:rPr>
          <w:rFonts w:ascii="Times New Roman" w:eastAsiaTheme="majorEastAsia" w:hAnsi="Times New Roman" w:cs="Times New Roman"/>
          <w:bCs/>
          <w:i/>
        </w:rPr>
        <w:t>Zdroj: vlastní zpracování</w:t>
      </w:r>
    </w:p>
    <w:p w14:paraId="0EC6E6B5" w14:textId="77777777" w:rsidR="00D9138D" w:rsidRDefault="00D9138D"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3731D307" w14:textId="291A407B" w:rsidR="00C36695" w:rsidRPr="00B72BC3" w:rsidRDefault="00C36695" w:rsidP="00237AFE">
      <w:pPr>
        <w:pStyle w:val="Odstavecseseznamem"/>
        <w:numPr>
          <w:ilvl w:val="0"/>
          <w:numId w:val="34"/>
        </w:numPr>
        <w:jc w:val="both"/>
        <w:rPr>
          <w:rFonts w:ascii="Times New Roman" w:hAnsi="Times New Roman" w:cs="Times New Roman"/>
          <w:u w:val="single"/>
        </w:rPr>
      </w:pPr>
      <w:r w:rsidRPr="00B72BC3">
        <w:rPr>
          <w:rFonts w:ascii="Times New Roman" w:hAnsi="Times New Roman" w:cs="Times New Roman"/>
          <w:u w:val="single"/>
        </w:rPr>
        <w:t>Varianta I</w:t>
      </w:r>
      <w:r>
        <w:rPr>
          <w:rFonts w:ascii="Times New Roman" w:hAnsi="Times New Roman" w:cs="Times New Roman"/>
          <w:u w:val="single"/>
        </w:rPr>
        <w:t>.</w:t>
      </w:r>
    </w:p>
    <w:p w14:paraId="0D79927B" w14:textId="6F286FB8" w:rsidR="00C36695" w:rsidRDefault="00C36695" w:rsidP="00237AFE">
      <w:pPr>
        <w:pStyle w:val="Odstavecseseznamem"/>
        <w:numPr>
          <w:ilvl w:val="0"/>
          <w:numId w:val="34"/>
        </w:numPr>
        <w:jc w:val="both"/>
        <w:rPr>
          <w:rFonts w:ascii="Times New Roman" w:hAnsi="Times New Roman" w:cs="Times New Roman"/>
          <w:u w:val="single"/>
        </w:rPr>
      </w:pPr>
      <w:r w:rsidRPr="00B72BC3">
        <w:rPr>
          <w:rFonts w:ascii="Times New Roman" w:hAnsi="Times New Roman" w:cs="Times New Roman"/>
          <w:u w:val="single"/>
        </w:rPr>
        <w:t xml:space="preserve">Varianta </w:t>
      </w:r>
      <w:r>
        <w:rPr>
          <w:rFonts w:ascii="Times New Roman" w:hAnsi="Times New Roman" w:cs="Times New Roman"/>
          <w:u w:val="single"/>
        </w:rPr>
        <w:t>I</w:t>
      </w:r>
      <w:r w:rsidRPr="00B72BC3">
        <w:rPr>
          <w:rFonts w:ascii="Times New Roman" w:hAnsi="Times New Roman" w:cs="Times New Roman"/>
          <w:u w:val="single"/>
        </w:rPr>
        <w:t>I</w:t>
      </w:r>
      <w:r>
        <w:rPr>
          <w:rFonts w:ascii="Times New Roman" w:hAnsi="Times New Roman" w:cs="Times New Roman"/>
          <w:u w:val="single"/>
        </w:rPr>
        <w:t>I.</w:t>
      </w:r>
    </w:p>
    <w:p w14:paraId="0BF5317C" w14:textId="7D52D928" w:rsidR="00C36695" w:rsidRPr="00B72BC3" w:rsidRDefault="00C36695" w:rsidP="00237AFE">
      <w:pPr>
        <w:pStyle w:val="Odstavecseseznamem"/>
        <w:numPr>
          <w:ilvl w:val="0"/>
          <w:numId w:val="34"/>
        </w:numPr>
        <w:jc w:val="both"/>
        <w:rPr>
          <w:rFonts w:ascii="Times New Roman" w:hAnsi="Times New Roman" w:cs="Times New Roman"/>
          <w:u w:val="single"/>
        </w:rPr>
      </w:pPr>
      <w:r>
        <w:rPr>
          <w:rFonts w:ascii="Times New Roman" w:hAnsi="Times New Roman" w:cs="Times New Roman"/>
          <w:u w:val="single"/>
        </w:rPr>
        <w:t>Varianta II.</w:t>
      </w:r>
    </w:p>
    <w:p w14:paraId="3A4117EA" w14:textId="3170566E" w:rsidR="00320C02" w:rsidRDefault="00C20D31" w:rsidP="00237AFE">
      <w:pPr>
        <w:jc w:val="both"/>
        <w:rPr>
          <w:rFonts w:ascii="Times New Roman" w:eastAsiaTheme="majorEastAsia" w:hAnsi="Times New Roman" w:cs="Times New Roman"/>
          <w:bCs/>
        </w:rPr>
      </w:pPr>
      <w:r>
        <w:rPr>
          <w:rFonts w:ascii="Times New Roman" w:eastAsiaTheme="majorEastAsia" w:hAnsi="Times New Roman" w:cs="Times New Roman"/>
          <w:bCs/>
        </w:rPr>
        <w:t>Při výběr nejvhodnější varianty alokačního klíče se vychází primárně z toho, jaká je časová náročnost implementace a technická náročnost implementace. V takovém případě je nyní možné při současném využití aplikovaných procesů mezi účastníky trhu volit alokační klíč statický, přičemž do budoucna bude rozvíjen alokační klíč statický s dynamickými prvky.</w:t>
      </w:r>
    </w:p>
    <w:p w14:paraId="7AD1BDCE" w14:textId="77777777" w:rsidR="00337EFA" w:rsidRPr="00337EFA" w:rsidRDefault="00337EFA" w:rsidP="00237AFE">
      <w:pPr>
        <w:jc w:val="both"/>
        <w:rPr>
          <w:rFonts w:ascii="Times New Roman" w:eastAsiaTheme="majorEastAsia" w:hAnsi="Times New Roman" w:cs="Times New Roman"/>
          <w:bCs/>
        </w:rPr>
      </w:pPr>
    </w:p>
    <w:p w14:paraId="2A1EA0BE" w14:textId="2B798D8C" w:rsidR="00AC3864" w:rsidRPr="00320C02" w:rsidRDefault="00EC2F77" w:rsidP="00237AFE">
      <w:pPr>
        <w:pStyle w:val="Nadpis2-zvren"/>
        <w:numPr>
          <w:ilvl w:val="0"/>
          <w:numId w:val="0"/>
        </w:numPr>
        <w:spacing w:after="120" w:line="276" w:lineRule="auto"/>
        <w:ind w:left="360" w:hanging="360"/>
        <w:rPr>
          <w:rFonts w:ascii="Times New Roman" w:eastAsiaTheme="minorHAnsi" w:hAnsi="Times New Roman" w:cs="Times New Roman"/>
          <w:bCs w:val="0"/>
          <w:color w:val="auto"/>
          <w:sz w:val="22"/>
          <w:szCs w:val="22"/>
        </w:rPr>
      </w:pPr>
      <w:r w:rsidRPr="00320C02">
        <w:rPr>
          <w:rFonts w:ascii="Times New Roman" w:eastAsiaTheme="minorHAnsi" w:hAnsi="Times New Roman" w:cs="Times New Roman"/>
          <w:bCs w:val="0"/>
          <w:color w:val="auto"/>
          <w:sz w:val="22"/>
          <w:szCs w:val="22"/>
        </w:rPr>
        <w:t>2.1.</w:t>
      </w:r>
      <w:r w:rsidR="00602570">
        <w:rPr>
          <w:rFonts w:ascii="Times New Roman" w:eastAsiaTheme="minorHAnsi" w:hAnsi="Times New Roman" w:cs="Times New Roman"/>
          <w:bCs w:val="0"/>
          <w:color w:val="auto"/>
          <w:sz w:val="22"/>
          <w:szCs w:val="22"/>
        </w:rPr>
        <w:t>4</w:t>
      </w:r>
      <w:r w:rsidR="00AC3864" w:rsidRPr="00320C02">
        <w:rPr>
          <w:rFonts w:ascii="Times New Roman" w:eastAsiaTheme="minorHAnsi" w:hAnsi="Times New Roman" w:cs="Times New Roman"/>
          <w:bCs w:val="0"/>
          <w:color w:val="auto"/>
          <w:sz w:val="22"/>
          <w:szCs w:val="22"/>
        </w:rPr>
        <w:t xml:space="preserve"> </w:t>
      </w:r>
      <w:r w:rsidR="001048D4" w:rsidRPr="00320C02">
        <w:rPr>
          <w:rFonts w:ascii="Times New Roman" w:eastAsiaTheme="minorHAnsi" w:hAnsi="Times New Roman" w:cs="Times New Roman"/>
          <w:bCs w:val="0"/>
          <w:color w:val="auto"/>
          <w:sz w:val="22"/>
          <w:szCs w:val="22"/>
        </w:rPr>
        <w:t>Změna postupu pro zahájení dodávky dodavatelem poslední instance</w:t>
      </w:r>
    </w:p>
    <w:p w14:paraId="26FF0099" w14:textId="7342B744" w:rsidR="00320C02" w:rsidRPr="00E17E88" w:rsidRDefault="00AC3864" w:rsidP="00237AFE">
      <w:pPr>
        <w:jc w:val="both"/>
        <w:rPr>
          <w:rFonts w:ascii="Times New Roman" w:hAnsi="Times New Roman" w:cs="Times New Roman"/>
          <w:sz w:val="20"/>
          <w:szCs w:val="20"/>
        </w:rPr>
      </w:pPr>
      <w:r w:rsidRPr="00320C02">
        <w:rPr>
          <w:rFonts w:ascii="Times New Roman" w:hAnsi="Times New Roman" w:cs="Times New Roman"/>
          <w:b/>
          <w:i/>
        </w:rPr>
        <w:t>Varianta I</w:t>
      </w:r>
      <w:r w:rsidRPr="00320C02">
        <w:rPr>
          <w:rFonts w:ascii="Times New Roman" w:hAnsi="Times New Roman" w:cs="Times New Roman"/>
        </w:rPr>
        <w:t xml:space="preserve">. – </w:t>
      </w:r>
      <w:r w:rsidR="00320C02" w:rsidRPr="00944B23">
        <w:rPr>
          <w:rFonts w:ascii="Times New Roman" w:hAnsi="Times New Roman" w:cs="Times New Roman"/>
        </w:rPr>
        <w:t xml:space="preserve">rezignace na </w:t>
      </w:r>
      <w:r w:rsidR="00320C02">
        <w:rPr>
          <w:rFonts w:ascii="Times New Roman" w:hAnsi="Times New Roman" w:cs="Times New Roman"/>
        </w:rPr>
        <w:t>provedení textové úpravy vyhlášky a neuvedení postupu pro zahájení dodávky dodavatelem poslední instance do souladu s novelou energetického zákona.</w:t>
      </w:r>
    </w:p>
    <w:p w14:paraId="454D0E72" w14:textId="3769C30C" w:rsidR="00AC3864" w:rsidRPr="00320C02" w:rsidRDefault="00320C02" w:rsidP="00237AFE">
      <w:pPr>
        <w:pStyle w:val="Nadpis3"/>
        <w:spacing w:after="120"/>
        <w:jc w:val="both"/>
        <w:rPr>
          <w:rFonts w:ascii="Times New Roman" w:hAnsi="Times New Roman" w:cs="Times New Roman"/>
        </w:rPr>
      </w:pPr>
      <w:r>
        <w:rPr>
          <w:rFonts w:ascii="Times New Roman" w:eastAsiaTheme="minorHAnsi" w:hAnsi="Times New Roman" w:cs="Times New Roman"/>
          <w:b w:val="0"/>
          <w:bCs w:val="0"/>
          <w:color w:val="auto"/>
        </w:rPr>
        <w:t>Pokud by se přistoupilo na neprovedení úpravy a nezavedení změn v postupu pro uplatnění institutu dodávky poslední instance</w:t>
      </w:r>
      <w:r w:rsidR="007F63B0">
        <w:rPr>
          <w:rFonts w:ascii="Times New Roman" w:eastAsiaTheme="minorHAnsi" w:hAnsi="Times New Roman" w:cs="Times New Roman"/>
          <w:b w:val="0"/>
          <w:bCs w:val="0"/>
          <w:color w:val="auto"/>
        </w:rPr>
        <w:t>,</w:t>
      </w:r>
      <w:r>
        <w:rPr>
          <w:rFonts w:ascii="Times New Roman" w:eastAsiaTheme="minorHAnsi" w:hAnsi="Times New Roman" w:cs="Times New Roman"/>
          <w:b w:val="0"/>
          <w:bCs w:val="0"/>
          <w:color w:val="auto"/>
        </w:rPr>
        <w:t xml:space="preserve"> dostaly by se postupy stanovené vyhláškou o Pravidlech trhu s elektřinou do rozporu s platnou právní úpravou.</w:t>
      </w:r>
    </w:p>
    <w:p w14:paraId="1A205CB6" w14:textId="45C60CF6" w:rsidR="00AC3864" w:rsidRPr="00320C02" w:rsidRDefault="00AC3864" w:rsidP="00237AFE">
      <w:pPr>
        <w:jc w:val="both"/>
        <w:rPr>
          <w:rFonts w:ascii="Times New Roman" w:hAnsi="Times New Roman" w:cs="Times New Roman"/>
        </w:rPr>
      </w:pPr>
      <w:r w:rsidRPr="00320C02">
        <w:rPr>
          <w:rFonts w:ascii="Times New Roman" w:hAnsi="Times New Roman" w:cs="Times New Roman"/>
          <w:b/>
          <w:i/>
        </w:rPr>
        <w:t>Varianta II.</w:t>
      </w:r>
      <w:r w:rsidRPr="00320C02">
        <w:rPr>
          <w:rFonts w:ascii="Times New Roman" w:hAnsi="Times New Roman" w:cs="Times New Roman"/>
        </w:rPr>
        <w:t xml:space="preserve"> – </w:t>
      </w:r>
      <w:r w:rsidR="00320C02">
        <w:rPr>
          <w:rFonts w:ascii="Times New Roman" w:hAnsi="Times New Roman" w:cs="Times New Roman"/>
        </w:rPr>
        <w:t>provedení textové úpravy vyhlášky a uvedení vyhláškou stanovených postupů do souladu s platnou právní úpravou. Provedením změn se upřesní a doplní některé postupy pro uplatnění institutu dodávky poslední instance.</w:t>
      </w:r>
      <w:r w:rsidR="008C6327">
        <w:rPr>
          <w:rFonts w:ascii="Times New Roman" w:hAnsi="Times New Roman" w:cs="Times New Roman"/>
        </w:rPr>
        <w:t xml:space="preserve"> Například se jedná o úpravu podmínek zahájení dodávky poslední instance, kdy do textu se doplňuje </w:t>
      </w:r>
      <w:r w:rsidR="00E3561E">
        <w:rPr>
          <w:rFonts w:ascii="Times New Roman" w:hAnsi="Times New Roman" w:cs="Times New Roman"/>
        </w:rPr>
        <w:t>aktivační skutečnost</w:t>
      </w:r>
      <w:r w:rsidR="008C6327">
        <w:rPr>
          <w:rFonts w:ascii="Times New Roman" w:hAnsi="Times New Roman" w:cs="Times New Roman"/>
        </w:rPr>
        <w:t xml:space="preserve"> „pozbýt možnost dodávat“ nebo se upravuje postup přechodu z dodávky dodavatelem poslední instance na režim standardní dodávky elektřiny. </w:t>
      </w:r>
      <w:r w:rsidR="00320C02">
        <w:rPr>
          <w:rFonts w:ascii="Times New Roman" w:hAnsi="Times New Roman" w:cs="Times New Roman"/>
        </w:rPr>
        <w:t xml:space="preserve"> Tyto úpravy zajistí </w:t>
      </w:r>
      <w:r w:rsidR="007F63B0">
        <w:rPr>
          <w:rFonts w:ascii="Times New Roman" w:hAnsi="Times New Roman" w:cs="Times New Roman"/>
        </w:rPr>
        <w:t xml:space="preserve">nezbytnou </w:t>
      </w:r>
      <w:r w:rsidR="00320C02">
        <w:rPr>
          <w:rFonts w:ascii="Times New Roman" w:hAnsi="Times New Roman" w:cs="Times New Roman"/>
        </w:rPr>
        <w:t>konzistenci s platnou právní úpravou</w:t>
      </w:r>
      <w:r w:rsidR="007F63B0">
        <w:rPr>
          <w:rFonts w:ascii="Times New Roman" w:hAnsi="Times New Roman" w:cs="Times New Roman"/>
        </w:rPr>
        <w:t>.</w:t>
      </w:r>
    </w:p>
    <w:p w14:paraId="669181D7" w14:textId="77777777" w:rsidR="00AC3864" w:rsidRPr="00320C02" w:rsidRDefault="00AC3864" w:rsidP="00237AFE">
      <w:pPr>
        <w:jc w:val="both"/>
        <w:rPr>
          <w:rFonts w:ascii="Times New Roman" w:eastAsiaTheme="majorEastAsia" w:hAnsi="Times New Roman" w:cs="Times New Roman"/>
          <w:b/>
          <w:bCs/>
          <w:u w:val="single"/>
        </w:rPr>
      </w:pPr>
      <w:r w:rsidRPr="00320C02">
        <w:rPr>
          <w:rFonts w:ascii="Times New Roman" w:eastAsiaTheme="majorEastAsia" w:hAnsi="Times New Roman" w:cs="Times New Roman"/>
          <w:b/>
          <w:bCs/>
          <w:u w:val="single"/>
        </w:rPr>
        <w:t>Vyhodnocení nákladů a přínosů</w:t>
      </w:r>
    </w:p>
    <w:p w14:paraId="772EF922" w14:textId="77777777" w:rsidR="00AC3864" w:rsidRPr="00320C02" w:rsidRDefault="00AC3864" w:rsidP="00237AFE">
      <w:pPr>
        <w:jc w:val="both"/>
        <w:rPr>
          <w:rFonts w:ascii="Times New Roman" w:hAnsi="Times New Roman" w:cs="Times New Roman"/>
          <w:b/>
          <w:u w:val="single"/>
        </w:rPr>
      </w:pPr>
      <w:r w:rsidRPr="00320C02">
        <w:rPr>
          <w:rFonts w:ascii="Times New Roman" w:hAnsi="Times New Roman" w:cs="Times New Roman"/>
          <w:b/>
          <w:u w:val="single"/>
        </w:rPr>
        <w:t>Náklady</w:t>
      </w:r>
    </w:p>
    <w:p w14:paraId="601879FF" w14:textId="02040CEF" w:rsidR="00AC3864" w:rsidRPr="00320C02" w:rsidRDefault="00AC3864" w:rsidP="00237AFE">
      <w:pPr>
        <w:jc w:val="both"/>
        <w:rPr>
          <w:rFonts w:ascii="Times New Roman" w:hAnsi="Times New Roman" w:cs="Times New Roman"/>
        </w:rPr>
      </w:pPr>
      <w:r w:rsidRPr="00320C02">
        <w:rPr>
          <w:rFonts w:ascii="Times New Roman" w:hAnsi="Times New Roman" w:cs="Times New Roman"/>
        </w:rPr>
        <w:t>Varianta I.</w:t>
      </w:r>
      <w:r w:rsidR="004A0BBA">
        <w:rPr>
          <w:rFonts w:ascii="Times New Roman" w:hAnsi="Times New Roman" w:cs="Times New Roman"/>
        </w:rPr>
        <w:t xml:space="preserve"> </w:t>
      </w:r>
      <w:r w:rsidRPr="00320C02">
        <w:rPr>
          <w:rFonts w:ascii="Times New Roman" w:hAnsi="Times New Roman" w:cs="Times New Roman"/>
        </w:rPr>
        <w:t xml:space="preserve"> </w:t>
      </w:r>
      <w:r w:rsidR="004A0BBA">
        <w:rPr>
          <w:rFonts w:ascii="Times New Roman" w:hAnsi="Times New Roman" w:cs="Times New Roman"/>
        </w:rPr>
        <w:t xml:space="preserve">U této varianty se neočekávají náklady vyvolané na straně zákazníků, jelikož se uplatní podmínky stanovené v nadřazené právní normě (energetický zákon). </w:t>
      </w:r>
    </w:p>
    <w:p w14:paraId="260D142A" w14:textId="44892113" w:rsidR="00AC3864" w:rsidRPr="00320C02" w:rsidRDefault="00AC3864" w:rsidP="00237AFE">
      <w:pPr>
        <w:jc w:val="both"/>
        <w:rPr>
          <w:rFonts w:ascii="Times New Roman" w:hAnsi="Times New Roman" w:cs="Times New Roman"/>
        </w:rPr>
      </w:pPr>
      <w:r w:rsidRPr="00320C02">
        <w:rPr>
          <w:rFonts w:ascii="Times New Roman" w:hAnsi="Times New Roman" w:cs="Times New Roman"/>
        </w:rPr>
        <w:t>Varianta II.</w:t>
      </w:r>
      <w:r w:rsidR="004A0BBA">
        <w:rPr>
          <w:rFonts w:ascii="Times New Roman" w:hAnsi="Times New Roman" w:cs="Times New Roman"/>
        </w:rPr>
        <w:t xml:space="preserve"> U této varianty se očekávají přímé náklady na straně poskytovatelů služeb</w:t>
      </w:r>
      <w:r w:rsidRPr="00320C02">
        <w:rPr>
          <w:rFonts w:ascii="Times New Roman" w:hAnsi="Times New Roman" w:cs="Times New Roman"/>
        </w:rPr>
        <w:t xml:space="preserve"> </w:t>
      </w:r>
      <w:r w:rsidR="004A0BBA">
        <w:rPr>
          <w:rFonts w:ascii="Times New Roman" w:hAnsi="Times New Roman" w:cs="Times New Roman"/>
        </w:rPr>
        <w:t>(operátor trhu, provozovatelé soustav a obchodníci)</w:t>
      </w:r>
      <w:r w:rsidR="006919B2">
        <w:rPr>
          <w:rFonts w:ascii="Times New Roman" w:hAnsi="Times New Roman" w:cs="Times New Roman"/>
        </w:rPr>
        <w:t xml:space="preserve"> z důvodu úpravy interních postupů a informačních systémů.</w:t>
      </w:r>
    </w:p>
    <w:p w14:paraId="5ECB51A5" w14:textId="77777777" w:rsidR="00AC3864" w:rsidRPr="00320C02" w:rsidRDefault="00AC3864" w:rsidP="00237AFE">
      <w:pPr>
        <w:jc w:val="both"/>
        <w:rPr>
          <w:rFonts w:ascii="Times New Roman" w:hAnsi="Times New Roman" w:cs="Times New Roman"/>
          <w:b/>
          <w:u w:val="single"/>
        </w:rPr>
      </w:pPr>
      <w:r w:rsidRPr="00320C02">
        <w:rPr>
          <w:rFonts w:ascii="Times New Roman" w:hAnsi="Times New Roman" w:cs="Times New Roman"/>
          <w:b/>
          <w:u w:val="single"/>
        </w:rPr>
        <w:t>Přínosy</w:t>
      </w:r>
    </w:p>
    <w:p w14:paraId="3907FE3C" w14:textId="46CA1766" w:rsidR="00AC3864" w:rsidRPr="00320C02" w:rsidRDefault="00AC3864" w:rsidP="00237AFE">
      <w:pPr>
        <w:jc w:val="both"/>
        <w:rPr>
          <w:rFonts w:ascii="Times New Roman" w:hAnsi="Times New Roman" w:cs="Times New Roman"/>
        </w:rPr>
      </w:pPr>
      <w:r w:rsidRPr="00320C02">
        <w:rPr>
          <w:rFonts w:ascii="Times New Roman" w:hAnsi="Times New Roman" w:cs="Times New Roman"/>
        </w:rPr>
        <w:t xml:space="preserve">Varianta I. </w:t>
      </w:r>
      <w:r w:rsidR="006919B2">
        <w:rPr>
          <w:rFonts w:ascii="Times New Roman" w:hAnsi="Times New Roman" w:cs="Times New Roman"/>
        </w:rPr>
        <w:t>U této varianty se neočekávají žádné přínosy.</w:t>
      </w:r>
    </w:p>
    <w:p w14:paraId="02B10EBB" w14:textId="5AE272EB" w:rsidR="00AC3864" w:rsidRPr="00320C02" w:rsidRDefault="00AC3864" w:rsidP="00237AFE">
      <w:pPr>
        <w:jc w:val="both"/>
        <w:rPr>
          <w:rFonts w:ascii="Times New Roman" w:hAnsi="Times New Roman" w:cs="Times New Roman"/>
        </w:rPr>
      </w:pPr>
      <w:r w:rsidRPr="00320C02">
        <w:rPr>
          <w:rFonts w:ascii="Times New Roman" w:hAnsi="Times New Roman" w:cs="Times New Roman"/>
        </w:rPr>
        <w:t xml:space="preserve">Varianta II. </w:t>
      </w:r>
      <w:r w:rsidR="006919B2">
        <w:rPr>
          <w:rFonts w:ascii="Times New Roman" w:hAnsi="Times New Roman" w:cs="Times New Roman"/>
        </w:rPr>
        <w:t xml:space="preserve">U této varianty se očekávají přínosy v tom, že bude zajištěna konzistence v rámci uplatňovaných postupů mezi poskytovateli služeb na trhu s elektřinou. </w:t>
      </w:r>
    </w:p>
    <w:p w14:paraId="641BAE2B" w14:textId="77777777" w:rsidR="009E0F32" w:rsidRDefault="009E0F32"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5B1747C8" w14:textId="77777777" w:rsidR="009E0F32" w:rsidRPr="00337421" w:rsidRDefault="009E0F32" w:rsidP="00237AFE">
      <w:pPr>
        <w:pStyle w:val="Odstavecseseznamem"/>
        <w:numPr>
          <w:ilvl w:val="0"/>
          <w:numId w:val="26"/>
        </w:numPr>
        <w:jc w:val="both"/>
        <w:rPr>
          <w:rFonts w:ascii="Times New Roman" w:hAnsi="Times New Roman" w:cs="Times New Roman"/>
          <w:u w:val="single"/>
        </w:rPr>
      </w:pPr>
      <w:r w:rsidRPr="00337421">
        <w:rPr>
          <w:rFonts w:ascii="Times New Roman" w:hAnsi="Times New Roman" w:cs="Times New Roman"/>
          <w:u w:val="single"/>
        </w:rPr>
        <w:t>Varianta II</w:t>
      </w:r>
    </w:p>
    <w:p w14:paraId="27299B40" w14:textId="77777777" w:rsidR="009E0F32" w:rsidRPr="00337421" w:rsidRDefault="009E0F32" w:rsidP="00237AFE">
      <w:pPr>
        <w:pStyle w:val="Odstavecseseznamem"/>
        <w:numPr>
          <w:ilvl w:val="0"/>
          <w:numId w:val="26"/>
        </w:numPr>
        <w:jc w:val="both"/>
        <w:rPr>
          <w:rFonts w:ascii="Times New Roman" w:hAnsi="Times New Roman" w:cs="Times New Roman"/>
          <w:u w:val="single"/>
        </w:rPr>
      </w:pPr>
      <w:r w:rsidRPr="00337421">
        <w:rPr>
          <w:rFonts w:ascii="Times New Roman" w:hAnsi="Times New Roman" w:cs="Times New Roman"/>
          <w:u w:val="single"/>
        </w:rPr>
        <w:t>Varianta I</w:t>
      </w:r>
    </w:p>
    <w:p w14:paraId="1D084039" w14:textId="56323CF3" w:rsidR="001048D4" w:rsidRDefault="006919B2"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sidRPr="006919B2">
        <w:rPr>
          <w:rFonts w:ascii="Times New Roman" w:eastAsiaTheme="minorHAnsi" w:hAnsi="Times New Roman" w:cs="Times New Roman"/>
          <w:b w:val="0"/>
          <w:bCs w:val="0"/>
          <w:color w:val="auto"/>
          <w:sz w:val="22"/>
          <w:szCs w:val="22"/>
        </w:rPr>
        <w:t xml:space="preserve">Navrhujeme postupovat dle varianty II., která zajistí žádoucí stav, tedy </w:t>
      </w:r>
      <w:r>
        <w:rPr>
          <w:rFonts w:ascii="Times New Roman" w:eastAsiaTheme="minorHAnsi" w:hAnsi="Times New Roman" w:cs="Times New Roman"/>
          <w:b w:val="0"/>
          <w:bCs w:val="0"/>
          <w:color w:val="auto"/>
          <w:sz w:val="22"/>
          <w:szCs w:val="22"/>
        </w:rPr>
        <w:t>přispěje k vyšší</w:t>
      </w:r>
      <w:r w:rsidRPr="006919B2">
        <w:rPr>
          <w:rFonts w:ascii="Times New Roman" w:eastAsiaTheme="minorHAnsi" w:hAnsi="Times New Roman" w:cs="Times New Roman"/>
          <w:b w:val="0"/>
          <w:bCs w:val="0"/>
          <w:color w:val="auto"/>
          <w:sz w:val="22"/>
          <w:szCs w:val="22"/>
        </w:rPr>
        <w:t xml:space="preserve"> stabi</w:t>
      </w:r>
      <w:r>
        <w:rPr>
          <w:rFonts w:ascii="Times New Roman" w:eastAsiaTheme="minorHAnsi" w:hAnsi="Times New Roman" w:cs="Times New Roman"/>
          <w:b w:val="0"/>
          <w:bCs w:val="0"/>
          <w:color w:val="auto"/>
          <w:sz w:val="22"/>
          <w:szCs w:val="22"/>
        </w:rPr>
        <w:t>litě</w:t>
      </w:r>
      <w:r w:rsidRPr="006919B2">
        <w:rPr>
          <w:rFonts w:ascii="Times New Roman" w:eastAsiaTheme="minorHAnsi" w:hAnsi="Times New Roman" w:cs="Times New Roman"/>
          <w:b w:val="0"/>
          <w:bCs w:val="0"/>
          <w:color w:val="auto"/>
          <w:sz w:val="22"/>
          <w:szCs w:val="22"/>
        </w:rPr>
        <w:t xml:space="preserve"> prostředí</w:t>
      </w:r>
      <w:r>
        <w:rPr>
          <w:rFonts w:ascii="Times New Roman" w:eastAsiaTheme="minorHAnsi" w:hAnsi="Times New Roman" w:cs="Times New Roman"/>
          <w:b w:val="0"/>
          <w:bCs w:val="0"/>
          <w:color w:val="auto"/>
          <w:sz w:val="22"/>
          <w:szCs w:val="22"/>
        </w:rPr>
        <w:t xml:space="preserve"> na</w:t>
      </w:r>
      <w:r w:rsidRPr="006919B2">
        <w:rPr>
          <w:rFonts w:ascii="Times New Roman" w:eastAsiaTheme="minorHAnsi" w:hAnsi="Times New Roman" w:cs="Times New Roman"/>
          <w:b w:val="0"/>
          <w:bCs w:val="0"/>
          <w:color w:val="auto"/>
          <w:sz w:val="22"/>
          <w:szCs w:val="22"/>
        </w:rPr>
        <w:t xml:space="preserve"> trhu s</w:t>
      </w:r>
      <w:r>
        <w:rPr>
          <w:rFonts w:ascii="Times New Roman" w:eastAsiaTheme="minorHAnsi" w:hAnsi="Times New Roman" w:cs="Times New Roman"/>
          <w:b w:val="0"/>
          <w:bCs w:val="0"/>
          <w:color w:val="auto"/>
          <w:sz w:val="22"/>
          <w:szCs w:val="22"/>
        </w:rPr>
        <w:t> </w:t>
      </w:r>
      <w:r w:rsidRPr="006919B2">
        <w:rPr>
          <w:rFonts w:ascii="Times New Roman" w:eastAsiaTheme="minorHAnsi" w:hAnsi="Times New Roman" w:cs="Times New Roman"/>
          <w:b w:val="0"/>
          <w:bCs w:val="0"/>
          <w:color w:val="auto"/>
          <w:sz w:val="22"/>
          <w:szCs w:val="22"/>
        </w:rPr>
        <w:t>elektřinou</w:t>
      </w:r>
      <w:r>
        <w:rPr>
          <w:rFonts w:ascii="Times New Roman" w:eastAsiaTheme="minorHAnsi" w:hAnsi="Times New Roman" w:cs="Times New Roman"/>
          <w:b w:val="0"/>
          <w:bCs w:val="0"/>
          <w:color w:val="auto"/>
          <w:sz w:val="22"/>
          <w:szCs w:val="22"/>
        </w:rPr>
        <w:t xml:space="preserve"> a zajistí </w:t>
      </w:r>
      <w:r w:rsidR="003D7FBF">
        <w:rPr>
          <w:rFonts w:ascii="Times New Roman" w:eastAsiaTheme="minorHAnsi" w:hAnsi="Times New Roman" w:cs="Times New Roman"/>
          <w:b w:val="0"/>
          <w:bCs w:val="0"/>
          <w:color w:val="auto"/>
          <w:sz w:val="22"/>
          <w:szCs w:val="22"/>
        </w:rPr>
        <w:t xml:space="preserve">soulad postupů stanovených vyhláškou s novelou energetického zákona č. </w:t>
      </w:r>
      <w:r w:rsidR="00C36695">
        <w:rPr>
          <w:rFonts w:ascii="Times New Roman" w:eastAsiaTheme="minorHAnsi" w:hAnsi="Times New Roman" w:cs="Times New Roman"/>
          <w:b w:val="0"/>
          <w:bCs w:val="0"/>
          <w:color w:val="auto"/>
          <w:sz w:val="22"/>
          <w:szCs w:val="22"/>
        </w:rPr>
        <w:t>176</w:t>
      </w:r>
      <w:r w:rsidR="003D7FBF">
        <w:rPr>
          <w:rFonts w:ascii="Times New Roman" w:eastAsiaTheme="minorHAnsi" w:hAnsi="Times New Roman" w:cs="Times New Roman"/>
          <w:b w:val="0"/>
          <w:bCs w:val="0"/>
          <w:color w:val="auto"/>
          <w:sz w:val="22"/>
          <w:szCs w:val="22"/>
        </w:rPr>
        <w:t>/2022 Sb</w:t>
      </w:r>
      <w:r w:rsidRPr="006919B2">
        <w:rPr>
          <w:rFonts w:ascii="Times New Roman" w:eastAsiaTheme="minorHAnsi" w:hAnsi="Times New Roman" w:cs="Times New Roman"/>
          <w:b w:val="0"/>
          <w:bCs w:val="0"/>
          <w:color w:val="auto"/>
          <w:sz w:val="22"/>
          <w:szCs w:val="22"/>
        </w:rPr>
        <w:t>.</w:t>
      </w:r>
    </w:p>
    <w:p w14:paraId="2E680A6F" w14:textId="77777777" w:rsidR="00753C8B" w:rsidRDefault="007F63B0" w:rsidP="00237AFE">
      <w:pPr>
        <w:jc w:val="both"/>
        <w:rPr>
          <w:rFonts w:ascii="Times New Roman" w:hAnsi="Times New Roman" w:cs="Times New Roman"/>
        </w:rPr>
      </w:pPr>
      <w:r>
        <w:rPr>
          <w:rFonts w:ascii="Times New Roman" w:hAnsi="Times New Roman" w:cs="Times New Roman"/>
        </w:rPr>
        <w:t xml:space="preserve">Zvolená varianta nemá dopady na státní rozpočet. Zvolená varianta má dopady do podnikatelského prostředí, jelikož si vynucuje úpravu informačních systémů některých dotčených skupin osob. Zvolená varianta </w:t>
      </w:r>
      <w:r w:rsidR="00A571B1">
        <w:rPr>
          <w:rFonts w:ascii="Times New Roman" w:hAnsi="Times New Roman" w:cs="Times New Roman"/>
        </w:rPr>
        <w:t>nemá</w:t>
      </w:r>
      <w:r>
        <w:rPr>
          <w:rFonts w:ascii="Times New Roman" w:hAnsi="Times New Roman" w:cs="Times New Roman"/>
        </w:rPr>
        <w:t xml:space="preserve"> sociální dopady. Zvolená varianta nemá dopady ve vztahu k zákazu diskriminace a ve vztahu k rovnosti žen a mužů, nemá dopady ani na výkon státní statistické služby. </w:t>
      </w:r>
      <w:r w:rsidR="00C0163C">
        <w:rPr>
          <w:rFonts w:ascii="Times New Roman" w:hAnsi="Times New Roman" w:cs="Times New Roman"/>
        </w:rPr>
        <w:t>Dodatečné dopady ve vztahu k ochraně soukromí a osobních údajů nejsou vyvolány, právní titul zůstává stávající.</w:t>
      </w:r>
      <w:r>
        <w:rPr>
          <w:rFonts w:ascii="Times New Roman" w:hAnsi="Times New Roman" w:cs="Times New Roman"/>
        </w:rPr>
        <w:t xml:space="preserve"> Zvolená varianta</w:t>
      </w:r>
      <w:r w:rsidRPr="00944B23">
        <w:rPr>
          <w:rFonts w:ascii="Times New Roman" w:hAnsi="Times New Roman" w:cs="Times New Roman"/>
        </w:rPr>
        <w:t xml:space="preserve"> nepředpokládá jakékoliv </w:t>
      </w:r>
      <w:r>
        <w:rPr>
          <w:rFonts w:ascii="Times New Roman" w:hAnsi="Times New Roman" w:cs="Times New Roman"/>
        </w:rPr>
        <w:t xml:space="preserve">dopady na míru korupce, </w:t>
      </w:r>
      <w:r w:rsidRPr="00944B23">
        <w:rPr>
          <w:rFonts w:ascii="Times New Roman" w:hAnsi="Times New Roman" w:cs="Times New Roman"/>
        </w:rPr>
        <w:t>navrhované změny de facto neumožňují vznik korupčního prostředí. Návrh vyhlášky nepředpokládá založení korupčních rizik ani jejich nárůst.</w:t>
      </w:r>
      <w:r>
        <w:rPr>
          <w:rFonts w:ascii="Times New Roman" w:hAnsi="Times New Roman" w:cs="Times New Roman"/>
        </w:rPr>
        <w:t xml:space="preserve"> Zvolená varianta s ohledem na svůj obsah nemá dopady na bezpečnost a obranu státu.</w:t>
      </w:r>
      <w:r w:rsidR="00724E24">
        <w:rPr>
          <w:rFonts w:ascii="Times New Roman" w:hAnsi="Times New Roman" w:cs="Times New Roman"/>
        </w:rPr>
        <w:t xml:space="preserve"> </w:t>
      </w:r>
      <w:r w:rsidR="00C907E3">
        <w:rPr>
          <w:rFonts w:ascii="Times New Roman" w:hAnsi="Times New Roman" w:cs="Times New Roman"/>
        </w:rPr>
        <w:t>Navrhovaná úprava problematiky dodavatele poslední instance vychází ze zákonné úpravy, která nedává prostor pro jiná řešení. Dopady navrhované úpravy tedy korespondují s dopady zákona, respektive nevytváří dopady nad rámec zákonné úpravy.</w:t>
      </w:r>
    </w:p>
    <w:p w14:paraId="399D8291" w14:textId="77777777" w:rsidR="00753C8B" w:rsidRPr="00753C8B" w:rsidRDefault="00AC3864" w:rsidP="00237AFE">
      <w:pPr>
        <w:jc w:val="both"/>
        <w:rPr>
          <w:rFonts w:ascii="Times New Roman" w:hAnsi="Times New Roman" w:cs="Times New Roman"/>
          <w:b/>
          <w:bCs/>
        </w:rPr>
      </w:pPr>
      <w:r w:rsidRPr="00753C8B">
        <w:rPr>
          <w:rFonts w:ascii="Times New Roman" w:hAnsi="Times New Roman" w:cs="Times New Roman"/>
          <w:b/>
          <w:bCs/>
        </w:rPr>
        <w:t>2.1.</w:t>
      </w:r>
      <w:r w:rsidR="00E3561E" w:rsidRPr="00753C8B">
        <w:rPr>
          <w:rFonts w:ascii="Times New Roman" w:hAnsi="Times New Roman" w:cs="Times New Roman"/>
          <w:b/>
          <w:bCs/>
        </w:rPr>
        <w:t>5</w:t>
      </w:r>
      <w:r w:rsidRPr="00753C8B">
        <w:rPr>
          <w:rFonts w:ascii="Times New Roman" w:hAnsi="Times New Roman" w:cs="Times New Roman"/>
          <w:b/>
          <w:bCs/>
        </w:rPr>
        <w:t xml:space="preserve"> </w:t>
      </w:r>
      <w:r w:rsidR="00724E24" w:rsidRPr="00753C8B">
        <w:rPr>
          <w:rFonts w:ascii="Times New Roman" w:hAnsi="Times New Roman" w:cs="Times New Roman"/>
          <w:b/>
          <w:bCs/>
        </w:rPr>
        <w:t xml:space="preserve">Zahájení dodávky elektřiny podle § </w:t>
      </w:r>
      <w:proofErr w:type="gramStart"/>
      <w:r w:rsidR="00724E24" w:rsidRPr="00753C8B">
        <w:rPr>
          <w:rFonts w:ascii="Times New Roman" w:hAnsi="Times New Roman" w:cs="Times New Roman"/>
          <w:b/>
          <w:bCs/>
        </w:rPr>
        <w:t>12d</w:t>
      </w:r>
      <w:proofErr w:type="gramEnd"/>
      <w:r w:rsidR="00724E24" w:rsidRPr="00753C8B">
        <w:rPr>
          <w:rFonts w:ascii="Times New Roman" w:hAnsi="Times New Roman" w:cs="Times New Roman"/>
          <w:b/>
          <w:bCs/>
        </w:rPr>
        <w:t xml:space="preserve"> odst. 2 energetického zákona</w:t>
      </w:r>
    </w:p>
    <w:p w14:paraId="675E4149" w14:textId="77777777" w:rsidR="00753C8B" w:rsidRDefault="00E91BF0" w:rsidP="00237AFE">
      <w:pPr>
        <w:jc w:val="both"/>
        <w:rPr>
          <w:rFonts w:ascii="Times New Roman" w:hAnsi="Times New Roman" w:cs="Times New Roman"/>
          <w:bCs/>
        </w:rPr>
      </w:pPr>
      <w:r w:rsidRPr="00753C8B">
        <w:rPr>
          <w:rFonts w:ascii="Times New Roman" w:hAnsi="Times New Roman" w:cs="Times New Roman"/>
          <w:bCs/>
        </w:rPr>
        <w:t>Energetický zákon upravil nový závazek ze zákona na dobu neurčitou, který může pozměnit i smluvní konstrukci z DPI, aniž by řešil dopady na uzavřené smlouvy a zadané změny dodavatele z těchto smluv.</w:t>
      </w:r>
    </w:p>
    <w:p w14:paraId="43067513" w14:textId="36BC0D7D" w:rsidR="00902B39" w:rsidRPr="00753C8B" w:rsidRDefault="00724E24" w:rsidP="00237AFE">
      <w:pPr>
        <w:jc w:val="both"/>
      </w:pPr>
      <w:r w:rsidRPr="00753C8B">
        <w:rPr>
          <w:rFonts w:ascii="Times New Roman" w:hAnsi="Times New Roman" w:cs="Times New Roman"/>
          <w:b/>
          <w:bCs/>
          <w:i/>
        </w:rPr>
        <w:t>Varianta I.</w:t>
      </w:r>
      <w:r>
        <w:rPr>
          <w:rFonts w:ascii="Times New Roman" w:hAnsi="Times New Roman" w:cs="Times New Roman"/>
          <w:bCs/>
          <w:i/>
        </w:rPr>
        <w:t xml:space="preserve"> </w:t>
      </w:r>
      <w:r>
        <w:rPr>
          <w:rFonts w:ascii="Times New Roman" w:hAnsi="Times New Roman" w:cs="Times New Roman"/>
          <w:b/>
          <w:bCs/>
          <w:i/>
        </w:rPr>
        <w:t xml:space="preserve">– </w:t>
      </w:r>
      <w:r w:rsidRPr="00753C8B">
        <w:rPr>
          <w:rFonts w:ascii="Times New Roman" w:hAnsi="Times New Roman" w:cs="Times New Roman"/>
          <w:bCs/>
        </w:rPr>
        <w:t xml:space="preserve">U této varianty se nepředpokládají úpravy postupů stanovených vyhláškou, přičemž pro naplnění postupu podle § </w:t>
      </w:r>
      <w:proofErr w:type="gramStart"/>
      <w:r w:rsidRPr="00753C8B">
        <w:rPr>
          <w:rFonts w:ascii="Times New Roman" w:hAnsi="Times New Roman" w:cs="Times New Roman"/>
          <w:bCs/>
        </w:rPr>
        <w:t>12d</w:t>
      </w:r>
      <w:proofErr w:type="gramEnd"/>
      <w:r w:rsidRPr="00753C8B">
        <w:rPr>
          <w:rFonts w:ascii="Times New Roman" w:hAnsi="Times New Roman" w:cs="Times New Roman"/>
          <w:bCs/>
        </w:rPr>
        <w:t xml:space="preserve"> odst. 2 energetického zákona se využije postup pro změnu dodavatele s přenesenou odpovědností za odchylku.</w:t>
      </w:r>
      <w:r w:rsidR="00902B39" w:rsidRPr="00753C8B">
        <w:rPr>
          <w:rFonts w:ascii="Times New Roman" w:hAnsi="Times New Roman" w:cs="Times New Roman"/>
          <w:bCs/>
        </w:rPr>
        <w:t xml:space="preserve"> Tento postup je z pohledu dotčených účastníků trhu nekomfortní, jelikož vyžaduje podání žádosti již do 10.00 hodin desátého pracovního dne před datem zahájení dodávky dodavatelem poslední instance.</w:t>
      </w:r>
    </w:p>
    <w:p w14:paraId="6DC640D0" w14:textId="09C7FCA7" w:rsidR="00724E24" w:rsidRDefault="00724E24"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Pr>
          <w:rFonts w:ascii="Times New Roman" w:eastAsiaTheme="minorHAnsi" w:hAnsi="Times New Roman" w:cs="Times New Roman"/>
          <w:bCs w:val="0"/>
          <w:i/>
          <w:color w:val="auto"/>
          <w:sz w:val="22"/>
          <w:szCs w:val="22"/>
        </w:rPr>
        <w:t xml:space="preserve">Varianta II. </w:t>
      </w:r>
      <w:r>
        <w:rPr>
          <w:rFonts w:ascii="Times New Roman" w:eastAsiaTheme="minorHAnsi" w:hAnsi="Times New Roman" w:cs="Times New Roman"/>
          <w:b w:val="0"/>
          <w:bCs w:val="0"/>
          <w:i/>
          <w:color w:val="auto"/>
          <w:sz w:val="22"/>
          <w:szCs w:val="22"/>
        </w:rPr>
        <w:t xml:space="preserve">– </w:t>
      </w:r>
      <w:r w:rsidRPr="00337EFA">
        <w:rPr>
          <w:rFonts w:ascii="Times New Roman" w:eastAsiaTheme="minorHAnsi" w:hAnsi="Times New Roman" w:cs="Times New Roman"/>
          <w:b w:val="0"/>
          <w:bCs w:val="0"/>
          <w:color w:val="auto"/>
          <w:sz w:val="22"/>
          <w:szCs w:val="22"/>
        </w:rPr>
        <w:t xml:space="preserve">U této varianty se předpokládají </w:t>
      </w:r>
      <w:r w:rsidR="00902B39">
        <w:rPr>
          <w:rFonts w:ascii="Times New Roman" w:eastAsiaTheme="minorHAnsi" w:hAnsi="Times New Roman" w:cs="Times New Roman"/>
          <w:b w:val="0"/>
          <w:bCs w:val="0"/>
          <w:color w:val="auto"/>
          <w:sz w:val="22"/>
          <w:szCs w:val="22"/>
        </w:rPr>
        <w:t>modifikace</w:t>
      </w:r>
      <w:r w:rsidRPr="00337EFA">
        <w:rPr>
          <w:rFonts w:ascii="Times New Roman" w:eastAsiaTheme="minorHAnsi" w:hAnsi="Times New Roman" w:cs="Times New Roman"/>
          <w:b w:val="0"/>
          <w:bCs w:val="0"/>
          <w:color w:val="auto"/>
          <w:sz w:val="22"/>
          <w:szCs w:val="22"/>
        </w:rPr>
        <w:t xml:space="preserve"> postupů stanovených vyhláškou, </w:t>
      </w:r>
      <w:r>
        <w:rPr>
          <w:rFonts w:ascii="Times New Roman" w:eastAsiaTheme="minorHAnsi" w:hAnsi="Times New Roman" w:cs="Times New Roman"/>
          <w:b w:val="0"/>
          <w:bCs w:val="0"/>
          <w:color w:val="auto"/>
          <w:sz w:val="22"/>
          <w:szCs w:val="22"/>
        </w:rPr>
        <w:t xml:space="preserve">přičemž pro naplnění postupu podle § </w:t>
      </w:r>
      <w:proofErr w:type="gramStart"/>
      <w:r>
        <w:rPr>
          <w:rFonts w:ascii="Times New Roman" w:eastAsiaTheme="minorHAnsi" w:hAnsi="Times New Roman" w:cs="Times New Roman"/>
          <w:b w:val="0"/>
          <w:bCs w:val="0"/>
          <w:color w:val="auto"/>
          <w:sz w:val="22"/>
          <w:szCs w:val="22"/>
        </w:rPr>
        <w:t>12d</w:t>
      </w:r>
      <w:proofErr w:type="gramEnd"/>
      <w:r>
        <w:rPr>
          <w:rFonts w:ascii="Times New Roman" w:eastAsiaTheme="minorHAnsi" w:hAnsi="Times New Roman" w:cs="Times New Roman"/>
          <w:b w:val="0"/>
          <w:bCs w:val="0"/>
          <w:color w:val="auto"/>
          <w:sz w:val="22"/>
          <w:szCs w:val="22"/>
        </w:rPr>
        <w:t xml:space="preserve"> odst. 2 energetického zákona se </w:t>
      </w:r>
      <w:r w:rsidR="002C579A">
        <w:rPr>
          <w:rFonts w:ascii="Times New Roman" w:eastAsiaTheme="minorHAnsi" w:hAnsi="Times New Roman" w:cs="Times New Roman"/>
          <w:b w:val="0"/>
          <w:bCs w:val="0"/>
          <w:color w:val="auto"/>
          <w:sz w:val="22"/>
          <w:szCs w:val="22"/>
        </w:rPr>
        <w:t xml:space="preserve">aplikuje </w:t>
      </w:r>
      <w:r w:rsidR="00025CA2">
        <w:rPr>
          <w:rFonts w:ascii="Times New Roman" w:eastAsiaTheme="minorHAnsi" w:hAnsi="Times New Roman" w:cs="Times New Roman"/>
          <w:b w:val="0"/>
          <w:bCs w:val="0"/>
          <w:color w:val="auto"/>
          <w:sz w:val="22"/>
          <w:szCs w:val="22"/>
        </w:rPr>
        <w:t>modifikovaný</w:t>
      </w:r>
      <w:r w:rsidR="00C509A1">
        <w:rPr>
          <w:rFonts w:ascii="Times New Roman" w:eastAsiaTheme="minorHAnsi" w:hAnsi="Times New Roman" w:cs="Times New Roman"/>
          <w:b w:val="0"/>
          <w:bCs w:val="0"/>
          <w:color w:val="auto"/>
          <w:sz w:val="22"/>
          <w:szCs w:val="22"/>
        </w:rPr>
        <w:t xml:space="preserve"> a </w:t>
      </w:r>
      <w:r w:rsidR="00902B39">
        <w:rPr>
          <w:rFonts w:ascii="Times New Roman" w:eastAsiaTheme="minorHAnsi" w:hAnsi="Times New Roman" w:cs="Times New Roman"/>
          <w:b w:val="0"/>
          <w:bCs w:val="0"/>
          <w:color w:val="auto"/>
          <w:sz w:val="22"/>
          <w:szCs w:val="22"/>
        </w:rPr>
        <w:t>z</w:t>
      </w:r>
      <w:r w:rsidR="00C509A1">
        <w:rPr>
          <w:rFonts w:ascii="Times New Roman" w:eastAsiaTheme="minorHAnsi" w:hAnsi="Times New Roman" w:cs="Times New Roman"/>
          <w:b w:val="0"/>
          <w:bCs w:val="0"/>
          <w:color w:val="auto"/>
          <w:sz w:val="22"/>
          <w:szCs w:val="22"/>
        </w:rPr>
        <w:t> </w:t>
      </w:r>
      <w:r w:rsidR="00902B39">
        <w:rPr>
          <w:rFonts w:ascii="Times New Roman" w:eastAsiaTheme="minorHAnsi" w:hAnsi="Times New Roman" w:cs="Times New Roman"/>
          <w:b w:val="0"/>
          <w:bCs w:val="0"/>
          <w:color w:val="auto"/>
          <w:sz w:val="22"/>
          <w:szCs w:val="22"/>
        </w:rPr>
        <w:t xml:space="preserve">pohledu systémové implementace účastníků trhu </w:t>
      </w:r>
      <w:r w:rsidR="002C579A">
        <w:rPr>
          <w:rFonts w:ascii="Times New Roman" w:eastAsiaTheme="minorHAnsi" w:hAnsi="Times New Roman" w:cs="Times New Roman"/>
          <w:b w:val="0"/>
          <w:bCs w:val="0"/>
          <w:color w:val="auto"/>
          <w:sz w:val="22"/>
          <w:szCs w:val="22"/>
        </w:rPr>
        <w:t>zcela nový postup</w:t>
      </w:r>
      <w:r w:rsidR="00025CA2">
        <w:rPr>
          <w:rFonts w:ascii="Times New Roman" w:eastAsiaTheme="minorHAnsi" w:hAnsi="Times New Roman" w:cs="Times New Roman"/>
          <w:b w:val="0"/>
          <w:bCs w:val="0"/>
          <w:color w:val="auto"/>
          <w:sz w:val="22"/>
          <w:szCs w:val="22"/>
        </w:rPr>
        <w:t xml:space="preserve"> změny dodavatel z DPI</w:t>
      </w:r>
      <w:r w:rsidR="00406B10">
        <w:rPr>
          <w:rFonts w:ascii="Times New Roman" w:eastAsiaTheme="minorHAnsi" w:hAnsi="Times New Roman" w:cs="Times New Roman"/>
          <w:b w:val="0"/>
          <w:bCs w:val="0"/>
          <w:color w:val="auto"/>
          <w:sz w:val="22"/>
          <w:szCs w:val="22"/>
        </w:rPr>
        <w:t>.</w:t>
      </w:r>
      <w:r w:rsidR="00902B39">
        <w:rPr>
          <w:rFonts w:ascii="Times New Roman" w:eastAsiaTheme="minorHAnsi" w:hAnsi="Times New Roman" w:cs="Times New Roman"/>
          <w:b w:val="0"/>
          <w:bCs w:val="0"/>
          <w:color w:val="auto"/>
          <w:sz w:val="22"/>
          <w:szCs w:val="22"/>
        </w:rPr>
        <w:t xml:space="preserve"> Z pohledu vyhlášky dojde k doplnění již vyhláškou stanoveného postupu</w:t>
      </w:r>
      <w:r w:rsidR="000A15BA">
        <w:rPr>
          <w:rFonts w:ascii="Times New Roman" w:eastAsiaTheme="minorHAnsi" w:hAnsi="Times New Roman" w:cs="Times New Roman"/>
          <w:b w:val="0"/>
          <w:bCs w:val="0"/>
          <w:color w:val="auto"/>
          <w:sz w:val="22"/>
          <w:szCs w:val="22"/>
        </w:rPr>
        <w:t>, který se uplatní pro zahájení dodávky v režimu přenesené odpovědnosti za odchylku po neoprávněném odběru.</w:t>
      </w:r>
    </w:p>
    <w:p w14:paraId="4DC7D98F" w14:textId="1C722BA5" w:rsidR="00460593" w:rsidRDefault="00406B10"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Pr>
          <w:rFonts w:ascii="Times New Roman" w:eastAsiaTheme="minorHAnsi" w:hAnsi="Times New Roman" w:cs="Times New Roman"/>
          <w:b w:val="0"/>
          <w:bCs w:val="0"/>
          <w:color w:val="auto"/>
          <w:sz w:val="22"/>
          <w:szCs w:val="22"/>
        </w:rPr>
        <w:t xml:space="preserve">Dodavatel elektřiny podává žádost na změnu dodavatele z dodavatele poslední instance u zákazníků podle § </w:t>
      </w:r>
      <w:proofErr w:type="gramStart"/>
      <w:r>
        <w:rPr>
          <w:rFonts w:ascii="Times New Roman" w:eastAsiaTheme="minorHAnsi" w:hAnsi="Times New Roman" w:cs="Times New Roman"/>
          <w:b w:val="0"/>
          <w:bCs w:val="0"/>
          <w:color w:val="auto"/>
          <w:sz w:val="22"/>
          <w:szCs w:val="22"/>
        </w:rPr>
        <w:t>12d</w:t>
      </w:r>
      <w:proofErr w:type="gramEnd"/>
      <w:r>
        <w:rPr>
          <w:rFonts w:ascii="Times New Roman" w:eastAsiaTheme="minorHAnsi" w:hAnsi="Times New Roman" w:cs="Times New Roman"/>
          <w:b w:val="0"/>
          <w:bCs w:val="0"/>
          <w:color w:val="auto"/>
          <w:sz w:val="22"/>
          <w:szCs w:val="22"/>
        </w:rPr>
        <w:t xml:space="preserve"> odst. 2 energetického zákona.  </w:t>
      </w:r>
    </w:p>
    <w:p w14:paraId="245850E6" w14:textId="22C6B8A0" w:rsidR="00724E24" w:rsidRPr="00337EFA" w:rsidRDefault="00724E24"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Pr>
          <w:rFonts w:ascii="Times New Roman" w:eastAsiaTheme="minorHAnsi" w:hAnsi="Times New Roman" w:cs="Times New Roman"/>
          <w:bCs w:val="0"/>
          <w:i/>
          <w:color w:val="auto"/>
          <w:sz w:val="22"/>
          <w:szCs w:val="22"/>
        </w:rPr>
        <w:t>Varianta III.</w:t>
      </w:r>
      <w:r w:rsidR="002C579A">
        <w:rPr>
          <w:rFonts w:ascii="Times New Roman" w:eastAsiaTheme="minorHAnsi" w:hAnsi="Times New Roman" w:cs="Times New Roman"/>
          <w:bCs w:val="0"/>
          <w:i/>
          <w:color w:val="auto"/>
          <w:sz w:val="22"/>
          <w:szCs w:val="22"/>
        </w:rPr>
        <w:t xml:space="preserve"> </w:t>
      </w:r>
      <w:r w:rsidR="002C579A">
        <w:rPr>
          <w:rFonts w:ascii="Times New Roman" w:eastAsiaTheme="minorHAnsi" w:hAnsi="Times New Roman" w:cs="Times New Roman"/>
          <w:b w:val="0"/>
          <w:bCs w:val="0"/>
          <w:color w:val="auto"/>
          <w:sz w:val="22"/>
          <w:szCs w:val="22"/>
        </w:rPr>
        <w:t xml:space="preserve">– U této varianty se nepředpokládají zásadní úpravy postupů stanovených vyhláškou, přičemž pro naplnění postupu podle § </w:t>
      </w:r>
      <w:proofErr w:type="gramStart"/>
      <w:r w:rsidR="002C579A">
        <w:rPr>
          <w:rFonts w:ascii="Times New Roman" w:eastAsiaTheme="minorHAnsi" w:hAnsi="Times New Roman" w:cs="Times New Roman"/>
          <w:b w:val="0"/>
          <w:bCs w:val="0"/>
          <w:color w:val="auto"/>
          <w:sz w:val="22"/>
          <w:szCs w:val="22"/>
        </w:rPr>
        <w:t>12d</w:t>
      </w:r>
      <w:proofErr w:type="gramEnd"/>
      <w:r w:rsidR="002C579A">
        <w:rPr>
          <w:rFonts w:ascii="Times New Roman" w:eastAsiaTheme="minorHAnsi" w:hAnsi="Times New Roman" w:cs="Times New Roman"/>
          <w:b w:val="0"/>
          <w:bCs w:val="0"/>
          <w:color w:val="auto"/>
          <w:sz w:val="22"/>
          <w:szCs w:val="22"/>
        </w:rPr>
        <w:t xml:space="preserve"> odst. 2 energetického zákona se využijí postupy pro prodloužení a zkrácení dodávky elektřiny dodavatelem.</w:t>
      </w:r>
    </w:p>
    <w:p w14:paraId="1159EF91" w14:textId="77777777" w:rsidR="002C579A" w:rsidRDefault="002C579A" w:rsidP="00237AFE">
      <w:pPr>
        <w:jc w:val="both"/>
        <w:rPr>
          <w:rFonts w:ascii="Times New Roman" w:eastAsiaTheme="majorEastAsia" w:hAnsi="Times New Roman" w:cs="Times New Roman"/>
          <w:b/>
          <w:bCs/>
          <w:u w:val="single"/>
        </w:rPr>
      </w:pPr>
    </w:p>
    <w:p w14:paraId="33294BEC" w14:textId="62988CAF" w:rsidR="002C579A" w:rsidRPr="003D7FBF" w:rsidRDefault="002C579A" w:rsidP="00237AFE">
      <w:pPr>
        <w:jc w:val="both"/>
        <w:rPr>
          <w:rFonts w:ascii="Times New Roman" w:eastAsiaTheme="majorEastAsia" w:hAnsi="Times New Roman" w:cs="Times New Roman"/>
          <w:b/>
          <w:bCs/>
          <w:u w:val="single"/>
        </w:rPr>
      </w:pPr>
      <w:r w:rsidRPr="003D7FBF">
        <w:rPr>
          <w:rFonts w:ascii="Times New Roman" w:eastAsiaTheme="majorEastAsia" w:hAnsi="Times New Roman" w:cs="Times New Roman"/>
          <w:b/>
          <w:bCs/>
          <w:u w:val="single"/>
        </w:rPr>
        <w:t>Vyhodnocení nákladů a přínosů</w:t>
      </w:r>
    </w:p>
    <w:p w14:paraId="5252687C" w14:textId="77777777" w:rsidR="002C579A" w:rsidRPr="003D7FBF" w:rsidRDefault="002C579A" w:rsidP="00237AFE">
      <w:pPr>
        <w:jc w:val="both"/>
        <w:rPr>
          <w:rFonts w:ascii="Times New Roman" w:hAnsi="Times New Roman" w:cs="Times New Roman"/>
          <w:b/>
          <w:u w:val="single"/>
        </w:rPr>
      </w:pPr>
      <w:r w:rsidRPr="003D7FBF">
        <w:rPr>
          <w:rFonts w:ascii="Times New Roman" w:hAnsi="Times New Roman" w:cs="Times New Roman"/>
          <w:b/>
          <w:u w:val="single"/>
        </w:rPr>
        <w:t>Náklady</w:t>
      </w:r>
    </w:p>
    <w:p w14:paraId="3E7F4F63" w14:textId="3067E672" w:rsidR="002C579A" w:rsidRDefault="002C579A" w:rsidP="00237AFE">
      <w:pPr>
        <w:jc w:val="both"/>
        <w:rPr>
          <w:rFonts w:ascii="Times New Roman" w:hAnsi="Times New Roman" w:cs="Times New Roman"/>
        </w:rPr>
      </w:pPr>
      <w:r>
        <w:rPr>
          <w:rFonts w:ascii="Times New Roman" w:hAnsi="Times New Roman" w:cs="Times New Roman"/>
        </w:rPr>
        <w:t xml:space="preserve">Varianta I. – U této varianty se </w:t>
      </w:r>
      <w:r w:rsidR="00DB0D66">
        <w:rPr>
          <w:rFonts w:ascii="Times New Roman" w:hAnsi="Times New Roman" w:cs="Times New Roman"/>
        </w:rPr>
        <w:t>ne</w:t>
      </w:r>
      <w:r>
        <w:rPr>
          <w:rFonts w:ascii="Times New Roman" w:hAnsi="Times New Roman" w:cs="Times New Roman"/>
        </w:rPr>
        <w:t xml:space="preserve">očekávají náklady na straně účastníků trhu, které mohou být vyvolány modifikací postupu změny dodavatele.  </w:t>
      </w:r>
      <w:r w:rsidR="00DA5AF0">
        <w:rPr>
          <w:rFonts w:ascii="Times New Roman" w:hAnsi="Times New Roman" w:cs="Times New Roman"/>
        </w:rPr>
        <w:t>Není v souladu se zákonem, nejedná se o změnu dodavatele.</w:t>
      </w:r>
    </w:p>
    <w:p w14:paraId="351569D9" w14:textId="32BE0FAF" w:rsidR="002C579A" w:rsidRDefault="002C579A" w:rsidP="00237AFE">
      <w:pPr>
        <w:jc w:val="both"/>
        <w:rPr>
          <w:rFonts w:ascii="Times New Roman" w:hAnsi="Times New Roman" w:cs="Times New Roman"/>
        </w:rPr>
      </w:pPr>
      <w:r>
        <w:rPr>
          <w:rFonts w:ascii="Times New Roman" w:hAnsi="Times New Roman" w:cs="Times New Roman"/>
        </w:rPr>
        <w:t xml:space="preserve">Varianta II. – U této varianty se očekávají náklady na straně účastníků trhu, které budou vyvolány zavedením </w:t>
      </w:r>
      <w:r w:rsidR="00CE086E">
        <w:rPr>
          <w:rFonts w:ascii="Times New Roman" w:hAnsi="Times New Roman" w:cs="Times New Roman"/>
        </w:rPr>
        <w:t>modifikovaného</w:t>
      </w:r>
      <w:r>
        <w:rPr>
          <w:rFonts w:ascii="Times New Roman" w:hAnsi="Times New Roman" w:cs="Times New Roman"/>
        </w:rPr>
        <w:t xml:space="preserve"> postupu</w:t>
      </w:r>
      <w:r w:rsidR="00C754BA">
        <w:rPr>
          <w:rFonts w:ascii="Times New Roman" w:hAnsi="Times New Roman" w:cs="Times New Roman"/>
        </w:rPr>
        <w:t xml:space="preserve"> upravujícího přechod zákazníků z režimu dodávky dodavatelem poslední instance na </w:t>
      </w:r>
      <w:r w:rsidR="00406B10">
        <w:rPr>
          <w:rFonts w:ascii="Times New Roman" w:hAnsi="Times New Roman" w:cs="Times New Roman"/>
        </w:rPr>
        <w:t>tzv. standardní dodávku elektřiny.</w:t>
      </w:r>
      <w:r w:rsidR="00AF7810" w:rsidRPr="00AF7810">
        <w:rPr>
          <w:rFonts w:ascii="Times New Roman" w:hAnsi="Times New Roman" w:cs="Times New Roman"/>
        </w:rPr>
        <w:t xml:space="preserve"> </w:t>
      </w:r>
      <w:r w:rsidR="00AF7810">
        <w:rPr>
          <w:rFonts w:ascii="Times New Roman" w:hAnsi="Times New Roman" w:cs="Times New Roman"/>
        </w:rPr>
        <w:t xml:space="preserve">Tyto náklady </w:t>
      </w:r>
      <w:r w:rsidR="00DA5AF0">
        <w:rPr>
          <w:rFonts w:ascii="Times New Roman" w:hAnsi="Times New Roman" w:cs="Times New Roman"/>
        </w:rPr>
        <w:t>jsou eliminovány maximálním využitím stávajících postupů</w:t>
      </w:r>
      <w:r w:rsidR="007F059F">
        <w:rPr>
          <w:rFonts w:ascii="Times New Roman" w:hAnsi="Times New Roman" w:cs="Times New Roman"/>
        </w:rPr>
        <w:t>.</w:t>
      </w:r>
    </w:p>
    <w:p w14:paraId="69D59CE1" w14:textId="31AF9960" w:rsidR="002C579A" w:rsidRPr="003D7FBF" w:rsidRDefault="002C579A" w:rsidP="00237AFE">
      <w:pPr>
        <w:jc w:val="both"/>
        <w:rPr>
          <w:rFonts w:ascii="Times New Roman" w:hAnsi="Times New Roman" w:cs="Times New Roman"/>
        </w:rPr>
      </w:pPr>
      <w:r>
        <w:rPr>
          <w:rFonts w:ascii="Times New Roman" w:hAnsi="Times New Roman" w:cs="Times New Roman"/>
        </w:rPr>
        <w:t xml:space="preserve">Varianta III. </w:t>
      </w:r>
      <w:r w:rsidR="00AF7810">
        <w:rPr>
          <w:rFonts w:ascii="Times New Roman" w:hAnsi="Times New Roman" w:cs="Times New Roman"/>
        </w:rPr>
        <w:t xml:space="preserve">– U této varianty se </w:t>
      </w:r>
      <w:r w:rsidR="00DB0D66">
        <w:rPr>
          <w:rFonts w:ascii="Times New Roman" w:hAnsi="Times New Roman" w:cs="Times New Roman"/>
        </w:rPr>
        <w:t>ne</w:t>
      </w:r>
      <w:r w:rsidR="00AF7810">
        <w:rPr>
          <w:rFonts w:ascii="Times New Roman" w:hAnsi="Times New Roman" w:cs="Times New Roman"/>
        </w:rPr>
        <w:t xml:space="preserve">očekávají náklady na straně účastníků trhu, které mohou být vyvolány modifikací postupu změny dodavatele. </w:t>
      </w:r>
      <w:r w:rsidR="00DA5AF0" w:rsidRPr="00DA5AF0">
        <w:rPr>
          <w:rFonts w:ascii="Times New Roman" w:hAnsi="Times New Roman" w:cs="Times New Roman"/>
        </w:rPr>
        <w:t xml:space="preserve"> </w:t>
      </w:r>
      <w:r w:rsidR="00997278">
        <w:rPr>
          <w:rFonts w:ascii="Times New Roman" w:hAnsi="Times New Roman" w:cs="Times New Roman"/>
        </w:rPr>
        <w:t>Tato varianta n</w:t>
      </w:r>
      <w:r w:rsidR="00DA5AF0">
        <w:rPr>
          <w:rFonts w:ascii="Times New Roman" w:hAnsi="Times New Roman" w:cs="Times New Roman"/>
        </w:rPr>
        <w:t>ení v souladu se zákonem, nejedná se o</w:t>
      </w:r>
      <w:r w:rsidR="00997278">
        <w:rPr>
          <w:rFonts w:ascii="Times New Roman" w:hAnsi="Times New Roman" w:cs="Times New Roman"/>
        </w:rPr>
        <w:t> </w:t>
      </w:r>
      <w:r w:rsidR="001061DF">
        <w:rPr>
          <w:rFonts w:ascii="Times New Roman" w:hAnsi="Times New Roman" w:cs="Times New Roman"/>
        </w:rPr>
        <w:t>prodloužení dodávky DPI</w:t>
      </w:r>
      <w:r w:rsidR="00DA5AF0">
        <w:rPr>
          <w:rFonts w:ascii="Times New Roman" w:hAnsi="Times New Roman" w:cs="Times New Roman"/>
        </w:rPr>
        <w:t xml:space="preserve">, podle § </w:t>
      </w:r>
      <w:proofErr w:type="gramStart"/>
      <w:r w:rsidR="00DA5AF0">
        <w:rPr>
          <w:rFonts w:ascii="Times New Roman" w:hAnsi="Times New Roman" w:cs="Times New Roman"/>
        </w:rPr>
        <w:t>12d</w:t>
      </w:r>
      <w:proofErr w:type="gramEnd"/>
      <w:r w:rsidR="00DA5AF0">
        <w:rPr>
          <w:rFonts w:ascii="Times New Roman" w:hAnsi="Times New Roman" w:cs="Times New Roman"/>
        </w:rPr>
        <w:t xml:space="preserve"> odst. 2 vzniká nový závazek ze zákona.</w:t>
      </w:r>
    </w:p>
    <w:p w14:paraId="118A7E5B" w14:textId="0FDFBDD6" w:rsidR="002C579A" w:rsidRDefault="002C579A" w:rsidP="00237AFE">
      <w:pPr>
        <w:jc w:val="both"/>
        <w:rPr>
          <w:rFonts w:ascii="Times New Roman" w:hAnsi="Times New Roman" w:cs="Times New Roman"/>
          <w:b/>
          <w:u w:val="single"/>
        </w:rPr>
      </w:pPr>
      <w:r w:rsidRPr="003D7FBF">
        <w:rPr>
          <w:rFonts w:ascii="Times New Roman" w:hAnsi="Times New Roman" w:cs="Times New Roman"/>
          <w:b/>
          <w:u w:val="single"/>
        </w:rPr>
        <w:t>Přínosy</w:t>
      </w:r>
    </w:p>
    <w:p w14:paraId="15826BE6" w14:textId="4721283F" w:rsidR="00AF7810" w:rsidRDefault="00AF7810" w:rsidP="00237AFE">
      <w:pPr>
        <w:jc w:val="both"/>
        <w:rPr>
          <w:rFonts w:ascii="Times New Roman" w:hAnsi="Times New Roman" w:cs="Times New Roman"/>
        </w:rPr>
      </w:pPr>
      <w:r>
        <w:rPr>
          <w:rFonts w:ascii="Times New Roman" w:hAnsi="Times New Roman" w:cs="Times New Roman"/>
        </w:rPr>
        <w:t>Varianta I.</w:t>
      </w:r>
      <w:r w:rsidR="00902B39">
        <w:rPr>
          <w:rFonts w:ascii="Times New Roman" w:hAnsi="Times New Roman" w:cs="Times New Roman"/>
        </w:rPr>
        <w:t xml:space="preserve"> </w:t>
      </w:r>
      <w:r w:rsidR="001061DF">
        <w:rPr>
          <w:rFonts w:ascii="Times New Roman" w:hAnsi="Times New Roman" w:cs="Times New Roman"/>
        </w:rPr>
        <w:t>– existující postup, zavedená aplikace</w:t>
      </w:r>
      <w:r w:rsidR="00337EFA">
        <w:rPr>
          <w:rFonts w:ascii="Times New Roman" w:hAnsi="Times New Roman" w:cs="Times New Roman"/>
        </w:rPr>
        <w:t>.</w:t>
      </w:r>
      <w:r w:rsidR="00902B39">
        <w:rPr>
          <w:rFonts w:ascii="Times New Roman" w:hAnsi="Times New Roman" w:cs="Times New Roman"/>
        </w:rPr>
        <w:t xml:space="preserve"> </w:t>
      </w:r>
    </w:p>
    <w:p w14:paraId="33528E8C" w14:textId="74DDA998" w:rsidR="00AF7810" w:rsidRDefault="00AF7810" w:rsidP="00237AFE">
      <w:pPr>
        <w:jc w:val="both"/>
        <w:rPr>
          <w:rFonts w:ascii="Times New Roman" w:hAnsi="Times New Roman" w:cs="Times New Roman"/>
        </w:rPr>
      </w:pPr>
      <w:r>
        <w:rPr>
          <w:rFonts w:ascii="Times New Roman" w:hAnsi="Times New Roman" w:cs="Times New Roman"/>
        </w:rPr>
        <w:t>Varianta II.</w:t>
      </w:r>
      <w:r w:rsidR="001061DF">
        <w:rPr>
          <w:rFonts w:ascii="Times New Roman" w:hAnsi="Times New Roman" w:cs="Times New Roman"/>
        </w:rPr>
        <w:t xml:space="preserve"> - existující postup, zavedená aplikace. Podchycuje </w:t>
      </w:r>
      <w:r w:rsidR="00D96104">
        <w:rPr>
          <w:rFonts w:ascii="Times New Roman" w:hAnsi="Times New Roman" w:cs="Times New Roman"/>
        </w:rPr>
        <w:t xml:space="preserve">a eliminuje </w:t>
      </w:r>
      <w:r w:rsidR="006A632E">
        <w:rPr>
          <w:rFonts w:ascii="Times New Roman" w:hAnsi="Times New Roman" w:cs="Times New Roman"/>
        </w:rPr>
        <w:t>technické nedostatky, které mohou být v rozporu s právní realitou.</w:t>
      </w:r>
      <w:r w:rsidR="00CE086E">
        <w:rPr>
          <w:rFonts w:ascii="Times New Roman" w:hAnsi="Times New Roman" w:cs="Times New Roman"/>
        </w:rPr>
        <w:t xml:space="preserve"> </w:t>
      </w:r>
      <w:r w:rsidR="008D4BD9">
        <w:rPr>
          <w:rFonts w:ascii="Times New Roman" w:hAnsi="Times New Roman" w:cs="Times New Roman"/>
        </w:rPr>
        <w:t>Je v souladu se zákonnou úpravou.</w:t>
      </w:r>
    </w:p>
    <w:p w14:paraId="7E3337B1" w14:textId="3DAF4D5D" w:rsidR="00AF7810" w:rsidRPr="00337EFA" w:rsidRDefault="00AF7810" w:rsidP="00237AFE">
      <w:pPr>
        <w:jc w:val="both"/>
        <w:rPr>
          <w:rFonts w:ascii="Times New Roman" w:hAnsi="Times New Roman" w:cs="Times New Roman"/>
        </w:rPr>
      </w:pPr>
      <w:r>
        <w:rPr>
          <w:rFonts w:ascii="Times New Roman" w:hAnsi="Times New Roman" w:cs="Times New Roman"/>
        </w:rPr>
        <w:t>Varianta III.</w:t>
      </w:r>
      <w:r w:rsidR="001061DF" w:rsidRPr="001061DF">
        <w:rPr>
          <w:rFonts w:ascii="Times New Roman" w:hAnsi="Times New Roman" w:cs="Times New Roman"/>
        </w:rPr>
        <w:t xml:space="preserve"> </w:t>
      </w:r>
      <w:r w:rsidR="001061DF">
        <w:rPr>
          <w:rFonts w:ascii="Times New Roman" w:hAnsi="Times New Roman" w:cs="Times New Roman"/>
        </w:rPr>
        <w:t>- existující postup, zavedená aplikace.</w:t>
      </w:r>
    </w:p>
    <w:p w14:paraId="59628BD3" w14:textId="77777777" w:rsidR="00C80713" w:rsidRDefault="00C80713"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349B14F0" w14:textId="77777777" w:rsidR="00C80713" w:rsidRPr="00337421" w:rsidRDefault="00C80713" w:rsidP="00237AFE">
      <w:pPr>
        <w:pStyle w:val="Odstavecseseznamem"/>
        <w:numPr>
          <w:ilvl w:val="0"/>
          <w:numId w:val="33"/>
        </w:numPr>
        <w:jc w:val="both"/>
        <w:rPr>
          <w:rFonts w:ascii="Times New Roman" w:hAnsi="Times New Roman" w:cs="Times New Roman"/>
          <w:u w:val="single"/>
        </w:rPr>
      </w:pPr>
      <w:r w:rsidRPr="00337421">
        <w:rPr>
          <w:rFonts w:ascii="Times New Roman" w:hAnsi="Times New Roman" w:cs="Times New Roman"/>
          <w:u w:val="single"/>
        </w:rPr>
        <w:t>Varianta II</w:t>
      </w:r>
    </w:p>
    <w:p w14:paraId="3C7F1B9F" w14:textId="0B6427EE" w:rsidR="00C80713" w:rsidRDefault="00C80713" w:rsidP="00237AFE">
      <w:pPr>
        <w:pStyle w:val="Odstavecseseznamem"/>
        <w:numPr>
          <w:ilvl w:val="0"/>
          <w:numId w:val="33"/>
        </w:numPr>
        <w:jc w:val="both"/>
        <w:rPr>
          <w:rFonts w:ascii="Times New Roman" w:hAnsi="Times New Roman" w:cs="Times New Roman"/>
          <w:u w:val="single"/>
        </w:rPr>
      </w:pPr>
      <w:r w:rsidRPr="00337421">
        <w:rPr>
          <w:rFonts w:ascii="Times New Roman" w:hAnsi="Times New Roman" w:cs="Times New Roman"/>
          <w:u w:val="single"/>
        </w:rPr>
        <w:t>Varianta I</w:t>
      </w:r>
    </w:p>
    <w:p w14:paraId="1C5C9A9F" w14:textId="24940D3C" w:rsidR="00C80713" w:rsidRPr="00337421" w:rsidRDefault="00C80713" w:rsidP="00237AFE">
      <w:pPr>
        <w:pStyle w:val="Odstavecseseznamem"/>
        <w:numPr>
          <w:ilvl w:val="0"/>
          <w:numId w:val="33"/>
        </w:numPr>
        <w:jc w:val="both"/>
        <w:rPr>
          <w:rFonts w:ascii="Times New Roman" w:hAnsi="Times New Roman" w:cs="Times New Roman"/>
          <w:u w:val="single"/>
        </w:rPr>
      </w:pPr>
      <w:r>
        <w:rPr>
          <w:rFonts w:ascii="Times New Roman" w:hAnsi="Times New Roman" w:cs="Times New Roman"/>
          <w:u w:val="single"/>
        </w:rPr>
        <w:t>Varianta III</w:t>
      </w:r>
    </w:p>
    <w:p w14:paraId="735373D5" w14:textId="11919C55" w:rsidR="00C80713" w:rsidRDefault="00C80713"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sidRPr="006919B2">
        <w:rPr>
          <w:rFonts w:ascii="Times New Roman" w:eastAsiaTheme="minorHAnsi" w:hAnsi="Times New Roman" w:cs="Times New Roman"/>
          <w:b w:val="0"/>
          <w:bCs w:val="0"/>
          <w:color w:val="auto"/>
          <w:sz w:val="22"/>
          <w:szCs w:val="22"/>
        </w:rPr>
        <w:t xml:space="preserve">Navrhujeme postupovat dle varianty II., která zajistí žádoucí stav, tedy </w:t>
      </w:r>
      <w:r>
        <w:rPr>
          <w:rFonts w:ascii="Times New Roman" w:eastAsiaTheme="minorHAnsi" w:hAnsi="Times New Roman" w:cs="Times New Roman"/>
          <w:b w:val="0"/>
          <w:bCs w:val="0"/>
          <w:color w:val="auto"/>
          <w:sz w:val="22"/>
          <w:szCs w:val="22"/>
        </w:rPr>
        <w:t>přispěje k vyšší</w:t>
      </w:r>
      <w:r w:rsidRPr="006919B2">
        <w:rPr>
          <w:rFonts w:ascii="Times New Roman" w:eastAsiaTheme="minorHAnsi" w:hAnsi="Times New Roman" w:cs="Times New Roman"/>
          <w:b w:val="0"/>
          <w:bCs w:val="0"/>
          <w:color w:val="auto"/>
          <w:sz w:val="22"/>
          <w:szCs w:val="22"/>
        </w:rPr>
        <w:t xml:space="preserve"> stabi</w:t>
      </w:r>
      <w:r>
        <w:rPr>
          <w:rFonts w:ascii="Times New Roman" w:eastAsiaTheme="minorHAnsi" w:hAnsi="Times New Roman" w:cs="Times New Roman"/>
          <w:b w:val="0"/>
          <w:bCs w:val="0"/>
          <w:color w:val="auto"/>
          <w:sz w:val="22"/>
          <w:szCs w:val="22"/>
        </w:rPr>
        <w:t>litě</w:t>
      </w:r>
      <w:r w:rsidRPr="006919B2">
        <w:rPr>
          <w:rFonts w:ascii="Times New Roman" w:eastAsiaTheme="minorHAnsi" w:hAnsi="Times New Roman" w:cs="Times New Roman"/>
          <w:b w:val="0"/>
          <w:bCs w:val="0"/>
          <w:color w:val="auto"/>
          <w:sz w:val="22"/>
          <w:szCs w:val="22"/>
        </w:rPr>
        <w:t xml:space="preserve"> prostředí</w:t>
      </w:r>
      <w:r>
        <w:rPr>
          <w:rFonts w:ascii="Times New Roman" w:eastAsiaTheme="minorHAnsi" w:hAnsi="Times New Roman" w:cs="Times New Roman"/>
          <w:b w:val="0"/>
          <w:bCs w:val="0"/>
          <w:color w:val="auto"/>
          <w:sz w:val="22"/>
          <w:szCs w:val="22"/>
        </w:rPr>
        <w:t xml:space="preserve"> na</w:t>
      </w:r>
      <w:r w:rsidRPr="006919B2">
        <w:rPr>
          <w:rFonts w:ascii="Times New Roman" w:eastAsiaTheme="minorHAnsi" w:hAnsi="Times New Roman" w:cs="Times New Roman"/>
          <w:b w:val="0"/>
          <w:bCs w:val="0"/>
          <w:color w:val="auto"/>
          <w:sz w:val="22"/>
          <w:szCs w:val="22"/>
        </w:rPr>
        <w:t xml:space="preserve"> trhu s</w:t>
      </w:r>
      <w:r>
        <w:rPr>
          <w:rFonts w:ascii="Times New Roman" w:eastAsiaTheme="minorHAnsi" w:hAnsi="Times New Roman" w:cs="Times New Roman"/>
          <w:b w:val="0"/>
          <w:bCs w:val="0"/>
          <w:color w:val="auto"/>
          <w:sz w:val="22"/>
          <w:szCs w:val="22"/>
        </w:rPr>
        <w:t> </w:t>
      </w:r>
      <w:r w:rsidRPr="006919B2">
        <w:rPr>
          <w:rFonts w:ascii="Times New Roman" w:eastAsiaTheme="minorHAnsi" w:hAnsi="Times New Roman" w:cs="Times New Roman"/>
          <w:b w:val="0"/>
          <w:bCs w:val="0"/>
          <w:color w:val="auto"/>
          <w:sz w:val="22"/>
          <w:szCs w:val="22"/>
        </w:rPr>
        <w:t>elektřinou</w:t>
      </w:r>
      <w:r>
        <w:rPr>
          <w:rFonts w:ascii="Times New Roman" w:eastAsiaTheme="minorHAnsi" w:hAnsi="Times New Roman" w:cs="Times New Roman"/>
          <w:b w:val="0"/>
          <w:bCs w:val="0"/>
          <w:color w:val="auto"/>
          <w:sz w:val="22"/>
          <w:szCs w:val="22"/>
        </w:rPr>
        <w:t xml:space="preserve"> a zajistí soulad postupů stanovených vyhláškou s novelou energetického zákona č. </w:t>
      </w:r>
      <w:r w:rsidR="00200741">
        <w:rPr>
          <w:rFonts w:ascii="Times New Roman" w:eastAsiaTheme="minorHAnsi" w:hAnsi="Times New Roman" w:cs="Times New Roman"/>
          <w:b w:val="0"/>
          <w:bCs w:val="0"/>
          <w:color w:val="auto"/>
          <w:sz w:val="22"/>
          <w:szCs w:val="22"/>
        </w:rPr>
        <w:t>176</w:t>
      </w:r>
      <w:r>
        <w:rPr>
          <w:rFonts w:ascii="Times New Roman" w:eastAsiaTheme="minorHAnsi" w:hAnsi="Times New Roman" w:cs="Times New Roman"/>
          <w:b w:val="0"/>
          <w:bCs w:val="0"/>
          <w:color w:val="auto"/>
          <w:sz w:val="22"/>
          <w:szCs w:val="22"/>
        </w:rPr>
        <w:t>/2022 Sb</w:t>
      </w:r>
      <w:r w:rsidRPr="006919B2">
        <w:rPr>
          <w:rFonts w:ascii="Times New Roman" w:eastAsiaTheme="minorHAnsi" w:hAnsi="Times New Roman" w:cs="Times New Roman"/>
          <w:b w:val="0"/>
          <w:bCs w:val="0"/>
          <w:color w:val="auto"/>
          <w:sz w:val="22"/>
          <w:szCs w:val="22"/>
        </w:rPr>
        <w:t>.</w:t>
      </w:r>
    </w:p>
    <w:p w14:paraId="13F12BDE" w14:textId="02B9FFB3" w:rsidR="00724E24" w:rsidRDefault="00C80713"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sidRPr="00337EFA">
        <w:rPr>
          <w:rFonts w:ascii="Times New Roman" w:eastAsiaTheme="minorHAnsi" w:hAnsi="Times New Roman" w:cs="Times New Roman"/>
          <w:b w:val="0"/>
          <w:bCs w:val="0"/>
          <w:color w:val="auto"/>
          <w:sz w:val="22"/>
          <w:szCs w:val="22"/>
        </w:rPr>
        <w:t>Zvolená varianta nemá dopady na státní rozpočet. Zvolená varianta má dopady do podnikatelského prostředí, jelikož si vynucuje úpravu informačních systémů některých dotčených skupin osob. Zvolená varianta nemá sociální dopady. Zvolená varianta nemá dopady ve vztahu k zákazu diskriminace a ve vztahu k rovnosti žen a mužů, nemá dopady ani na výkon státní statistické služby. Dodatečné dopady ve vztahu k ochraně soukromí a osobních údajů nejsou vyvolány, právní titul zůstává stávající.</w:t>
      </w:r>
      <w:r w:rsidR="00BB6C56" w:rsidRPr="00337EFA">
        <w:rPr>
          <w:rFonts w:ascii="Times New Roman" w:eastAsiaTheme="minorHAnsi" w:hAnsi="Times New Roman" w:cs="Times New Roman"/>
          <w:b w:val="0"/>
          <w:bCs w:val="0"/>
          <w:color w:val="auto"/>
          <w:sz w:val="22"/>
          <w:szCs w:val="22"/>
        </w:rPr>
        <w:t xml:space="preserve"> </w:t>
      </w:r>
      <w:r w:rsidRPr="00337EFA">
        <w:rPr>
          <w:rFonts w:ascii="Times New Roman" w:eastAsiaTheme="minorHAnsi" w:hAnsi="Times New Roman" w:cs="Times New Roman"/>
          <w:b w:val="0"/>
          <w:bCs w:val="0"/>
          <w:color w:val="auto"/>
          <w:sz w:val="22"/>
          <w:szCs w:val="22"/>
        </w:rPr>
        <w:t>Zvolená varianta nepředpokládá jakékoliv dopady na míru korupce, navrhované změny de facto neumožňují vznik korupčního prostředí. Návrh vyhlášky nepředpokládá založení korupčních rizik ani jejich nárůst. Zvolená varianta s ohledem na svůj obsah nemá dopady na bezpečnost a obranu státu.</w:t>
      </w:r>
    </w:p>
    <w:p w14:paraId="3493168C" w14:textId="77777777" w:rsidR="00337EFA" w:rsidRPr="00337EFA" w:rsidRDefault="00337EFA"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p>
    <w:p w14:paraId="00ED4AB2" w14:textId="02362D52" w:rsidR="007C2EA9" w:rsidRPr="003D7FBF" w:rsidRDefault="00337EFA" w:rsidP="00237AFE">
      <w:pPr>
        <w:pStyle w:val="Nadpis2-zvren"/>
        <w:numPr>
          <w:ilvl w:val="0"/>
          <w:numId w:val="0"/>
        </w:numPr>
        <w:spacing w:after="120" w:line="276" w:lineRule="auto"/>
        <w:rPr>
          <w:rFonts w:ascii="Times New Roman" w:eastAsiaTheme="minorHAnsi" w:hAnsi="Times New Roman" w:cs="Times New Roman"/>
          <w:b w:val="0"/>
          <w:bCs w:val="0"/>
          <w:color w:val="auto"/>
          <w:sz w:val="22"/>
          <w:szCs w:val="22"/>
        </w:rPr>
      </w:pPr>
      <w:r w:rsidRPr="003D7FBF">
        <w:rPr>
          <w:rFonts w:ascii="Times New Roman" w:eastAsiaTheme="minorHAnsi" w:hAnsi="Times New Roman" w:cs="Times New Roman"/>
          <w:bCs w:val="0"/>
          <w:color w:val="auto"/>
          <w:sz w:val="22"/>
          <w:szCs w:val="22"/>
        </w:rPr>
        <w:t>2.1.</w:t>
      </w:r>
      <w:r>
        <w:rPr>
          <w:rFonts w:ascii="Times New Roman" w:eastAsiaTheme="minorHAnsi" w:hAnsi="Times New Roman" w:cs="Times New Roman"/>
          <w:bCs w:val="0"/>
          <w:color w:val="auto"/>
          <w:sz w:val="22"/>
          <w:szCs w:val="22"/>
        </w:rPr>
        <w:t xml:space="preserve">6 </w:t>
      </w:r>
      <w:r w:rsidR="001048D4" w:rsidRPr="003D7FBF">
        <w:rPr>
          <w:rFonts w:ascii="Times New Roman" w:eastAsiaTheme="minorHAnsi" w:hAnsi="Times New Roman" w:cs="Times New Roman"/>
          <w:bCs w:val="0"/>
          <w:color w:val="auto"/>
          <w:sz w:val="22"/>
          <w:szCs w:val="22"/>
        </w:rPr>
        <w:t>Změna registrace předáv</w:t>
      </w:r>
      <w:r w:rsidR="003D7FBF" w:rsidRPr="003D7FBF">
        <w:rPr>
          <w:rFonts w:ascii="Times New Roman" w:eastAsiaTheme="minorHAnsi" w:hAnsi="Times New Roman" w:cs="Times New Roman"/>
          <w:bCs w:val="0"/>
          <w:color w:val="auto"/>
          <w:sz w:val="22"/>
          <w:szCs w:val="22"/>
        </w:rPr>
        <w:t>acího místa výrobny elektřiny</w:t>
      </w:r>
    </w:p>
    <w:p w14:paraId="0DCE8DF9" w14:textId="31ACA3D0" w:rsidR="00EC2F77" w:rsidRPr="003D7FBF" w:rsidRDefault="00EC2F77" w:rsidP="00237AFE">
      <w:pPr>
        <w:jc w:val="both"/>
        <w:rPr>
          <w:rFonts w:ascii="Times New Roman" w:hAnsi="Times New Roman" w:cs="Times New Roman"/>
          <w:b/>
          <w:bCs/>
        </w:rPr>
      </w:pPr>
      <w:r w:rsidRPr="003D7FBF">
        <w:rPr>
          <w:rFonts w:ascii="Times New Roman" w:hAnsi="Times New Roman" w:cs="Times New Roman"/>
          <w:b/>
          <w:i/>
        </w:rPr>
        <w:t>Varianta I</w:t>
      </w:r>
      <w:r w:rsidRPr="003D7FBF">
        <w:rPr>
          <w:rFonts w:ascii="Times New Roman" w:hAnsi="Times New Roman" w:cs="Times New Roman"/>
        </w:rPr>
        <w:t xml:space="preserve">. – </w:t>
      </w:r>
      <w:r w:rsidR="003D7FBF" w:rsidRPr="003D7FBF">
        <w:rPr>
          <w:rFonts w:ascii="Times New Roman" w:hAnsi="Times New Roman" w:cs="Times New Roman"/>
        </w:rPr>
        <w:t>Neimplementovat možnost registrace předávacího místa s tzv. výrobním EAN, u</w:t>
      </w:r>
      <w:r w:rsidR="00200741">
        <w:rPr>
          <w:rFonts w:ascii="Times New Roman" w:hAnsi="Times New Roman" w:cs="Times New Roman"/>
        </w:rPr>
        <w:t> </w:t>
      </w:r>
      <w:r w:rsidR="003D7FBF" w:rsidRPr="003D7FBF">
        <w:rPr>
          <w:rFonts w:ascii="Times New Roman" w:hAnsi="Times New Roman" w:cs="Times New Roman"/>
        </w:rPr>
        <w:t>zákazníků, kteří provozují výrobu elektřiny podle § 28 odst. 5 energetického zákona a tuto výrobnu připojí s nenulovým rezervovaným výkonem.</w:t>
      </w:r>
      <w:r w:rsidR="00B1157E">
        <w:rPr>
          <w:rFonts w:ascii="Times New Roman" w:hAnsi="Times New Roman" w:cs="Times New Roman"/>
        </w:rPr>
        <w:t xml:space="preserve"> Tato varianta neumožní rozvoj aktivních zákazníků a správnou implementaci systému </w:t>
      </w:r>
      <w:r w:rsidR="00B1157E" w:rsidRPr="00B1157E">
        <w:rPr>
          <w:rFonts w:ascii="Times New Roman" w:hAnsi="Times New Roman" w:cs="Times New Roman"/>
        </w:rPr>
        <w:t>předávání údajů pro zúčtování odchylek a pro vyúčtování pro</w:t>
      </w:r>
      <w:r w:rsidR="00200741">
        <w:rPr>
          <w:rFonts w:ascii="Times New Roman" w:hAnsi="Times New Roman" w:cs="Times New Roman"/>
        </w:rPr>
        <w:t> </w:t>
      </w:r>
      <w:r w:rsidR="00B1157E" w:rsidRPr="00B1157E">
        <w:rPr>
          <w:rFonts w:ascii="Times New Roman" w:hAnsi="Times New Roman" w:cs="Times New Roman"/>
        </w:rPr>
        <w:t>zohlednění množství elektřiny vyrobené ve výrobně elektřiny v jiném předávacím místě odběrného místa v rámci bytového domu</w:t>
      </w:r>
      <w:r w:rsidR="00B1157E">
        <w:rPr>
          <w:rFonts w:ascii="Times New Roman" w:hAnsi="Times New Roman" w:cs="Times New Roman"/>
        </w:rPr>
        <w:t>.</w:t>
      </w:r>
    </w:p>
    <w:p w14:paraId="48294819" w14:textId="65611CE4" w:rsidR="00EC2F77" w:rsidRDefault="00EC2F77" w:rsidP="00237AFE">
      <w:pPr>
        <w:jc w:val="both"/>
        <w:rPr>
          <w:rFonts w:ascii="Times New Roman" w:hAnsi="Times New Roman" w:cs="Times New Roman"/>
        </w:rPr>
      </w:pPr>
      <w:r w:rsidRPr="003D7FBF">
        <w:rPr>
          <w:rFonts w:ascii="Times New Roman" w:hAnsi="Times New Roman" w:cs="Times New Roman"/>
          <w:b/>
          <w:i/>
        </w:rPr>
        <w:t>Varianta II.</w:t>
      </w:r>
      <w:r w:rsidRPr="003D7FBF">
        <w:rPr>
          <w:rFonts w:ascii="Times New Roman" w:hAnsi="Times New Roman" w:cs="Times New Roman"/>
        </w:rPr>
        <w:t xml:space="preserve"> – </w:t>
      </w:r>
      <w:r w:rsidR="003D7FBF" w:rsidRPr="003D7FBF">
        <w:rPr>
          <w:rFonts w:ascii="Times New Roman" w:hAnsi="Times New Roman" w:cs="Times New Roman"/>
        </w:rPr>
        <w:t>Implementovat možnost registrace předávacího místa s tzv. výrobním EAN, u zákazníků, kteří provozují výrob</w:t>
      </w:r>
      <w:r w:rsidR="00F96B63">
        <w:rPr>
          <w:rFonts w:ascii="Times New Roman" w:hAnsi="Times New Roman" w:cs="Times New Roman"/>
        </w:rPr>
        <w:t>n</w:t>
      </w:r>
      <w:r w:rsidR="003D7FBF" w:rsidRPr="003D7FBF">
        <w:rPr>
          <w:rFonts w:ascii="Times New Roman" w:hAnsi="Times New Roman" w:cs="Times New Roman"/>
        </w:rPr>
        <w:t xml:space="preserve">u elektřiny podle § 28 odst. 5 energetického zákona a tuto výrobnu připojí s nenulovým rezervovaným výkonem. </w:t>
      </w:r>
    </w:p>
    <w:p w14:paraId="5D8908A6" w14:textId="31B90525" w:rsidR="00DB5B9A" w:rsidRDefault="00DB5B9A" w:rsidP="00237AFE">
      <w:pPr>
        <w:jc w:val="both"/>
        <w:rPr>
          <w:rFonts w:ascii="Times New Roman" w:hAnsi="Times New Roman" w:cs="Times New Roman"/>
        </w:rPr>
      </w:pPr>
      <w:r>
        <w:rPr>
          <w:rFonts w:ascii="Times New Roman" w:hAnsi="Times New Roman" w:cs="Times New Roman"/>
        </w:rPr>
        <w:t>U takové skupiny zákazníků se předpokládá, že může nastat dodávka do distribuční soustavy</w:t>
      </w:r>
      <w:r w:rsidR="006C7BC7">
        <w:rPr>
          <w:rFonts w:ascii="Times New Roman" w:hAnsi="Times New Roman" w:cs="Times New Roman"/>
        </w:rPr>
        <w:t>, aniž by byl takový zákazník držitelem příslušného oprávnění (licence na výrobu elektřiny). Na trhu s elektřinou existuje skupina zákazníků, kteří provozují výrob</w:t>
      </w:r>
      <w:r w:rsidR="00F96B63">
        <w:rPr>
          <w:rFonts w:ascii="Times New Roman" w:hAnsi="Times New Roman" w:cs="Times New Roman"/>
        </w:rPr>
        <w:t>n</w:t>
      </w:r>
      <w:r w:rsidR="006C7BC7">
        <w:rPr>
          <w:rFonts w:ascii="Times New Roman" w:hAnsi="Times New Roman" w:cs="Times New Roman"/>
        </w:rPr>
        <w:t>u elektřiny podle § 28 odst. 5 energetického zákona v</w:t>
      </w:r>
      <w:r w:rsidR="00B1157E">
        <w:rPr>
          <w:rFonts w:ascii="Times New Roman" w:hAnsi="Times New Roman" w:cs="Times New Roman"/>
        </w:rPr>
        <w:t> </w:t>
      </w:r>
      <w:r w:rsidR="006C7BC7">
        <w:rPr>
          <w:rFonts w:ascii="Times New Roman" w:hAnsi="Times New Roman" w:cs="Times New Roman"/>
        </w:rPr>
        <w:t>režimu</w:t>
      </w:r>
      <w:r w:rsidR="00B1157E">
        <w:rPr>
          <w:rFonts w:ascii="Times New Roman" w:hAnsi="Times New Roman" w:cs="Times New Roman"/>
        </w:rPr>
        <w:t>, kdy výrobna elektřiny je připojena s nenulovým rezervovaným výkonem a není provozována na základě licence na výrobu</w:t>
      </w:r>
      <w:r w:rsidR="006C7BC7">
        <w:rPr>
          <w:rFonts w:ascii="Times New Roman" w:hAnsi="Times New Roman" w:cs="Times New Roman"/>
        </w:rPr>
        <w:t>.</w:t>
      </w:r>
      <w:r w:rsidR="00B1157E">
        <w:rPr>
          <w:rFonts w:ascii="Times New Roman" w:hAnsi="Times New Roman" w:cs="Times New Roman"/>
        </w:rPr>
        <w:t xml:space="preserve"> U takových zákazníků </w:t>
      </w:r>
      <w:r w:rsidR="00B12D79">
        <w:rPr>
          <w:rFonts w:ascii="Times New Roman" w:hAnsi="Times New Roman" w:cs="Times New Roman"/>
        </w:rPr>
        <w:t xml:space="preserve">je </w:t>
      </w:r>
      <w:r w:rsidR="00B1157E">
        <w:rPr>
          <w:rFonts w:ascii="Times New Roman" w:hAnsi="Times New Roman" w:cs="Times New Roman"/>
        </w:rPr>
        <w:t>vyroben</w:t>
      </w:r>
      <w:r w:rsidR="00F96B63">
        <w:rPr>
          <w:rFonts w:ascii="Times New Roman" w:hAnsi="Times New Roman" w:cs="Times New Roman"/>
        </w:rPr>
        <w:t>á</w:t>
      </w:r>
      <w:r w:rsidR="00B1157E">
        <w:rPr>
          <w:rFonts w:ascii="Times New Roman" w:hAnsi="Times New Roman" w:cs="Times New Roman"/>
        </w:rPr>
        <w:t xml:space="preserve"> elektřin</w:t>
      </w:r>
      <w:r w:rsidR="00F96B63">
        <w:rPr>
          <w:rFonts w:ascii="Times New Roman" w:hAnsi="Times New Roman" w:cs="Times New Roman"/>
        </w:rPr>
        <w:t>a</w:t>
      </w:r>
      <w:r w:rsidR="00B1157E">
        <w:rPr>
          <w:rFonts w:ascii="Times New Roman" w:hAnsi="Times New Roman" w:cs="Times New Roman"/>
        </w:rPr>
        <w:t>, která nebyla v odběrném místě spotřebována</w:t>
      </w:r>
      <w:r w:rsidR="00F96B63">
        <w:rPr>
          <w:rFonts w:ascii="Times New Roman" w:hAnsi="Times New Roman" w:cs="Times New Roman"/>
        </w:rPr>
        <w:t>, dodávána do soustavy</w:t>
      </w:r>
      <w:r w:rsidR="00B1157E">
        <w:rPr>
          <w:rFonts w:ascii="Times New Roman" w:hAnsi="Times New Roman" w:cs="Times New Roman"/>
        </w:rPr>
        <w:t>.</w:t>
      </w:r>
      <w:r w:rsidR="006C7BC7">
        <w:rPr>
          <w:rFonts w:ascii="Times New Roman" w:hAnsi="Times New Roman" w:cs="Times New Roman"/>
        </w:rPr>
        <w:t xml:space="preserve"> V tomto směru je nutné</w:t>
      </w:r>
      <w:r w:rsidR="004D579F">
        <w:rPr>
          <w:rFonts w:ascii="Times New Roman" w:hAnsi="Times New Roman" w:cs="Times New Roman"/>
        </w:rPr>
        <w:t xml:space="preserve"> zajistit, aby každá taková dodávka elektřiny do distribuční soustavy byla</w:t>
      </w:r>
      <w:r w:rsidR="006C7BC7">
        <w:rPr>
          <w:rFonts w:ascii="Times New Roman" w:hAnsi="Times New Roman" w:cs="Times New Roman"/>
        </w:rPr>
        <w:t xml:space="preserve"> </w:t>
      </w:r>
      <w:r w:rsidR="004D579F">
        <w:rPr>
          <w:rFonts w:ascii="Times New Roman" w:hAnsi="Times New Roman" w:cs="Times New Roman"/>
        </w:rPr>
        <w:t>editovatelná, vyhodnocena a případně zúčtována vůči konkrétnímu subjektu</w:t>
      </w:r>
      <w:r w:rsidR="006C7BC7">
        <w:rPr>
          <w:rFonts w:ascii="Times New Roman" w:hAnsi="Times New Roman" w:cs="Times New Roman"/>
        </w:rPr>
        <w:t>.</w:t>
      </w:r>
      <w:r w:rsidR="004D579F">
        <w:rPr>
          <w:rFonts w:ascii="Times New Roman" w:hAnsi="Times New Roman" w:cs="Times New Roman"/>
        </w:rPr>
        <w:t xml:space="preserve"> Toto se primárně zajist</w:t>
      </w:r>
      <w:r w:rsidR="00B12D79">
        <w:rPr>
          <w:rFonts w:ascii="Times New Roman" w:hAnsi="Times New Roman" w:cs="Times New Roman"/>
        </w:rPr>
        <w:t>í</w:t>
      </w:r>
      <w:r w:rsidR="004D579F">
        <w:rPr>
          <w:rFonts w:ascii="Times New Roman" w:hAnsi="Times New Roman" w:cs="Times New Roman"/>
        </w:rPr>
        <w:t xml:space="preserve"> přidělením identifikačního čísla (EAN)</w:t>
      </w:r>
      <w:r w:rsidR="00B1157E">
        <w:rPr>
          <w:rFonts w:ascii="Times New Roman" w:hAnsi="Times New Roman" w:cs="Times New Roman"/>
        </w:rPr>
        <w:t>, na kterém se evidují data o dodávce vyrobené elektřiny do distribuční soustavy</w:t>
      </w:r>
      <w:r w:rsidR="004D579F">
        <w:rPr>
          <w:rFonts w:ascii="Times New Roman" w:hAnsi="Times New Roman" w:cs="Times New Roman"/>
        </w:rPr>
        <w:t>.</w:t>
      </w:r>
    </w:p>
    <w:p w14:paraId="7D291734" w14:textId="78B42448" w:rsidR="00B1157E" w:rsidRPr="003D7FBF" w:rsidRDefault="00B1157E" w:rsidP="00237AFE">
      <w:pPr>
        <w:jc w:val="both"/>
        <w:rPr>
          <w:rFonts w:ascii="Times New Roman" w:hAnsi="Times New Roman" w:cs="Times New Roman"/>
        </w:rPr>
      </w:pPr>
      <w:r>
        <w:rPr>
          <w:rFonts w:ascii="Times New Roman" w:hAnsi="Times New Roman" w:cs="Times New Roman"/>
        </w:rPr>
        <w:t>Provedením úpravy, kterou se zajistí výše uvedený stav, bude rovněž možné plně rozvinout nově zaváděný systém p</w:t>
      </w:r>
      <w:r w:rsidRPr="00B1157E">
        <w:rPr>
          <w:rFonts w:ascii="Times New Roman" w:hAnsi="Times New Roman" w:cs="Times New Roman"/>
        </w:rPr>
        <w:t>ředávání údajů pro zúčtování odchylek a pro vyúčtování pro zohlednění množství elektřiny vyrobené ve výrobně elektřiny v jiném předávacím místě odběrného místa v rámci bytového domu</w:t>
      </w:r>
      <w:r>
        <w:rPr>
          <w:rFonts w:ascii="Times New Roman" w:hAnsi="Times New Roman" w:cs="Times New Roman"/>
        </w:rPr>
        <w:t>.</w:t>
      </w:r>
    </w:p>
    <w:p w14:paraId="42A5A875" w14:textId="77777777" w:rsidR="00EC2F77" w:rsidRPr="003D7FBF" w:rsidRDefault="00EC2F77" w:rsidP="00237AFE">
      <w:pPr>
        <w:jc w:val="both"/>
        <w:rPr>
          <w:rFonts w:ascii="Times New Roman" w:eastAsiaTheme="majorEastAsia" w:hAnsi="Times New Roman" w:cs="Times New Roman"/>
          <w:b/>
          <w:bCs/>
          <w:u w:val="single"/>
        </w:rPr>
      </w:pPr>
      <w:r w:rsidRPr="003D7FBF">
        <w:rPr>
          <w:rFonts w:ascii="Times New Roman" w:eastAsiaTheme="majorEastAsia" w:hAnsi="Times New Roman" w:cs="Times New Roman"/>
          <w:b/>
          <w:bCs/>
          <w:u w:val="single"/>
        </w:rPr>
        <w:t>Vyhodnocení nákladů a přínosů</w:t>
      </w:r>
    </w:p>
    <w:p w14:paraId="683C5B0E" w14:textId="3187E7FF" w:rsidR="00EC2F77" w:rsidRPr="003D7FBF" w:rsidRDefault="00EC2F77" w:rsidP="00237AFE">
      <w:pPr>
        <w:jc w:val="both"/>
        <w:rPr>
          <w:rFonts w:ascii="Times New Roman" w:hAnsi="Times New Roman" w:cs="Times New Roman"/>
          <w:b/>
          <w:u w:val="single"/>
        </w:rPr>
      </w:pPr>
      <w:r w:rsidRPr="003D7FBF">
        <w:rPr>
          <w:rFonts w:ascii="Times New Roman" w:hAnsi="Times New Roman" w:cs="Times New Roman"/>
          <w:b/>
          <w:u w:val="single"/>
        </w:rPr>
        <w:t>Náklady</w:t>
      </w:r>
    </w:p>
    <w:p w14:paraId="45DBF57B" w14:textId="4AE1283B" w:rsidR="003D7FBF" w:rsidRDefault="00BF49F4" w:rsidP="00237AFE">
      <w:pPr>
        <w:jc w:val="both"/>
        <w:rPr>
          <w:rFonts w:ascii="Times New Roman" w:hAnsi="Times New Roman" w:cs="Times New Roman"/>
        </w:rPr>
      </w:pPr>
      <w:r>
        <w:rPr>
          <w:rFonts w:ascii="Times New Roman" w:hAnsi="Times New Roman" w:cs="Times New Roman"/>
        </w:rPr>
        <w:t xml:space="preserve">Varianta I. </w:t>
      </w:r>
      <w:r w:rsidR="00B1157E">
        <w:rPr>
          <w:rFonts w:ascii="Times New Roman" w:hAnsi="Times New Roman" w:cs="Times New Roman"/>
        </w:rPr>
        <w:t xml:space="preserve">– U této varianty zachováním současného stavu nevzniknou dodatečné náklady na straně účastníků trhu. Lze uvažovat </w:t>
      </w:r>
      <w:r w:rsidR="00385C0A">
        <w:rPr>
          <w:rFonts w:ascii="Times New Roman" w:hAnsi="Times New Roman" w:cs="Times New Roman"/>
        </w:rPr>
        <w:t>o nákladech</w:t>
      </w:r>
      <w:r w:rsidR="00B1157E">
        <w:rPr>
          <w:rFonts w:ascii="Times New Roman" w:hAnsi="Times New Roman" w:cs="Times New Roman"/>
        </w:rPr>
        <w:t xml:space="preserve"> ušlé příležitosti (neboli oportunitní náklady) na straně zákazníků, kteří by mohli svou </w:t>
      </w:r>
      <w:r w:rsidR="00535A44">
        <w:rPr>
          <w:rFonts w:ascii="Times New Roman" w:hAnsi="Times New Roman" w:cs="Times New Roman"/>
        </w:rPr>
        <w:t xml:space="preserve">v odběrném místě </w:t>
      </w:r>
      <w:r w:rsidR="00B1157E">
        <w:rPr>
          <w:rFonts w:ascii="Times New Roman" w:hAnsi="Times New Roman" w:cs="Times New Roman"/>
        </w:rPr>
        <w:t xml:space="preserve">vyrobenou </w:t>
      </w:r>
      <w:r w:rsidR="00535A44">
        <w:rPr>
          <w:rFonts w:ascii="Times New Roman" w:hAnsi="Times New Roman" w:cs="Times New Roman"/>
        </w:rPr>
        <w:t xml:space="preserve">a nespotřebovanou </w:t>
      </w:r>
      <w:r w:rsidR="00B1157E">
        <w:rPr>
          <w:rFonts w:ascii="Times New Roman" w:hAnsi="Times New Roman" w:cs="Times New Roman"/>
        </w:rPr>
        <w:t xml:space="preserve">elektřinu dodat </w:t>
      </w:r>
      <w:r w:rsidR="00535A44">
        <w:rPr>
          <w:rFonts w:ascii="Times New Roman" w:hAnsi="Times New Roman" w:cs="Times New Roman"/>
        </w:rPr>
        <w:t>jinému dodavateli elektřiny.</w:t>
      </w:r>
    </w:p>
    <w:p w14:paraId="04EC06AB" w14:textId="0918D263" w:rsidR="00BF49F4" w:rsidRPr="003D7FBF" w:rsidRDefault="00BF49F4" w:rsidP="00237AFE">
      <w:pPr>
        <w:jc w:val="both"/>
        <w:rPr>
          <w:rFonts w:ascii="Times New Roman" w:hAnsi="Times New Roman" w:cs="Times New Roman"/>
        </w:rPr>
      </w:pPr>
      <w:r>
        <w:rPr>
          <w:rFonts w:ascii="Times New Roman" w:hAnsi="Times New Roman" w:cs="Times New Roman"/>
        </w:rPr>
        <w:t>Varianta II.</w:t>
      </w:r>
      <w:r w:rsidR="003A0C85">
        <w:rPr>
          <w:rFonts w:ascii="Times New Roman" w:hAnsi="Times New Roman" w:cs="Times New Roman"/>
        </w:rPr>
        <w:t xml:space="preserve"> </w:t>
      </w:r>
      <w:r w:rsidR="00535A44">
        <w:rPr>
          <w:rFonts w:ascii="Times New Roman" w:hAnsi="Times New Roman" w:cs="Times New Roman"/>
        </w:rPr>
        <w:t>– U této varianty se uplatní již existující postup, který se rozšíří na novou skupinu účastníků trhu. Lze očekávat náklady na úpravu interních postupů a interních informačních technologií u</w:t>
      </w:r>
      <w:r w:rsidR="00385C0A">
        <w:rPr>
          <w:rFonts w:ascii="Times New Roman" w:hAnsi="Times New Roman" w:cs="Times New Roman"/>
        </w:rPr>
        <w:t> </w:t>
      </w:r>
      <w:r w:rsidR="00535A44">
        <w:rPr>
          <w:rFonts w:ascii="Times New Roman" w:hAnsi="Times New Roman" w:cs="Times New Roman"/>
        </w:rPr>
        <w:t xml:space="preserve">provozovatelů distribučních soustav. Tyto náklady ovšem budou minimalizovány tím, že se využije stávajícího nastavení, přičemž dojde pouze k doplnění nové funkcionality, která zajistí rozšíření na další skupinu zákazníků. </w:t>
      </w:r>
    </w:p>
    <w:p w14:paraId="38282608" w14:textId="5979F47B" w:rsidR="00EC2F77" w:rsidRDefault="00EC2F77" w:rsidP="00237AFE">
      <w:pPr>
        <w:jc w:val="both"/>
        <w:rPr>
          <w:rFonts w:ascii="Times New Roman" w:hAnsi="Times New Roman" w:cs="Times New Roman"/>
          <w:b/>
          <w:u w:val="single"/>
        </w:rPr>
      </w:pPr>
      <w:r w:rsidRPr="003D7FBF">
        <w:rPr>
          <w:rFonts w:ascii="Times New Roman" w:hAnsi="Times New Roman" w:cs="Times New Roman"/>
          <w:b/>
          <w:u w:val="single"/>
        </w:rPr>
        <w:t>Přínosy</w:t>
      </w:r>
    </w:p>
    <w:p w14:paraId="3E5FBF45" w14:textId="686A9B09" w:rsidR="00D77A13" w:rsidRDefault="00D77A13" w:rsidP="00237AFE">
      <w:pPr>
        <w:jc w:val="both"/>
        <w:rPr>
          <w:rFonts w:ascii="Times New Roman" w:hAnsi="Times New Roman" w:cs="Times New Roman"/>
        </w:rPr>
      </w:pPr>
      <w:r>
        <w:rPr>
          <w:rFonts w:ascii="Times New Roman" w:hAnsi="Times New Roman" w:cs="Times New Roman"/>
        </w:rPr>
        <w:t xml:space="preserve">Varianta I. </w:t>
      </w:r>
      <w:r w:rsidR="00385C0A">
        <w:rPr>
          <w:rFonts w:ascii="Times New Roman" w:hAnsi="Times New Roman" w:cs="Times New Roman"/>
        </w:rPr>
        <w:t xml:space="preserve">– </w:t>
      </w:r>
      <w:r>
        <w:rPr>
          <w:rFonts w:ascii="Times New Roman" w:hAnsi="Times New Roman" w:cs="Times New Roman"/>
        </w:rPr>
        <w:t xml:space="preserve">U této varianty se neočekávají žádné přínosy. </w:t>
      </w:r>
    </w:p>
    <w:p w14:paraId="36A4F045" w14:textId="63ED8FCD" w:rsidR="00DB5B9A" w:rsidRDefault="00D77A13" w:rsidP="00237AFE">
      <w:pPr>
        <w:jc w:val="both"/>
        <w:rPr>
          <w:rFonts w:ascii="Times New Roman" w:hAnsi="Times New Roman" w:cs="Times New Roman"/>
        </w:rPr>
      </w:pPr>
      <w:r>
        <w:rPr>
          <w:rFonts w:ascii="Times New Roman" w:hAnsi="Times New Roman" w:cs="Times New Roman"/>
        </w:rPr>
        <w:t xml:space="preserve">Varianta II. </w:t>
      </w:r>
      <w:r w:rsidR="00535A44">
        <w:rPr>
          <w:rFonts w:ascii="Times New Roman" w:hAnsi="Times New Roman" w:cs="Times New Roman"/>
        </w:rPr>
        <w:t>– U této varianty bude z</w:t>
      </w:r>
      <w:r w:rsidR="00DB5B9A">
        <w:rPr>
          <w:rFonts w:ascii="Times New Roman" w:hAnsi="Times New Roman" w:cs="Times New Roman"/>
        </w:rPr>
        <w:t>ákladním přínosem narovnání současného stavu na trhu s</w:t>
      </w:r>
      <w:r w:rsidR="004D579F">
        <w:rPr>
          <w:rFonts w:ascii="Times New Roman" w:hAnsi="Times New Roman" w:cs="Times New Roman"/>
        </w:rPr>
        <w:t> </w:t>
      </w:r>
      <w:r w:rsidR="00DB5B9A">
        <w:rPr>
          <w:rFonts w:ascii="Times New Roman" w:hAnsi="Times New Roman" w:cs="Times New Roman"/>
        </w:rPr>
        <w:t>elektřinou</w:t>
      </w:r>
      <w:r w:rsidR="004D579F">
        <w:rPr>
          <w:rFonts w:ascii="Times New Roman" w:hAnsi="Times New Roman" w:cs="Times New Roman"/>
        </w:rPr>
        <w:t>, kdy existuje skupina zákazníků, kteří provozují výrobnu elektřiny podle § 28 odst. 5 energetického zákona a tuto výrobnu elektřiny připojili s nenulovým rezervovaným výkonem a realizují dodávky do</w:t>
      </w:r>
      <w:r w:rsidR="00385C0A">
        <w:rPr>
          <w:rFonts w:ascii="Times New Roman" w:hAnsi="Times New Roman" w:cs="Times New Roman"/>
        </w:rPr>
        <w:t> </w:t>
      </w:r>
      <w:r w:rsidR="004D579F">
        <w:rPr>
          <w:rFonts w:ascii="Times New Roman" w:hAnsi="Times New Roman" w:cs="Times New Roman"/>
        </w:rPr>
        <w:t>distribuční soustavy.</w:t>
      </w:r>
    </w:p>
    <w:p w14:paraId="764A0CE1" w14:textId="35A003B2" w:rsidR="004D579F" w:rsidRPr="00DB5B9A" w:rsidRDefault="004D579F" w:rsidP="00237AFE">
      <w:pPr>
        <w:jc w:val="both"/>
        <w:rPr>
          <w:rFonts w:ascii="Times New Roman" w:hAnsi="Times New Roman" w:cs="Times New Roman"/>
        </w:rPr>
      </w:pPr>
      <w:r>
        <w:rPr>
          <w:rFonts w:ascii="Times New Roman" w:hAnsi="Times New Roman" w:cs="Times New Roman"/>
        </w:rPr>
        <w:t>Umožnění registrace výrobního EAN u výše uvedené skupiny zákazníků umožní těmto zákazníkům registraci jiného obchodníka a subjekt</w:t>
      </w:r>
      <w:r w:rsidR="00385C0A">
        <w:rPr>
          <w:rFonts w:ascii="Times New Roman" w:hAnsi="Times New Roman" w:cs="Times New Roman"/>
        </w:rPr>
        <w:t>u</w:t>
      </w:r>
      <w:r>
        <w:rPr>
          <w:rFonts w:ascii="Times New Roman" w:hAnsi="Times New Roman" w:cs="Times New Roman"/>
        </w:rPr>
        <w:t xml:space="preserve"> zúčtování než </w:t>
      </w:r>
      <w:r w:rsidR="00CC46FB">
        <w:rPr>
          <w:rFonts w:ascii="Times New Roman" w:hAnsi="Times New Roman" w:cs="Times New Roman"/>
        </w:rPr>
        <w:t>ty, které si sjednal zákazník v případě odběru elektřiny</w:t>
      </w:r>
      <w:r>
        <w:rPr>
          <w:rFonts w:ascii="Times New Roman" w:hAnsi="Times New Roman" w:cs="Times New Roman"/>
        </w:rPr>
        <w:t>, což doposud nebylo možné.</w:t>
      </w:r>
      <w:r w:rsidR="00CC46FB">
        <w:rPr>
          <w:rFonts w:ascii="Times New Roman" w:hAnsi="Times New Roman" w:cs="Times New Roman"/>
        </w:rPr>
        <w:t xml:space="preserve"> Druhořadným přínosem může být vyšší míra penetrace aktivních zákazníků na trhu s elektřinou a jejich účast v rámci poskytovaní síťových služeb.</w:t>
      </w:r>
    </w:p>
    <w:p w14:paraId="4565D680" w14:textId="77777777" w:rsidR="009E0F32" w:rsidRDefault="009E0F32" w:rsidP="00237AFE">
      <w:pPr>
        <w:jc w:val="both"/>
        <w:rPr>
          <w:rFonts w:ascii="Times New Roman" w:hAnsi="Times New Roman" w:cs="Times New Roman"/>
          <w:b/>
          <w:u w:val="single"/>
        </w:rPr>
      </w:pPr>
      <w:r>
        <w:rPr>
          <w:rFonts w:ascii="Times New Roman" w:hAnsi="Times New Roman" w:cs="Times New Roman"/>
          <w:b/>
          <w:u w:val="single"/>
        </w:rPr>
        <w:t>Stanovení pořadí variant a výběr nejvhodnějšího řešení</w:t>
      </w:r>
    </w:p>
    <w:p w14:paraId="66405D24" w14:textId="77777777" w:rsidR="009E0F32" w:rsidRPr="00337421" w:rsidRDefault="009E0F32" w:rsidP="00237AFE">
      <w:pPr>
        <w:pStyle w:val="Odstavecseseznamem"/>
        <w:numPr>
          <w:ilvl w:val="0"/>
          <w:numId w:val="27"/>
        </w:numPr>
        <w:jc w:val="both"/>
        <w:rPr>
          <w:rFonts w:ascii="Times New Roman" w:hAnsi="Times New Roman" w:cs="Times New Roman"/>
          <w:u w:val="single"/>
        </w:rPr>
      </w:pPr>
      <w:r w:rsidRPr="00337421">
        <w:rPr>
          <w:rFonts w:ascii="Times New Roman" w:hAnsi="Times New Roman" w:cs="Times New Roman"/>
          <w:u w:val="single"/>
        </w:rPr>
        <w:t>Varianta II</w:t>
      </w:r>
    </w:p>
    <w:p w14:paraId="4E4225DA" w14:textId="77777777" w:rsidR="009E0F32" w:rsidRPr="00337421" w:rsidRDefault="009E0F32" w:rsidP="00237AFE">
      <w:pPr>
        <w:pStyle w:val="Odstavecseseznamem"/>
        <w:numPr>
          <w:ilvl w:val="0"/>
          <w:numId w:val="27"/>
        </w:numPr>
        <w:jc w:val="both"/>
        <w:rPr>
          <w:rFonts w:ascii="Times New Roman" w:hAnsi="Times New Roman" w:cs="Times New Roman"/>
          <w:u w:val="single"/>
        </w:rPr>
      </w:pPr>
      <w:r w:rsidRPr="00337421">
        <w:rPr>
          <w:rFonts w:ascii="Times New Roman" w:hAnsi="Times New Roman" w:cs="Times New Roman"/>
          <w:u w:val="single"/>
        </w:rPr>
        <w:t>Varianta I</w:t>
      </w:r>
    </w:p>
    <w:p w14:paraId="5B25345F" w14:textId="043BD1A2" w:rsidR="0002677F" w:rsidRDefault="00CC46FB" w:rsidP="00237AFE">
      <w:pPr>
        <w:jc w:val="both"/>
        <w:rPr>
          <w:rFonts w:ascii="Times New Roman" w:hAnsi="Times New Roman" w:cs="Times New Roman"/>
        </w:rPr>
      </w:pPr>
      <w:r w:rsidRPr="00CC46FB">
        <w:rPr>
          <w:rFonts w:ascii="Times New Roman" w:hAnsi="Times New Roman" w:cs="Times New Roman"/>
        </w:rPr>
        <w:t>Navrhujeme postupovat dle varianty II., která zajistí žádoucí stav</w:t>
      </w:r>
      <w:r>
        <w:rPr>
          <w:rFonts w:ascii="Times New Roman" w:hAnsi="Times New Roman" w:cs="Times New Roman"/>
        </w:rPr>
        <w:t xml:space="preserve"> a vývoj trhu s</w:t>
      </w:r>
      <w:r w:rsidR="0002677F">
        <w:rPr>
          <w:rFonts w:ascii="Times New Roman" w:hAnsi="Times New Roman" w:cs="Times New Roman"/>
        </w:rPr>
        <w:t> </w:t>
      </w:r>
      <w:r>
        <w:rPr>
          <w:rFonts w:ascii="Times New Roman" w:hAnsi="Times New Roman" w:cs="Times New Roman"/>
        </w:rPr>
        <w:t>elektřinou</w:t>
      </w:r>
      <w:r w:rsidR="0002677F">
        <w:rPr>
          <w:rFonts w:ascii="Times New Roman" w:hAnsi="Times New Roman" w:cs="Times New Roman"/>
        </w:rPr>
        <w:t xml:space="preserve">, tedy bude zajištěno naplnění cíle tak, aby skupina zákazníků s výrobnami, pro něž není nutná licence, mohli jednoduše disponovat s vyrobenou elektřinou a </w:t>
      </w:r>
      <w:r w:rsidR="00385C0A">
        <w:rPr>
          <w:rFonts w:ascii="Times New Roman" w:hAnsi="Times New Roman" w:cs="Times New Roman"/>
        </w:rPr>
        <w:t xml:space="preserve">v budoucnu </w:t>
      </w:r>
      <w:r w:rsidR="0002677F">
        <w:rPr>
          <w:rFonts w:ascii="Times New Roman" w:hAnsi="Times New Roman" w:cs="Times New Roman"/>
        </w:rPr>
        <w:t xml:space="preserve">poskytovat např. </w:t>
      </w:r>
      <w:r w:rsidR="0002677F" w:rsidRPr="00535A44">
        <w:rPr>
          <w:rFonts w:ascii="Times New Roman" w:hAnsi="Times New Roman" w:cs="Times New Roman"/>
        </w:rPr>
        <w:t>služby flexibility</w:t>
      </w:r>
      <w:r w:rsidRPr="00535A44">
        <w:rPr>
          <w:rFonts w:ascii="Times New Roman" w:hAnsi="Times New Roman" w:cs="Times New Roman"/>
        </w:rPr>
        <w:t>.</w:t>
      </w:r>
      <w:r w:rsidR="00535A44">
        <w:rPr>
          <w:rFonts w:ascii="Times New Roman" w:hAnsi="Times New Roman" w:cs="Times New Roman"/>
        </w:rPr>
        <w:t xml:space="preserve"> </w:t>
      </w:r>
      <w:r w:rsidR="0002677F" w:rsidRPr="00535A44">
        <w:rPr>
          <w:rFonts w:ascii="Times New Roman" w:hAnsi="Times New Roman" w:cs="Times New Roman"/>
        </w:rPr>
        <w:t xml:space="preserve">Zvolená varianta nemá dopady na státní rozpočet. Zvolená varianta má dopady do podnikatelského prostředí, jelikož si vynucuje úpravu informačních systémů některých dotčených skupin osob. Zvolená varianta nemá sociální dopady. Zvolená varianta nemá dopady ve vztahu k zákazu diskriminace a ve vztahu k rovnosti žen a mužů, nemá dopady ani na výkon státní statistické služby. </w:t>
      </w:r>
      <w:r w:rsidR="003A1FD9" w:rsidRPr="00535A44">
        <w:rPr>
          <w:rFonts w:ascii="Times New Roman" w:hAnsi="Times New Roman" w:cs="Times New Roman"/>
        </w:rPr>
        <w:t>Dodatečné dopady ve vztahu k ochraně soukromí a osobních údajů nejsou vyvolány, právní titul zůstává stávající.</w:t>
      </w:r>
      <w:r w:rsidR="003A1FD9" w:rsidRPr="00535A44">
        <w:rPr>
          <w:rFonts w:ascii="Times New Roman" w:hAnsi="Times New Roman" w:cs="Times New Roman"/>
          <w:b/>
        </w:rPr>
        <w:t xml:space="preserve"> </w:t>
      </w:r>
      <w:r w:rsidR="0002677F" w:rsidRPr="00535A44">
        <w:rPr>
          <w:rFonts w:ascii="Times New Roman" w:hAnsi="Times New Roman" w:cs="Times New Roman"/>
        </w:rPr>
        <w:t>Zvolená varianta nepředpokládá jakékoliv dopady na míru korupce, navrhované změny de facto neumožňují vznik korupčního prostředí. Návrh vyhlášky nepředpokládá založení korupčních rizik ani jejich nárůst. Zvolená varianta s ohledem na svůj obsah nemá dopady na bezpečnost a obranu státu.</w:t>
      </w:r>
    </w:p>
    <w:p w14:paraId="199091AE" w14:textId="77777777" w:rsidR="00896C44" w:rsidRPr="00896C44" w:rsidRDefault="00896C44" w:rsidP="00237AFE">
      <w:pPr>
        <w:jc w:val="both"/>
        <w:rPr>
          <w:rFonts w:ascii="Times New Roman" w:hAnsi="Times New Roman" w:cs="Times New Roman"/>
          <w:b/>
          <w:sz w:val="26"/>
          <w:szCs w:val="26"/>
        </w:rPr>
      </w:pPr>
    </w:p>
    <w:p w14:paraId="5CA2DA0E" w14:textId="0EE4C1A1" w:rsidR="00896C44" w:rsidRDefault="00D42604" w:rsidP="00237AFE">
      <w:pPr>
        <w:pStyle w:val="Nadpis2-zvren"/>
        <w:spacing w:line="276" w:lineRule="auto"/>
        <w:rPr>
          <w:rFonts w:ascii="Times New Roman" w:eastAsiaTheme="minorHAnsi" w:hAnsi="Times New Roman" w:cs="Times New Roman"/>
          <w:bCs w:val="0"/>
          <w:color w:val="auto"/>
        </w:rPr>
      </w:pPr>
      <w:r w:rsidRPr="00896C44">
        <w:rPr>
          <w:rFonts w:ascii="Times New Roman" w:eastAsiaTheme="minorHAnsi" w:hAnsi="Times New Roman" w:cs="Times New Roman"/>
          <w:bCs w:val="0"/>
          <w:color w:val="auto"/>
        </w:rPr>
        <w:t>Implementace doporučené varianty a vynucování</w:t>
      </w:r>
    </w:p>
    <w:p w14:paraId="78E4FDC6" w14:textId="77777777" w:rsidR="00896C44" w:rsidRPr="00896C44" w:rsidRDefault="00896C44" w:rsidP="00237AFE">
      <w:pPr>
        <w:pStyle w:val="Nadpis2-zvren"/>
        <w:numPr>
          <w:ilvl w:val="0"/>
          <w:numId w:val="0"/>
        </w:numPr>
        <w:spacing w:line="276" w:lineRule="auto"/>
        <w:rPr>
          <w:rFonts w:ascii="Times New Roman" w:eastAsiaTheme="minorHAnsi" w:hAnsi="Times New Roman" w:cs="Times New Roman"/>
          <w:bCs w:val="0"/>
          <w:color w:val="auto"/>
        </w:rPr>
      </w:pPr>
    </w:p>
    <w:p w14:paraId="17EC8B8F" w14:textId="77777777" w:rsidR="006D7D45" w:rsidRPr="00944B23" w:rsidRDefault="006D7D45" w:rsidP="00237AFE">
      <w:pPr>
        <w:jc w:val="both"/>
        <w:rPr>
          <w:rFonts w:ascii="Times New Roman" w:hAnsi="Times New Roman" w:cs="Times New Roman"/>
        </w:rPr>
      </w:pPr>
      <w:r w:rsidRPr="00944B23">
        <w:rPr>
          <w:rFonts w:ascii="Times New Roman" w:hAnsi="Times New Roman" w:cs="Times New Roman"/>
        </w:rPr>
        <w:t xml:space="preserve">Pro hodnocení dopadu regulace je nutné vycházet ze skutečnosti, že vyhláška ve smyslu čl. 79 odst. 3 Ústavy ČR je vydávána v rámci realizace moci výkonné. </w:t>
      </w:r>
    </w:p>
    <w:p w14:paraId="68B29CC0" w14:textId="3C310D95" w:rsidR="006D7D45" w:rsidRPr="00944B23" w:rsidRDefault="006D7D45" w:rsidP="00237AFE">
      <w:pPr>
        <w:jc w:val="both"/>
        <w:rPr>
          <w:rFonts w:ascii="Times New Roman" w:hAnsi="Times New Roman" w:cs="Times New Roman"/>
        </w:rPr>
      </w:pPr>
      <w:r w:rsidRPr="00944B23">
        <w:rPr>
          <w:rFonts w:ascii="Times New Roman" w:hAnsi="Times New Roman" w:cs="Times New Roman"/>
        </w:rPr>
        <w:t xml:space="preserve">Článek 79 odst. 3 Ústavy ČR zakládá pravomoc ministerstev </w:t>
      </w:r>
      <w:r>
        <w:rPr>
          <w:rFonts w:ascii="Times New Roman" w:hAnsi="Times New Roman" w:cs="Times New Roman"/>
        </w:rPr>
        <w:t xml:space="preserve">nebo jiných správních úřadů </w:t>
      </w:r>
      <w:r w:rsidRPr="00944B23">
        <w:rPr>
          <w:rFonts w:ascii="Times New Roman" w:hAnsi="Times New Roman" w:cs="Times New Roman"/>
        </w:rPr>
        <w:t>k vydávání aktů v určité formě (normativní právní akt), za podmínky zákonné konkretizace této pravomoci ve</w:t>
      </w:r>
      <w:r w:rsidR="008B47AE">
        <w:rPr>
          <w:rFonts w:ascii="Times New Roman" w:hAnsi="Times New Roman" w:cs="Times New Roman"/>
        </w:rPr>
        <w:t> </w:t>
      </w:r>
      <w:r w:rsidRPr="00944B23">
        <w:rPr>
          <w:rFonts w:ascii="Times New Roman" w:hAnsi="Times New Roman" w:cs="Times New Roman"/>
        </w:rPr>
        <w:t>vztahu k určité kompetenci, k určité zákonem vymezené části výkonu státní moci. Určení zmocněného ministerstva</w:t>
      </w:r>
      <w:r>
        <w:rPr>
          <w:rFonts w:ascii="Times New Roman" w:hAnsi="Times New Roman" w:cs="Times New Roman"/>
        </w:rPr>
        <w:t xml:space="preserve"> nebo jiného správního úřadu</w:t>
      </w:r>
      <w:r w:rsidRPr="00944B23">
        <w:rPr>
          <w:rFonts w:ascii="Times New Roman" w:hAnsi="Times New Roman" w:cs="Times New Roman"/>
        </w:rPr>
        <w:t xml:space="preserve"> v rámci zmocňovacího ustanovení přitom sleduje věcnou kompetenci vymezenou kompetenčním zákonem, v případě Energetického regulačního úřadu dále i zákonem č. 265/1991 Sb., o působnosti orgánů České republiky v oblasti cen, ve znění pozdějších předpisů. </w:t>
      </w:r>
    </w:p>
    <w:p w14:paraId="27346D9C" w14:textId="50A56091" w:rsidR="006D7D45" w:rsidRPr="00944B23" w:rsidRDefault="006D7D45" w:rsidP="00237AFE">
      <w:pPr>
        <w:jc w:val="both"/>
        <w:rPr>
          <w:rFonts w:ascii="Times New Roman" w:hAnsi="Times New Roman" w:cs="Times New Roman"/>
        </w:rPr>
      </w:pPr>
      <w:r w:rsidRPr="00944B23">
        <w:rPr>
          <w:rFonts w:ascii="Times New Roman" w:hAnsi="Times New Roman" w:cs="Times New Roman"/>
        </w:rPr>
        <w:t>Kompetence ministerstva nebo</w:t>
      </w:r>
      <w:r>
        <w:rPr>
          <w:rFonts w:ascii="Times New Roman" w:hAnsi="Times New Roman" w:cs="Times New Roman"/>
        </w:rPr>
        <w:t xml:space="preserve"> jiného</w:t>
      </w:r>
      <w:r w:rsidRPr="00944B23">
        <w:rPr>
          <w:rFonts w:ascii="Times New Roman" w:hAnsi="Times New Roman" w:cs="Times New Roman"/>
        </w:rPr>
        <w:t xml:space="preserve"> správního úřadu znamená rovněž i výlučnou odpovědnost za</w:t>
      </w:r>
      <w:r w:rsidR="008B47AE">
        <w:rPr>
          <w:rFonts w:ascii="Times New Roman" w:hAnsi="Times New Roman" w:cs="Times New Roman"/>
        </w:rPr>
        <w:t> </w:t>
      </w:r>
      <w:r w:rsidRPr="00944B23">
        <w:rPr>
          <w:rFonts w:ascii="Times New Roman" w:hAnsi="Times New Roman" w:cs="Times New Roman"/>
        </w:rPr>
        <w:t>vydání vyhlášky jako podzákonného právního předpisu. Existence výslovného zmocnění pro vydání vyhlášky je výslovný pokyn adresovaný ministerstvu nebo</w:t>
      </w:r>
      <w:r>
        <w:rPr>
          <w:rFonts w:ascii="Times New Roman" w:hAnsi="Times New Roman" w:cs="Times New Roman"/>
        </w:rPr>
        <w:t xml:space="preserve"> jinému</w:t>
      </w:r>
      <w:r w:rsidRPr="00944B23">
        <w:rPr>
          <w:rFonts w:ascii="Times New Roman" w:hAnsi="Times New Roman" w:cs="Times New Roman"/>
        </w:rPr>
        <w:t xml:space="preserve"> správnímu úřadu. Zákon tak ministerstvu nebo </w:t>
      </w:r>
      <w:r>
        <w:rPr>
          <w:rFonts w:ascii="Times New Roman" w:hAnsi="Times New Roman" w:cs="Times New Roman"/>
        </w:rPr>
        <w:t xml:space="preserve">jinému </w:t>
      </w:r>
      <w:r w:rsidRPr="00944B23">
        <w:rPr>
          <w:rFonts w:ascii="Times New Roman" w:hAnsi="Times New Roman" w:cs="Times New Roman"/>
        </w:rPr>
        <w:t>správnímu úřadu vydání vyhlášky ve smyslu článku 79 odst. 3 umožňuje, ale současně mu ukládá i povinnost ji k provedení zákona a v jeho mezích vydat. Z uvedeného lze tedy bez dalšího dovodit i povinnost vyhlášku změnit, pokud ministerstvo nebo jiný správní úřad po její účinnosti v rámci jejího přezkumu zjistí, že regulace daná vyhláškou</w:t>
      </w:r>
      <w:r>
        <w:rPr>
          <w:rFonts w:ascii="Times New Roman" w:hAnsi="Times New Roman" w:cs="Times New Roman"/>
        </w:rPr>
        <w:t xml:space="preserve"> by měla být změněna s ohledem na změnu zákonného zmocnění nebo zákonem stanovených podmínek nebo v reakci na její praktické uplatňování.</w:t>
      </w:r>
    </w:p>
    <w:p w14:paraId="215DB6D1" w14:textId="77777777" w:rsidR="006D7D45" w:rsidRPr="00944B23" w:rsidRDefault="006D7D45" w:rsidP="00237AFE">
      <w:pPr>
        <w:jc w:val="both"/>
        <w:rPr>
          <w:rFonts w:ascii="Times New Roman" w:hAnsi="Times New Roman" w:cs="Times New Roman"/>
        </w:rPr>
      </w:pPr>
      <w:r w:rsidRPr="00944B23">
        <w:rPr>
          <w:rFonts w:ascii="Times New Roman" w:hAnsi="Times New Roman" w:cs="Times New Roman"/>
        </w:rPr>
        <w:t xml:space="preserve">Podle § </w:t>
      </w:r>
      <w:proofErr w:type="gramStart"/>
      <w:r w:rsidRPr="00944B23">
        <w:rPr>
          <w:rFonts w:ascii="Times New Roman" w:hAnsi="Times New Roman" w:cs="Times New Roman"/>
        </w:rPr>
        <w:t>98a</w:t>
      </w:r>
      <w:proofErr w:type="gramEnd"/>
      <w:r w:rsidRPr="00944B23">
        <w:rPr>
          <w:rFonts w:ascii="Times New Roman" w:hAnsi="Times New Roman" w:cs="Times New Roman"/>
        </w:rPr>
        <w:t xml:space="preserve"> odst. 2 písm. h) energetického zákona je ERÚ povinen </w:t>
      </w:r>
      <w:r>
        <w:rPr>
          <w:rFonts w:ascii="Times New Roman" w:hAnsi="Times New Roman" w:cs="Times New Roman"/>
        </w:rPr>
        <w:t>vydat</w:t>
      </w:r>
      <w:r w:rsidRPr="00944B23">
        <w:rPr>
          <w:rFonts w:ascii="Times New Roman" w:hAnsi="Times New Roman" w:cs="Times New Roman"/>
        </w:rPr>
        <w:t xml:space="preserve"> Pravidla trhu s</w:t>
      </w:r>
      <w:r>
        <w:rPr>
          <w:rFonts w:ascii="Times New Roman" w:hAnsi="Times New Roman" w:cs="Times New Roman"/>
        </w:rPr>
        <w:t> </w:t>
      </w:r>
      <w:r w:rsidRPr="00944B23">
        <w:rPr>
          <w:rFonts w:ascii="Times New Roman" w:hAnsi="Times New Roman" w:cs="Times New Roman"/>
        </w:rPr>
        <w:t>elektřinou</w:t>
      </w:r>
      <w:r>
        <w:rPr>
          <w:rFonts w:ascii="Times New Roman" w:hAnsi="Times New Roman" w:cs="Times New Roman"/>
        </w:rPr>
        <w:t xml:space="preserve"> v uvedeném rozsahu</w:t>
      </w:r>
      <w:r w:rsidRPr="00944B23">
        <w:rPr>
          <w:rFonts w:ascii="Times New Roman" w:hAnsi="Times New Roman" w:cs="Times New Roman"/>
        </w:rPr>
        <w:t>.</w:t>
      </w:r>
    </w:p>
    <w:p w14:paraId="300BE99B" w14:textId="77777777" w:rsidR="006D7D45" w:rsidRPr="00944B23" w:rsidRDefault="006D7D45" w:rsidP="00237AFE">
      <w:pPr>
        <w:jc w:val="both"/>
        <w:rPr>
          <w:rFonts w:ascii="Times New Roman" w:hAnsi="Times New Roman" w:cs="Times New Roman"/>
        </w:rPr>
      </w:pPr>
      <w:r w:rsidRPr="00944B23">
        <w:rPr>
          <w:rFonts w:ascii="Times New Roman" w:hAnsi="Times New Roman" w:cs="Times New Roman"/>
        </w:rPr>
        <w:t>Podle § 17 odst. 4 energetického zákona je v působnosti Energetického regulačního úřadu jak ochrana zájmů zákazníků a spotřebitelů s cílem uspokojení všech přiměřených požadavků na dodávku energií, tak i ochrana oprávněných zájmů držitelů licencí, jejichž činnost podléhá regulaci.</w:t>
      </w:r>
    </w:p>
    <w:p w14:paraId="6745115A" w14:textId="77777777" w:rsidR="00BE7DB0" w:rsidRDefault="006D7D45" w:rsidP="00BE1407">
      <w:pPr>
        <w:spacing w:after="0"/>
        <w:jc w:val="both"/>
        <w:rPr>
          <w:rFonts w:ascii="Times New Roman" w:hAnsi="Times New Roman" w:cs="Times New Roman"/>
        </w:rPr>
      </w:pPr>
      <w:r w:rsidRPr="00944B23">
        <w:rPr>
          <w:rFonts w:ascii="Times New Roman" w:hAnsi="Times New Roman" w:cs="Times New Roman"/>
        </w:rPr>
        <w:t>V rámci mezí a požadavků daných výše uvedenou zákonnou úpravou Energetický regulační úřad naplnil při přípravě návrhu vyhlášky hlavní cíle hodnocení dopadu regulace:</w:t>
      </w:r>
    </w:p>
    <w:p w14:paraId="10428807" w14:textId="77777777" w:rsidR="00BE7DB0" w:rsidRDefault="006D7D45" w:rsidP="002F123D">
      <w:pPr>
        <w:pStyle w:val="Odstavecseseznamem"/>
        <w:numPr>
          <w:ilvl w:val="0"/>
          <w:numId w:val="10"/>
        </w:numPr>
        <w:spacing w:before="120" w:after="0"/>
        <w:jc w:val="both"/>
        <w:rPr>
          <w:rFonts w:ascii="Times New Roman" w:eastAsiaTheme="minorHAnsi" w:hAnsi="Times New Roman" w:cs="Times New Roman"/>
        </w:rPr>
      </w:pPr>
      <w:r w:rsidRPr="00BE7DB0">
        <w:rPr>
          <w:rFonts w:ascii="Times New Roman" w:eastAsiaTheme="minorHAnsi" w:hAnsi="Times New Roman" w:cs="Times New Roman"/>
        </w:rPr>
        <w:t>soustavné zkvalitňování právního prostředí;</w:t>
      </w:r>
    </w:p>
    <w:p w14:paraId="5530EDFA" w14:textId="77777777" w:rsidR="00BE7DB0" w:rsidRDefault="006D7D45" w:rsidP="002F123D">
      <w:pPr>
        <w:pStyle w:val="Odstavecseseznamem"/>
        <w:numPr>
          <w:ilvl w:val="0"/>
          <w:numId w:val="10"/>
        </w:numPr>
        <w:spacing w:before="120" w:after="0"/>
        <w:jc w:val="both"/>
        <w:rPr>
          <w:rFonts w:ascii="Times New Roman" w:eastAsiaTheme="minorHAnsi" w:hAnsi="Times New Roman" w:cs="Times New Roman"/>
        </w:rPr>
      </w:pPr>
      <w:r w:rsidRPr="00BE7DB0">
        <w:rPr>
          <w:rFonts w:ascii="Times New Roman" w:eastAsiaTheme="minorHAnsi" w:hAnsi="Times New Roman" w:cs="Times New Roman"/>
        </w:rPr>
        <w:t>zvyšování transparentnosti výkonu veřejné správy;</w:t>
      </w:r>
    </w:p>
    <w:p w14:paraId="4C25CDBE" w14:textId="77777777" w:rsidR="00BE7DB0" w:rsidRDefault="006D7D45" w:rsidP="002F123D">
      <w:pPr>
        <w:pStyle w:val="Odstavecseseznamem"/>
        <w:numPr>
          <w:ilvl w:val="0"/>
          <w:numId w:val="10"/>
        </w:numPr>
        <w:spacing w:before="120" w:after="0"/>
        <w:jc w:val="both"/>
        <w:rPr>
          <w:rFonts w:ascii="Times New Roman" w:eastAsiaTheme="minorHAnsi" w:hAnsi="Times New Roman" w:cs="Times New Roman"/>
        </w:rPr>
      </w:pPr>
      <w:r w:rsidRPr="00BE7DB0">
        <w:rPr>
          <w:rFonts w:ascii="Times New Roman" w:eastAsiaTheme="minorHAnsi" w:hAnsi="Times New Roman" w:cs="Times New Roman"/>
        </w:rPr>
        <w:t>lepší informovanost občanů a organizací o podobě připravované regulace formou konzultací v pracovních skupinách a formou veřejných konzultací na webových stránkách úřadu;</w:t>
      </w:r>
    </w:p>
    <w:p w14:paraId="430CF04F" w14:textId="77777777" w:rsidR="00BE7DB0" w:rsidRDefault="006D7D45" w:rsidP="002F123D">
      <w:pPr>
        <w:pStyle w:val="Odstavecseseznamem"/>
        <w:numPr>
          <w:ilvl w:val="0"/>
          <w:numId w:val="10"/>
        </w:numPr>
        <w:spacing w:before="120" w:after="0"/>
        <w:jc w:val="both"/>
        <w:rPr>
          <w:rFonts w:ascii="Times New Roman" w:eastAsiaTheme="minorHAnsi" w:hAnsi="Times New Roman" w:cs="Times New Roman"/>
        </w:rPr>
      </w:pPr>
      <w:r w:rsidRPr="00BE7DB0">
        <w:rPr>
          <w:rFonts w:ascii="Times New Roman" w:eastAsiaTheme="minorHAnsi" w:hAnsi="Times New Roman" w:cs="Times New Roman"/>
        </w:rPr>
        <w:t>lepší předvídatelnost požadavků připravované regulace pro koncové adresáty;</w:t>
      </w:r>
    </w:p>
    <w:p w14:paraId="05688961" w14:textId="77777777" w:rsidR="00BE7DB0" w:rsidRDefault="006D7D45" w:rsidP="00BE7DB0">
      <w:pPr>
        <w:pStyle w:val="Odstavecseseznamem"/>
        <w:numPr>
          <w:ilvl w:val="0"/>
          <w:numId w:val="10"/>
        </w:numPr>
        <w:spacing w:before="120" w:after="0"/>
        <w:ind w:left="709"/>
        <w:jc w:val="both"/>
        <w:rPr>
          <w:rFonts w:ascii="Times New Roman" w:eastAsiaTheme="minorHAnsi" w:hAnsi="Times New Roman" w:cs="Times New Roman"/>
        </w:rPr>
      </w:pPr>
      <w:r w:rsidRPr="00BE7DB0">
        <w:rPr>
          <w:rFonts w:ascii="Times New Roman" w:eastAsiaTheme="minorHAnsi" w:hAnsi="Times New Roman" w:cs="Times New Roman"/>
        </w:rPr>
        <w:t>eliminace tvorby nové neopodstatněné nebo nadbytečně zatěžující regulace;</w:t>
      </w:r>
    </w:p>
    <w:p w14:paraId="71DB1AF1" w14:textId="5C51CAF1" w:rsidR="00BE7DB0" w:rsidRDefault="006D7D45" w:rsidP="00BE7DB0">
      <w:pPr>
        <w:pStyle w:val="Odstavecseseznamem"/>
        <w:numPr>
          <w:ilvl w:val="0"/>
          <w:numId w:val="10"/>
        </w:numPr>
        <w:spacing w:before="120" w:after="120"/>
        <w:ind w:left="709" w:hanging="357"/>
        <w:jc w:val="both"/>
        <w:rPr>
          <w:rFonts w:ascii="Times New Roman" w:eastAsiaTheme="minorHAnsi" w:hAnsi="Times New Roman" w:cs="Times New Roman"/>
        </w:rPr>
      </w:pPr>
      <w:r w:rsidRPr="00BE7DB0">
        <w:rPr>
          <w:rFonts w:ascii="Times New Roman" w:eastAsiaTheme="minorHAnsi" w:hAnsi="Times New Roman" w:cs="Times New Roman"/>
        </w:rPr>
        <w:t>vyhodnocování účinnosti právních předpisů.</w:t>
      </w:r>
    </w:p>
    <w:p w14:paraId="48E37424" w14:textId="77777777" w:rsidR="00BE7DB0" w:rsidRPr="00BE7DB0" w:rsidRDefault="00BE7DB0" w:rsidP="00BE7DB0">
      <w:pPr>
        <w:pStyle w:val="Odstavecseseznamem"/>
        <w:spacing w:before="120" w:after="120"/>
        <w:ind w:left="709"/>
        <w:jc w:val="both"/>
        <w:rPr>
          <w:rFonts w:ascii="Times New Roman" w:eastAsiaTheme="minorHAnsi" w:hAnsi="Times New Roman" w:cs="Times New Roman"/>
        </w:rPr>
      </w:pPr>
    </w:p>
    <w:p w14:paraId="14407C05" w14:textId="57223B5B" w:rsidR="00F308C4" w:rsidRPr="00BE7DB0" w:rsidRDefault="009057C8" w:rsidP="009233A6">
      <w:pPr>
        <w:pStyle w:val="Odstavecseseznamem"/>
        <w:spacing w:before="120" w:after="0"/>
        <w:ind w:left="0"/>
        <w:jc w:val="both"/>
        <w:rPr>
          <w:rFonts w:ascii="Times New Roman" w:eastAsiaTheme="minorHAnsi" w:hAnsi="Times New Roman" w:cs="Times New Roman"/>
        </w:rPr>
      </w:pPr>
      <w:r w:rsidRPr="00BE7DB0">
        <w:rPr>
          <w:rFonts w:ascii="Times New Roman" w:eastAsiaTheme="minorHAnsi" w:hAnsi="Times New Roman" w:cs="Times New Roman"/>
        </w:rPr>
        <w:t>Předkladatelem návrhu vyhlášky o Pravidlech trhu s elektřinou je Energetický regulační úřad, který je také správním orgánem odpovědným za implementaci a monitoring úprav navrhované vyhlášky a kontrolu v elektroenergetickém odvětví a který při své běžné činnosti průběžně vyhodnocuje stav na</w:t>
      </w:r>
      <w:r w:rsidR="00BE7DB0">
        <w:rPr>
          <w:rFonts w:ascii="Times New Roman" w:eastAsiaTheme="minorHAnsi" w:hAnsi="Times New Roman" w:cs="Times New Roman"/>
        </w:rPr>
        <w:t> </w:t>
      </w:r>
      <w:r w:rsidRPr="00BE7DB0">
        <w:rPr>
          <w:rFonts w:ascii="Times New Roman" w:eastAsiaTheme="minorHAnsi" w:hAnsi="Times New Roman" w:cs="Times New Roman"/>
        </w:rPr>
        <w:t xml:space="preserve">energetických trzích a konzultuje jej s regulovanými subjekty. Praktická realizace navrhovaných úprav je </w:t>
      </w:r>
      <w:r w:rsidR="00FF79E4" w:rsidRPr="00BE7DB0">
        <w:rPr>
          <w:rFonts w:ascii="Times New Roman" w:eastAsiaTheme="minorHAnsi" w:hAnsi="Times New Roman" w:cs="Times New Roman"/>
        </w:rPr>
        <w:t>povinností účastníků</w:t>
      </w:r>
      <w:r w:rsidRPr="00BE7DB0">
        <w:rPr>
          <w:rFonts w:ascii="Times New Roman" w:eastAsiaTheme="minorHAnsi" w:hAnsi="Times New Roman" w:cs="Times New Roman"/>
        </w:rPr>
        <w:t xml:space="preserve"> trhu s</w:t>
      </w:r>
      <w:r w:rsidR="00FF79E4" w:rsidRPr="00BE7DB0">
        <w:rPr>
          <w:rFonts w:ascii="Times New Roman" w:eastAsiaTheme="minorHAnsi" w:hAnsi="Times New Roman" w:cs="Times New Roman"/>
        </w:rPr>
        <w:t> </w:t>
      </w:r>
      <w:r w:rsidRPr="00BE7DB0">
        <w:rPr>
          <w:rFonts w:ascii="Times New Roman" w:eastAsiaTheme="minorHAnsi" w:hAnsi="Times New Roman" w:cs="Times New Roman"/>
        </w:rPr>
        <w:t>elektřinou</w:t>
      </w:r>
      <w:r w:rsidR="00FF79E4" w:rsidRPr="00BE7DB0">
        <w:rPr>
          <w:rFonts w:ascii="Times New Roman" w:eastAsiaTheme="minorHAnsi" w:hAnsi="Times New Roman" w:cs="Times New Roman"/>
        </w:rPr>
        <w:t xml:space="preserve"> a bude Energetickým regulačním úřadem dozorována v rámci jeho činnosti</w:t>
      </w:r>
      <w:r w:rsidRPr="00BE7DB0">
        <w:rPr>
          <w:rFonts w:ascii="Times New Roman" w:eastAsiaTheme="minorHAnsi" w:hAnsi="Times New Roman" w:cs="Times New Roman"/>
        </w:rPr>
        <w:t>.</w:t>
      </w:r>
      <w:r w:rsidR="00FF79E4" w:rsidRPr="00BE7DB0">
        <w:rPr>
          <w:rFonts w:ascii="Times New Roman" w:eastAsiaTheme="minorHAnsi" w:hAnsi="Times New Roman" w:cs="Times New Roman"/>
        </w:rPr>
        <w:t xml:space="preserve"> </w:t>
      </w:r>
      <w:bookmarkStart w:id="0" w:name="_GoBack"/>
      <w:bookmarkEnd w:id="0"/>
    </w:p>
    <w:p w14:paraId="6C6F909D" w14:textId="1C59519A" w:rsidR="00484FAD" w:rsidRDefault="00484FAD" w:rsidP="00237AFE">
      <w:pPr>
        <w:pStyle w:val="Nadpis2-zvren"/>
        <w:spacing w:line="276" w:lineRule="auto"/>
        <w:rPr>
          <w:rFonts w:eastAsiaTheme="minorHAnsi"/>
        </w:rPr>
      </w:pPr>
      <w:r w:rsidRPr="00896C44">
        <w:rPr>
          <w:rFonts w:ascii="Times New Roman" w:eastAsiaTheme="minorHAnsi" w:hAnsi="Times New Roman" w:cs="Times New Roman"/>
          <w:bCs w:val="0"/>
          <w:color w:val="auto"/>
        </w:rPr>
        <w:t>Přezkum účinnosti regulace</w:t>
      </w:r>
    </w:p>
    <w:p w14:paraId="4CEA4271" w14:textId="58B6AE1E" w:rsidR="001E2A83" w:rsidRPr="00896C44" w:rsidRDefault="009057C8" w:rsidP="00237AFE">
      <w:pPr>
        <w:pStyle w:val="Nadpis2-zvren"/>
        <w:numPr>
          <w:ilvl w:val="0"/>
          <w:numId w:val="0"/>
        </w:numPr>
        <w:spacing w:line="276" w:lineRule="auto"/>
        <w:rPr>
          <w:rFonts w:ascii="Times New Roman" w:hAnsi="Times New Roman" w:cs="Times New Roman"/>
        </w:rPr>
      </w:pPr>
      <w:r w:rsidRPr="00337EFA">
        <w:rPr>
          <w:rFonts w:ascii="Times New Roman" w:eastAsiaTheme="minorHAnsi" w:hAnsi="Times New Roman" w:cs="Times New Roman"/>
          <w:b w:val="0"/>
          <w:bCs w:val="0"/>
          <w:color w:val="auto"/>
          <w:sz w:val="22"/>
          <w:szCs w:val="22"/>
        </w:rPr>
        <w:t>Dopad navržené sekundární legislativy bude průběžně sledován Energetickým regulačním úřadem a v</w:t>
      </w:r>
      <w:r w:rsidR="00BE7DB0">
        <w:rPr>
          <w:rFonts w:ascii="Times New Roman" w:eastAsiaTheme="minorHAnsi" w:hAnsi="Times New Roman" w:cs="Times New Roman"/>
          <w:b w:val="0"/>
          <w:bCs w:val="0"/>
          <w:color w:val="auto"/>
          <w:sz w:val="22"/>
          <w:szCs w:val="22"/>
        </w:rPr>
        <w:t> </w:t>
      </w:r>
      <w:r w:rsidRPr="00337EFA">
        <w:rPr>
          <w:rFonts w:ascii="Times New Roman" w:eastAsiaTheme="minorHAnsi" w:hAnsi="Times New Roman" w:cs="Times New Roman"/>
          <w:b w:val="0"/>
          <w:bCs w:val="0"/>
          <w:color w:val="auto"/>
          <w:sz w:val="22"/>
          <w:szCs w:val="22"/>
        </w:rPr>
        <w:t>případě nutnosti vyplývající ze změny podnikatelského prostředí v oblasti elektroenergetiky</w:t>
      </w:r>
      <w:r w:rsidR="003931BC">
        <w:rPr>
          <w:rFonts w:ascii="Times New Roman" w:eastAsiaTheme="minorHAnsi" w:hAnsi="Times New Roman" w:cs="Times New Roman"/>
          <w:b w:val="0"/>
          <w:bCs w:val="0"/>
          <w:color w:val="auto"/>
          <w:sz w:val="22"/>
          <w:szCs w:val="22"/>
        </w:rPr>
        <w:t xml:space="preserve"> nebo z případných později vzniklých implikací navržené úpravy</w:t>
      </w:r>
      <w:r w:rsidRPr="00337EFA">
        <w:rPr>
          <w:rFonts w:ascii="Times New Roman" w:eastAsiaTheme="minorHAnsi" w:hAnsi="Times New Roman" w:cs="Times New Roman"/>
          <w:b w:val="0"/>
          <w:bCs w:val="0"/>
          <w:color w:val="auto"/>
          <w:sz w:val="22"/>
          <w:szCs w:val="22"/>
        </w:rPr>
        <w:t>, případně změny primární legislativy, bude Úřad na vzniklou situaci bezodkladně reagovat. Vyhodnocení účinnosti regulace uplatněné předmětnou vyhláškou Energetický regulační úřad provede po dvou letech účinnosti vyhlášky, a to ve spolupráci s</w:t>
      </w:r>
      <w:r w:rsidR="00BE7DB0">
        <w:rPr>
          <w:rFonts w:ascii="Times New Roman" w:eastAsiaTheme="minorHAnsi" w:hAnsi="Times New Roman" w:cs="Times New Roman"/>
          <w:b w:val="0"/>
          <w:bCs w:val="0"/>
          <w:color w:val="auto"/>
          <w:sz w:val="22"/>
          <w:szCs w:val="22"/>
        </w:rPr>
        <w:t> </w:t>
      </w:r>
      <w:r w:rsidRPr="00337EFA">
        <w:rPr>
          <w:rFonts w:ascii="Times New Roman" w:eastAsiaTheme="minorHAnsi" w:hAnsi="Times New Roman" w:cs="Times New Roman"/>
          <w:b w:val="0"/>
          <w:bCs w:val="0"/>
          <w:color w:val="auto"/>
          <w:sz w:val="22"/>
          <w:szCs w:val="22"/>
        </w:rPr>
        <w:t xml:space="preserve">dotčenými subjekty (účastníky trhu). Energetický regulační úřad rovněž počítá s pravidelnými schůzkami s účastníky trhu v rámci pracovních skupin v </w:t>
      </w:r>
      <w:r w:rsidR="00BB3A40" w:rsidRPr="00337EFA">
        <w:rPr>
          <w:rFonts w:ascii="Times New Roman" w:eastAsiaTheme="minorHAnsi" w:hAnsi="Times New Roman" w:cs="Times New Roman"/>
          <w:b w:val="0"/>
          <w:bCs w:val="0"/>
          <w:color w:val="auto"/>
          <w:sz w:val="22"/>
          <w:szCs w:val="22"/>
        </w:rPr>
        <w:t>rámci,</w:t>
      </w:r>
      <w:r w:rsidRPr="00337EFA">
        <w:rPr>
          <w:rFonts w:ascii="Times New Roman" w:eastAsiaTheme="minorHAnsi" w:hAnsi="Times New Roman" w:cs="Times New Roman"/>
          <w:b w:val="0"/>
          <w:bCs w:val="0"/>
          <w:color w:val="auto"/>
          <w:sz w:val="22"/>
          <w:szCs w:val="22"/>
        </w:rPr>
        <w:t xml:space="preserve"> nichž bude průběžně řešena praktická aplikace vyhláškou stanovených postupů.</w:t>
      </w:r>
      <w:r w:rsidR="001E2A83" w:rsidRPr="00896C44">
        <w:rPr>
          <w:rFonts w:cs="Times New Roman"/>
          <w:szCs w:val="24"/>
        </w:rPr>
        <w:br w:type="page"/>
      </w:r>
    </w:p>
    <w:p w14:paraId="5C1B9AEA" w14:textId="77777777" w:rsidR="00E3005E" w:rsidRDefault="001E2A83" w:rsidP="00237AFE">
      <w:pPr>
        <w:pStyle w:val="Nadpis2-zvren"/>
        <w:spacing w:line="276" w:lineRule="auto"/>
        <w:rPr>
          <w:rFonts w:ascii="Times New Roman" w:hAnsi="Times New Roman" w:cs="Times New Roman"/>
          <w:color w:val="auto"/>
        </w:rPr>
      </w:pPr>
      <w:r w:rsidRPr="00E3005E">
        <w:rPr>
          <w:rFonts w:ascii="Times New Roman" w:hAnsi="Times New Roman" w:cs="Times New Roman"/>
          <w:color w:val="auto"/>
        </w:rPr>
        <w:t>Kontakt na zpracovatele RIA</w:t>
      </w:r>
    </w:p>
    <w:p w14:paraId="6E68E6EA" w14:textId="2A12F55A" w:rsidR="001E2A83" w:rsidRPr="00944B23" w:rsidRDefault="001E2A83"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r w:rsidRPr="00944B23">
        <w:rPr>
          <w:rFonts w:ascii="Times New Roman" w:eastAsiaTheme="minorHAnsi" w:hAnsi="Times New Roman" w:cs="Times New Roman"/>
          <w:b w:val="0"/>
          <w:bCs w:val="0"/>
          <w:color w:val="auto"/>
          <w:sz w:val="22"/>
          <w:szCs w:val="22"/>
        </w:rPr>
        <w:t>Závěrečnou zprávu RIA zpracoval a kontaktní osobou pro případné připomínky a dotazy je:</w:t>
      </w:r>
    </w:p>
    <w:p w14:paraId="6E68E6F0" w14:textId="77777777" w:rsidR="001E2A83" w:rsidRPr="00944B23" w:rsidRDefault="001E2A83" w:rsidP="00237AFE">
      <w:pPr>
        <w:spacing w:after="0"/>
        <w:rPr>
          <w:rFonts w:cs="Times New Roman"/>
        </w:rPr>
      </w:pPr>
    </w:p>
    <w:p w14:paraId="4A0B6CAB" w14:textId="77777777" w:rsidR="008D4145" w:rsidRDefault="008D4145" w:rsidP="00237AFE">
      <w:pPr>
        <w:rPr>
          <w:rFonts w:ascii="Times New Roman" w:hAnsi="Times New Roman" w:cs="Times New Roman"/>
        </w:rPr>
        <w:sectPr w:rsidR="008D4145" w:rsidSect="00BB3A40">
          <w:footerReference w:type="default" r:id="rId12"/>
          <w:pgSz w:w="16701" w:h="16838"/>
          <w:pgMar w:top="720" w:right="720" w:bottom="720" w:left="720" w:header="708" w:footer="708" w:gutter="0"/>
          <w:cols w:space="708"/>
          <w:docGrid w:linePitch="360"/>
        </w:sectPr>
      </w:pPr>
    </w:p>
    <w:p w14:paraId="6E68E6F1" w14:textId="242F6A3D" w:rsidR="001E2A83" w:rsidRPr="00944B23" w:rsidRDefault="001E2A83" w:rsidP="00237AFE">
      <w:pPr>
        <w:rPr>
          <w:rFonts w:ascii="Times New Roman" w:hAnsi="Times New Roman" w:cs="Times New Roman"/>
        </w:rPr>
      </w:pPr>
      <w:r w:rsidRPr="00944B23">
        <w:rPr>
          <w:rFonts w:ascii="Times New Roman" w:hAnsi="Times New Roman" w:cs="Times New Roman"/>
        </w:rPr>
        <w:t>Ing. Pavel Šimončík</w:t>
      </w:r>
    </w:p>
    <w:p w14:paraId="6E68E6F2" w14:textId="77777777" w:rsidR="001E2A83" w:rsidRPr="00944B23" w:rsidRDefault="001E2A83" w:rsidP="00237AFE">
      <w:pPr>
        <w:rPr>
          <w:rFonts w:ascii="Times New Roman" w:hAnsi="Times New Roman" w:cs="Times New Roman"/>
        </w:rPr>
      </w:pPr>
      <w:r w:rsidRPr="00944B23">
        <w:rPr>
          <w:rFonts w:ascii="Times New Roman" w:hAnsi="Times New Roman" w:cs="Times New Roman"/>
        </w:rPr>
        <w:t>Energetický regulační úřad</w:t>
      </w:r>
    </w:p>
    <w:p w14:paraId="6E68E6F3" w14:textId="5B0ED86C" w:rsidR="001E2A83" w:rsidRPr="00944B23" w:rsidRDefault="008D4145" w:rsidP="00237AFE">
      <w:pPr>
        <w:rPr>
          <w:rFonts w:ascii="Times New Roman" w:hAnsi="Times New Roman" w:cs="Times New Roman"/>
        </w:rPr>
      </w:pPr>
      <w:r w:rsidRPr="008D4145">
        <w:rPr>
          <w:rFonts w:ascii="Times New Roman" w:hAnsi="Times New Roman" w:cs="Times New Roman"/>
        </w:rPr>
        <w:t>Odbor technické regulace elektroenergeticky a plynárenství</w:t>
      </w:r>
      <w:r w:rsidR="001E2A83" w:rsidRPr="008D4145">
        <w:rPr>
          <w:rFonts w:ascii="Times New Roman" w:hAnsi="Times New Roman" w:cs="Times New Roman"/>
        </w:rPr>
        <w:t>/Oddělení sítí a organizace trhu</w:t>
      </w:r>
    </w:p>
    <w:p w14:paraId="6E68E6F4" w14:textId="24AC6B76" w:rsidR="001E2A83" w:rsidRPr="00944B23" w:rsidRDefault="001E2A83" w:rsidP="00237AFE">
      <w:pPr>
        <w:rPr>
          <w:rFonts w:ascii="Times New Roman" w:hAnsi="Times New Roman" w:cs="Times New Roman"/>
        </w:rPr>
      </w:pPr>
      <w:r w:rsidRPr="00944B23">
        <w:rPr>
          <w:rFonts w:ascii="Times New Roman" w:hAnsi="Times New Roman" w:cs="Times New Roman"/>
        </w:rPr>
        <w:t xml:space="preserve">tel. </w:t>
      </w:r>
      <w:r w:rsidR="008D4145">
        <w:rPr>
          <w:rFonts w:ascii="Times New Roman" w:hAnsi="Times New Roman" w:cs="Times New Roman"/>
        </w:rPr>
        <w:t>595</w:t>
      </w:r>
      <w:r w:rsidRPr="00944B23">
        <w:rPr>
          <w:rFonts w:ascii="Times New Roman" w:hAnsi="Times New Roman" w:cs="Times New Roman"/>
        </w:rPr>
        <w:t xml:space="preserve"> </w:t>
      </w:r>
      <w:r w:rsidR="008D4145">
        <w:rPr>
          <w:rFonts w:ascii="Times New Roman" w:hAnsi="Times New Roman" w:cs="Times New Roman"/>
        </w:rPr>
        <w:t>590</w:t>
      </w:r>
      <w:r w:rsidRPr="00944B23">
        <w:rPr>
          <w:rFonts w:ascii="Times New Roman" w:hAnsi="Times New Roman" w:cs="Times New Roman"/>
        </w:rPr>
        <w:t> </w:t>
      </w:r>
      <w:r w:rsidR="008D4145">
        <w:rPr>
          <w:rFonts w:ascii="Times New Roman" w:hAnsi="Times New Roman" w:cs="Times New Roman"/>
        </w:rPr>
        <w:t>888</w:t>
      </w:r>
    </w:p>
    <w:p w14:paraId="6E68E6F5" w14:textId="3E2415C5" w:rsidR="001E2A83" w:rsidRDefault="001E2A83" w:rsidP="00237AFE">
      <w:pPr>
        <w:rPr>
          <w:rFonts w:ascii="Times New Roman" w:hAnsi="Times New Roman" w:cs="Times New Roman"/>
        </w:rPr>
      </w:pPr>
      <w:r w:rsidRPr="00944B23">
        <w:rPr>
          <w:rFonts w:ascii="Times New Roman" w:hAnsi="Times New Roman" w:cs="Times New Roman"/>
        </w:rPr>
        <w:t xml:space="preserve">e-mail: </w:t>
      </w:r>
      <w:hyperlink r:id="rId13" w:history="1">
        <w:r w:rsidR="004E4AFC" w:rsidRPr="0010612E">
          <w:rPr>
            <w:rStyle w:val="Hypertextovodkaz"/>
            <w:rFonts w:ascii="Times New Roman" w:hAnsi="Times New Roman" w:cs="Times New Roman"/>
          </w:rPr>
          <w:t>pavel.simoncik@eru.cz</w:t>
        </w:r>
      </w:hyperlink>
    </w:p>
    <w:p w14:paraId="6C8B6441" w14:textId="539B75E6" w:rsidR="004E4AFC" w:rsidRDefault="004E4AFC" w:rsidP="00237AFE">
      <w:pPr>
        <w:rPr>
          <w:rFonts w:ascii="Times New Roman" w:hAnsi="Times New Roman" w:cs="Times New Roman"/>
        </w:rPr>
      </w:pPr>
      <w:r>
        <w:rPr>
          <w:rFonts w:ascii="Times New Roman" w:hAnsi="Times New Roman" w:cs="Times New Roman"/>
        </w:rPr>
        <w:t>Mgr. Lukáš Brada</w:t>
      </w:r>
    </w:p>
    <w:p w14:paraId="1BEE4E25" w14:textId="100F9367" w:rsidR="004E4AFC" w:rsidRDefault="004E4AFC" w:rsidP="00237AFE">
      <w:pPr>
        <w:rPr>
          <w:rFonts w:ascii="Times New Roman" w:hAnsi="Times New Roman" w:cs="Times New Roman"/>
        </w:rPr>
      </w:pPr>
      <w:r>
        <w:rPr>
          <w:rFonts w:ascii="Times New Roman" w:hAnsi="Times New Roman" w:cs="Times New Roman"/>
        </w:rPr>
        <w:t>Energetický regulační úřad</w:t>
      </w:r>
    </w:p>
    <w:p w14:paraId="40969D4D" w14:textId="2B203072" w:rsidR="004E4AFC" w:rsidRPr="008D4145" w:rsidRDefault="008D4145" w:rsidP="00237AFE">
      <w:pPr>
        <w:rPr>
          <w:rFonts w:ascii="Times New Roman" w:hAnsi="Times New Roman" w:cs="Times New Roman"/>
        </w:rPr>
      </w:pPr>
      <w:r w:rsidRPr="008D4145">
        <w:rPr>
          <w:rFonts w:ascii="Times New Roman" w:hAnsi="Times New Roman" w:cs="Times New Roman"/>
        </w:rPr>
        <w:t>Odbor legislativně právní</w:t>
      </w:r>
      <w:r w:rsidR="004E4AFC" w:rsidRPr="008D4145">
        <w:rPr>
          <w:rFonts w:ascii="Times New Roman" w:hAnsi="Times New Roman" w:cs="Times New Roman"/>
        </w:rPr>
        <w:t>/Oddělení</w:t>
      </w:r>
      <w:r w:rsidRPr="008D4145">
        <w:rPr>
          <w:rFonts w:ascii="Times New Roman" w:hAnsi="Times New Roman" w:cs="Times New Roman"/>
        </w:rPr>
        <w:t xml:space="preserve"> legislativní</w:t>
      </w:r>
    </w:p>
    <w:p w14:paraId="2F493779" w14:textId="6D11BD40" w:rsidR="004E4AFC" w:rsidRPr="008D4145" w:rsidRDefault="004E4AFC" w:rsidP="00237AFE">
      <w:pPr>
        <w:rPr>
          <w:rFonts w:ascii="Times New Roman" w:hAnsi="Times New Roman" w:cs="Times New Roman"/>
        </w:rPr>
      </w:pPr>
      <w:r w:rsidRPr="008D4145">
        <w:rPr>
          <w:rFonts w:ascii="Times New Roman" w:hAnsi="Times New Roman" w:cs="Times New Roman"/>
        </w:rPr>
        <w:t>tel.</w:t>
      </w:r>
      <w:r w:rsidR="008D4145" w:rsidRPr="008D4145">
        <w:rPr>
          <w:rFonts w:ascii="Times New Roman" w:hAnsi="Times New Roman" w:cs="Times New Roman"/>
        </w:rPr>
        <w:t xml:space="preserve"> 564 578 687</w:t>
      </w:r>
    </w:p>
    <w:p w14:paraId="201737F8" w14:textId="422E1E9B" w:rsidR="004E4AFC" w:rsidRPr="00944B23" w:rsidRDefault="004E4AFC" w:rsidP="00237AFE">
      <w:pPr>
        <w:rPr>
          <w:rFonts w:ascii="Times New Roman" w:hAnsi="Times New Roman" w:cs="Times New Roman"/>
        </w:rPr>
      </w:pPr>
      <w:r w:rsidRPr="008D4145">
        <w:rPr>
          <w:rFonts w:ascii="Times New Roman" w:hAnsi="Times New Roman" w:cs="Times New Roman"/>
        </w:rPr>
        <w:t>email:</w:t>
      </w:r>
      <w:r w:rsidR="008D4145" w:rsidRPr="008D4145">
        <w:rPr>
          <w:rFonts w:ascii="Times New Roman" w:hAnsi="Times New Roman" w:cs="Times New Roman"/>
        </w:rPr>
        <w:t xml:space="preserve"> </w:t>
      </w:r>
      <w:hyperlink r:id="rId14" w:history="1">
        <w:r w:rsidR="008D4145" w:rsidRPr="008E54AE">
          <w:rPr>
            <w:rStyle w:val="Hypertextovodkaz"/>
            <w:rFonts w:ascii="Times New Roman" w:hAnsi="Times New Roman" w:cs="Times New Roman"/>
          </w:rPr>
          <w:t>lukas.brada@eru.cz</w:t>
        </w:r>
      </w:hyperlink>
      <w:r w:rsidR="008D4145">
        <w:rPr>
          <w:rFonts w:ascii="Times New Roman" w:hAnsi="Times New Roman" w:cs="Times New Roman"/>
        </w:rPr>
        <w:t xml:space="preserve"> </w:t>
      </w:r>
    </w:p>
    <w:p w14:paraId="53655515" w14:textId="77777777" w:rsidR="008D4145" w:rsidRDefault="008D4145"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sectPr w:rsidR="008D4145" w:rsidSect="008D4145">
          <w:type w:val="continuous"/>
          <w:pgSz w:w="16701" w:h="16838"/>
          <w:pgMar w:top="1417" w:right="6212" w:bottom="1417" w:left="1417" w:header="708" w:footer="708" w:gutter="0"/>
          <w:cols w:num="2" w:space="708"/>
          <w:docGrid w:linePitch="360"/>
        </w:sectPr>
      </w:pPr>
    </w:p>
    <w:p w14:paraId="6E68E6F6" w14:textId="3354B30A" w:rsidR="000A3EA6" w:rsidRPr="000A3EA6" w:rsidRDefault="000A3EA6" w:rsidP="00237AFE">
      <w:pPr>
        <w:pStyle w:val="Nadpis2-zvren"/>
        <w:numPr>
          <w:ilvl w:val="0"/>
          <w:numId w:val="0"/>
        </w:numPr>
        <w:spacing w:line="276" w:lineRule="auto"/>
        <w:rPr>
          <w:rFonts w:ascii="Times New Roman" w:eastAsiaTheme="minorHAnsi" w:hAnsi="Times New Roman" w:cs="Times New Roman"/>
          <w:b w:val="0"/>
          <w:bCs w:val="0"/>
          <w:color w:val="auto"/>
          <w:sz w:val="22"/>
          <w:szCs w:val="22"/>
        </w:rPr>
      </w:pPr>
    </w:p>
    <w:sectPr w:rsidR="000A3EA6" w:rsidRPr="000A3EA6" w:rsidSect="008D4145">
      <w:type w:val="continuous"/>
      <w:pgSz w:w="16701" w:h="16838"/>
      <w:pgMar w:top="1417" w:right="621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2CDC" w14:textId="77777777" w:rsidR="00D37C47" w:rsidRDefault="00D37C47" w:rsidP="00E1713B">
      <w:pPr>
        <w:spacing w:after="0" w:line="240" w:lineRule="auto"/>
      </w:pPr>
      <w:r>
        <w:separator/>
      </w:r>
    </w:p>
  </w:endnote>
  <w:endnote w:type="continuationSeparator" w:id="0">
    <w:p w14:paraId="0217AD12" w14:textId="77777777" w:rsidR="00D37C47" w:rsidRDefault="00D37C47" w:rsidP="00E1713B">
      <w:pPr>
        <w:spacing w:after="0" w:line="240" w:lineRule="auto"/>
      </w:pPr>
      <w:r>
        <w:continuationSeparator/>
      </w:r>
    </w:p>
  </w:endnote>
  <w:endnote w:type="continuationNotice" w:id="1">
    <w:p w14:paraId="07C86C07" w14:textId="77777777" w:rsidR="00D37C47" w:rsidRDefault="00D37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941293"/>
      <w:docPartObj>
        <w:docPartGallery w:val="Page Numbers (Bottom of Page)"/>
        <w:docPartUnique/>
      </w:docPartObj>
    </w:sdtPr>
    <w:sdtEndPr/>
    <w:sdtContent>
      <w:p w14:paraId="118EE095" w14:textId="78E3291E" w:rsidR="00D37C47" w:rsidRDefault="00D37C47">
        <w:pPr>
          <w:pStyle w:val="Zpat"/>
          <w:jc w:val="center"/>
        </w:pPr>
        <w:r>
          <w:fldChar w:fldCharType="begin"/>
        </w:r>
        <w:r>
          <w:instrText>PAGE   \* MERGEFORMAT</w:instrText>
        </w:r>
        <w:r>
          <w:fldChar w:fldCharType="separate"/>
        </w:r>
        <w:r>
          <w:t>2</w:t>
        </w:r>
        <w:r>
          <w:fldChar w:fldCharType="end"/>
        </w:r>
      </w:p>
    </w:sdtContent>
  </w:sdt>
  <w:p w14:paraId="1F130220" w14:textId="77777777" w:rsidR="00D37C47" w:rsidRDefault="00D37C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A4B10" w14:textId="77777777" w:rsidR="00D37C47" w:rsidRDefault="00D37C47" w:rsidP="00E1713B">
      <w:pPr>
        <w:spacing w:after="0" w:line="240" w:lineRule="auto"/>
      </w:pPr>
      <w:r>
        <w:separator/>
      </w:r>
    </w:p>
  </w:footnote>
  <w:footnote w:type="continuationSeparator" w:id="0">
    <w:p w14:paraId="7D514734" w14:textId="77777777" w:rsidR="00D37C47" w:rsidRDefault="00D37C47" w:rsidP="00E1713B">
      <w:pPr>
        <w:spacing w:after="0" w:line="240" w:lineRule="auto"/>
      </w:pPr>
      <w:r>
        <w:continuationSeparator/>
      </w:r>
    </w:p>
  </w:footnote>
  <w:footnote w:type="continuationNotice" w:id="1">
    <w:p w14:paraId="47AC5D65" w14:textId="77777777" w:rsidR="00D37C47" w:rsidRDefault="00D37C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7A7"/>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55F47"/>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21163"/>
    <w:multiLevelType w:val="multilevel"/>
    <w:tmpl w:val="884093BA"/>
    <w:lvl w:ilvl="0">
      <w:start w:val="1"/>
      <w:numFmt w:val="decimal"/>
      <w:lvlText w:val="%1."/>
      <w:lvlJc w:val="left"/>
      <w:pPr>
        <w:ind w:left="360" w:hanging="360"/>
      </w:pPr>
      <w:rPr>
        <w:rFonts w:hint="default"/>
      </w:rPr>
    </w:lvl>
    <w:lvl w:ilvl="1">
      <w:start w:val="1"/>
      <w:numFmt w:val="decimal"/>
      <w:pStyle w:val="Nadpis3-zvren"/>
      <w:lvlText w:val="%1.%2."/>
      <w:lvlJc w:val="left"/>
      <w:pPr>
        <w:ind w:left="792" w:hanging="432"/>
      </w:pPr>
      <w:rPr>
        <w:rFonts w:hint="default"/>
      </w:rPr>
    </w:lvl>
    <w:lvl w:ilvl="2">
      <w:start w:val="1"/>
      <w:numFmt w:val="decimal"/>
      <w:pStyle w:val="Nadpis4-zvren"/>
      <w:lvlText w:val="%1.%2.%3."/>
      <w:lvlJc w:val="left"/>
      <w:pPr>
        <w:ind w:left="1224" w:hanging="504"/>
      </w:pPr>
      <w:rPr>
        <w:rFonts w:hint="default"/>
      </w:rPr>
    </w:lvl>
    <w:lvl w:ilvl="3">
      <w:start w:val="1"/>
      <w:numFmt w:val="decimal"/>
      <w:pStyle w:val="Nadpis5-zvr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23BCB"/>
    <w:multiLevelType w:val="hybridMultilevel"/>
    <w:tmpl w:val="545CC9F4"/>
    <w:lvl w:ilvl="0" w:tplc="AA12F1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91826"/>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205430"/>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226B63"/>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A84950"/>
    <w:multiLevelType w:val="hybridMultilevel"/>
    <w:tmpl w:val="72689B50"/>
    <w:lvl w:ilvl="0" w:tplc="1920559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3F31EE"/>
    <w:multiLevelType w:val="hybridMultilevel"/>
    <w:tmpl w:val="49128BE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5BA34C2"/>
    <w:multiLevelType w:val="hybridMultilevel"/>
    <w:tmpl w:val="F1D66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96272A"/>
    <w:multiLevelType w:val="multilevel"/>
    <w:tmpl w:val="88245C82"/>
    <w:lvl w:ilvl="0">
      <w:start w:val="1"/>
      <w:numFmt w:val="decimal"/>
      <w:pStyle w:val="Nadpis2-zvren"/>
      <w:lvlText w:val="%1."/>
      <w:lvlJc w:val="left"/>
      <w:pPr>
        <w:ind w:left="360" w:hanging="360"/>
      </w:pPr>
      <w:rPr>
        <w:rFonts w:hint="default"/>
        <w:color w:val="auto"/>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BE204A"/>
    <w:multiLevelType w:val="hybridMultilevel"/>
    <w:tmpl w:val="705A9E3C"/>
    <w:lvl w:ilvl="0" w:tplc="43F693BE">
      <w:start w:val="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45720F"/>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5377E0"/>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6B507C"/>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7A6BD7"/>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B21DBD"/>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9475E7"/>
    <w:multiLevelType w:val="hybridMultilevel"/>
    <w:tmpl w:val="3C501852"/>
    <w:lvl w:ilvl="0" w:tplc="4328EC4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845975"/>
    <w:multiLevelType w:val="hybridMultilevel"/>
    <w:tmpl w:val="842AC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B6225C"/>
    <w:multiLevelType w:val="hybridMultilevel"/>
    <w:tmpl w:val="C05E4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3E5B46"/>
    <w:multiLevelType w:val="hybridMultilevel"/>
    <w:tmpl w:val="3C501852"/>
    <w:lvl w:ilvl="0" w:tplc="4328EC4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C90CA3"/>
    <w:multiLevelType w:val="hybridMultilevel"/>
    <w:tmpl w:val="170460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096CE8"/>
    <w:multiLevelType w:val="hybridMultilevel"/>
    <w:tmpl w:val="8AC4F8D6"/>
    <w:lvl w:ilvl="0" w:tplc="477237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0C288F"/>
    <w:multiLevelType w:val="hybridMultilevel"/>
    <w:tmpl w:val="170460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855CF0"/>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6D11C7"/>
    <w:multiLevelType w:val="hybridMultilevel"/>
    <w:tmpl w:val="F1D66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D0479"/>
    <w:multiLevelType w:val="hybridMultilevel"/>
    <w:tmpl w:val="344CB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1"/>
  </w:num>
  <w:num w:numId="3">
    <w:abstractNumId w:val="7"/>
  </w:num>
  <w:num w:numId="4">
    <w:abstractNumId w:val="25"/>
  </w:num>
  <w:num w:numId="5">
    <w:abstractNumId w:val="3"/>
  </w:num>
  <w:num w:numId="6">
    <w:abstractNumId w:val="18"/>
  </w:num>
  <w:num w:numId="7">
    <w:abstractNumId w:val="22"/>
  </w:num>
  <w:num w:numId="8">
    <w:abstractNumId w:val="8"/>
  </w:num>
  <w:num w:numId="9">
    <w:abstractNumId w:val="10"/>
    <w:lvlOverride w:ilvl="0">
      <w:startOverride w:val="1"/>
    </w:lvlOverride>
    <w:lvlOverride w:ilvl="1">
      <w:startOverride w:val="6"/>
    </w:lvlOverride>
  </w:num>
  <w:num w:numId="10">
    <w:abstractNumId w:val="11"/>
  </w:num>
  <w:num w:numId="11">
    <w:abstractNumId w:val="10"/>
  </w:num>
  <w:num w:numId="12">
    <w:abstractNumId w:val="2"/>
  </w:num>
  <w:num w:numId="13">
    <w:abstractNumId w:val="9"/>
  </w:num>
  <w:num w:numId="14">
    <w:abstractNumId w:val="2"/>
  </w:num>
  <w:num w:numId="15">
    <w:abstractNumId w:val="2"/>
  </w:num>
  <w:num w:numId="16">
    <w:abstractNumId w:val="23"/>
  </w:num>
  <w:num w:numId="17">
    <w:abstractNumId w:val="10"/>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0"/>
  </w:num>
  <w:num w:numId="22">
    <w:abstractNumId w:val="4"/>
  </w:num>
  <w:num w:numId="23">
    <w:abstractNumId w:val="24"/>
  </w:num>
  <w:num w:numId="24">
    <w:abstractNumId w:val="15"/>
  </w:num>
  <w:num w:numId="25">
    <w:abstractNumId w:val="5"/>
  </w:num>
  <w:num w:numId="26">
    <w:abstractNumId w:val="1"/>
  </w:num>
  <w:num w:numId="27">
    <w:abstractNumId w:val="16"/>
  </w:num>
  <w:num w:numId="28">
    <w:abstractNumId w:val="13"/>
  </w:num>
  <w:num w:numId="29">
    <w:abstractNumId w:val="6"/>
  </w:num>
  <w:num w:numId="30">
    <w:abstractNumId w:val="20"/>
  </w:num>
  <w:num w:numId="31">
    <w:abstractNumId w:val="10"/>
  </w:num>
  <w:num w:numId="32">
    <w:abstractNumId w:val="17"/>
  </w:num>
  <w:num w:numId="33">
    <w:abstractNumId w:val="26"/>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21"/>
    <w:rsid w:val="00010841"/>
    <w:rsid w:val="000124E9"/>
    <w:rsid w:val="00025CA2"/>
    <w:rsid w:val="0002677F"/>
    <w:rsid w:val="00027E87"/>
    <w:rsid w:val="0003735C"/>
    <w:rsid w:val="00040CD5"/>
    <w:rsid w:val="00044D3B"/>
    <w:rsid w:val="00046A5A"/>
    <w:rsid w:val="00053CC3"/>
    <w:rsid w:val="0006078E"/>
    <w:rsid w:val="00062F83"/>
    <w:rsid w:val="000631F6"/>
    <w:rsid w:val="000711C2"/>
    <w:rsid w:val="00073BA0"/>
    <w:rsid w:val="00084E99"/>
    <w:rsid w:val="00090863"/>
    <w:rsid w:val="0009088E"/>
    <w:rsid w:val="00093380"/>
    <w:rsid w:val="00097180"/>
    <w:rsid w:val="000A1503"/>
    <w:rsid w:val="000A15BA"/>
    <w:rsid w:val="000A3EA6"/>
    <w:rsid w:val="000A6A03"/>
    <w:rsid w:val="000B0792"/>
    <w:rsid w:val="000B68C1"/>
    <w:rsid w:val="000C2204"/>
    <w:rsid w:val="000C4D71"/>
    <w:rsid w:val="000C6E4E"/>
    <w:rsid w:val="000D39CD"/>
    <w:rsid w:val="000E460A"/>
    <w:rsid w:val="000F2667"/>
    <w:rsid w:val="000F462C"/>
    <w:rsid w:val="001048D4"/>
    <w:rsid w:val="001061DF"/>
    <w:rsid w:val="00120C0E"/>
    <w:rsid w:val="00121FDE"/>
    <w:rsid w:val="00125F38"/>
    <w:rsid w:val="0012781C"/>
    <w:rsid w:val="00127D9B"/>
    <w:rsid w:val="00131BC5"/>
    <w:rsid w:val="00135DC5"/>
    <w:rsid w:val="00155000"/>
    <w:rsid w:val="00177344"/>
    <w:rsid w:val="00184486"/>
    <w:rsid w:val="00196C0A"/>
    <w:rsid w:val="001972BA"/>
    <w:rsid w:val="001A0DA7"/>
    <w:rsid w:val="001A503B"/>
    <w:rsid w:val="001A5E71"/>
    <w:rsid w:val="001A7B09"/>
    <w:rsid w:val="001C4E98"/>
    <w:rsid w:val="001D084A"/>
    <w:rsid w:val="001D596A"/>
    <w:rsid w:val="001E2A12"/>
    <w:rsid w:val="001E2A83"/>
    <w:rsid w:val="001E4545"/>
    <w:rsid w:val="001E78F4"/>
    <w:rsid w:val="001E7D40"/>
    <w:rsid w:val="00200741"/>
    <w:rsid w:val="00214EF8"/>
    <w:rsid w:val="002201B9"/>
    <w:rsid w:val="00222DC3"/>
    <w:rsid w:val="00223805"/>
    <w:rsid w:val="00226A4C"/>
    <w:rsid w:val="00230FF5"/>
    <w:rsid w:val="002334BF"/>
    <w:rsid w:val="00236935"/>
    <w:rsid w:val="0023782A"/>
    <w:rsid w:val="00237AFE"/>
    <w:rsid w:val="00245B83"/>
    <w:rsid w:val="00246410"/>
    <w:rsid w:val="00246981"/>
    <w:rsid w:val="002500BD"/>
    <w:rsid w:val="00251B3C"/>
    <w:rsid w:val="002629BD"/>
    <w:rsid w:val="002663F7"/>
    <w:rsid w:val="00267767"/>
    <w:rsid w:val="002803D2"/>
    <w:rsid w:val="00292B3C"/>
    <w:rsid w:val="00297715"/>
    <w:rsid w:val="002A5881"/>
    <w:rsid w:val="002A7B82"/>
    <w:rsid w:val="002C4E6B"/>
    <w:rsid w:val="002C579A"/>
    <w:rsid w:val="002C61F3"/>
    <w:rsid w:val="002E0C0F"/>
    <w:rsid w:val="002E1106"/>
    <w:rsid w:val="002E3821"/>
    <w:rsid w:val="002E5316"/>
    <w:rsid w:val="002E74AB"/>
    <w:rsid w:val="002F0CDD"/>
    <w:rsid w:val="002F2ACC"/>
    <w:rsid w:val="0030119A"/>
    <w:rsid w:val="0030714F"/>
    <w:rsid w:val="00313176"/>
    <w:rsid w:val="003163E0"/>
    <w:rsid w:val="00320C02"/>
    <w:rsid w:val="0032193A"/>
    <w:rsid w:val="0032218F"/>
    <w:rsid w:val="00327A03"/>
    <w:rsid w:val="00337EFA"/>
    <w:rsid w:val="00341914"/>
    <w:rsid w:val="00355852"/>
    <w:rsid w:val="0035599F"/>
    <w:rsid w:val="00357A5E"/>
    <w:rsid w:val="00377AA5"/>
    <w:rsid w:val="0038048F"/>
    <w:rsid w:val="00385C0A"/>
    <w:rsid w:val="00386CD0"/>
    <w:rsid w:val="003931BC"/>
    <w:rsid w:val="00395A57"/>
    <w:rsid w:val="003A0C85"/>
    <w:rsid w:val="003A1FD9"/>
    <w:rsid w:val="003B46B8"/>
    <w:rsid w:val="003C36F7"/>
    <w:rsid w:val="003D3006"/>
    <w:rsid w:val="003D7FBF"/>
    <w:rsid w:val="003F467A"/>
    <w:rsid w:val="003F57C2"/>
    <w:rsid w:val="00406525"/>
    <w:rsid w:val="00406B10"/>
    <w:rsid w:val="004113A8"/>
    <w:rsid w:val="00412297"/>
    <w:rsid w:val="004203FF"/>
    <w:rsid w:val="0042189A"/>
    <w:rsid w:val="00434ACD"/>
    <w:rsid w:val="00451D1E"/>
    <w:rsid w:val="0045413D"/>
    <w:rsid w:val="00460593"/>
    <w:rsid w:val="00462D42"/>
    <w:rsid w:val="00473338"/>
    <w:rsid w:val="00484FAD"/>
    <w:rsid w:val="00487DFB"/>
    <w:rsid w:val="0049218D"/>
    <w:rsid w:val="00492FED"/>
    <w:rsid w:val="004952E5"/>
    <w:rsid w:val="00495DCF"/>
    <w:rsid w:val="004A0BBA"/>
    <w:rsid w:val="004A1AE2"/>
    <w:rsid w:val="004B5D75"/>
    <w:rsid w:val="004B7687"/>
    <w:rsid w:val="004C0418"/>
    <w:rsid w:val="004D579F"/>
    <w:rsid w:val="004E421A"/>
    <w:rsid w:val="004E43B5"/>
    <w:rsid w:val="004E4AFC"/>
    <w:rsid w:val="004E66FE"/>
    <w:rsid w:val="004E7E6D"/>
    <w:rsid w:val="004F0EDC"/>
    <w:rsid w:val="004F27AD"/>
    <w:rsid w:val="004F4AAE"/>
    <w:rsid w:val="00504F1B"/>
    <w:rsid w:val="005100D8"/>
    <w:rsid w:val="00521EC2"/>
    <w:rsid w:val="005227AB"/>
    <w:rsid w:val="00535A44"/>
    <w:rsid w:val="00537152"/>
    <w:rsid w:val="00555301"/>
    <w:rsid w:val="00557254"/>
    <w:rsid w:val="00570829"/>
    <w:rsid w:val="005918E4"/>
    <w:rsid w:val="00594311"/>
    <w:rsid w:val="005A3992"/>
    <w:rsid w:val="005C2CB5"/>
    <w:rsid w:val="005D6540"/>
    <w:rsid w:val="005E30CE"/>
    <w:rsid w:val="005E3868"/>
    <w:rsid w:val="005E43EF"/>
    <w:rsid w:val="005E4FB9"/>
    <w:rsid w:val="005E585A"/>
    <w:rsid w:val="005E6D19"/>
    <w:rsid w:val="00602570"/>
    <w:rsid w:val="00607B39"/>
    <w:rsid w:val="00614452"/>
    <w:rsid w:val="00615ED8"/>
    <w:rsid w:val="00622C21"/>
    <w:rsid w:val="00623049"/>
    <w:rsid w:val="00623F40"/>
    <w:rsid w:val="0063495E"/>
    <w:rsid w:val="006349F3"/>
    <w:rsid w:val="006415A0"/>
    <w:rsid w:val="006420E8"/>
    <w:rsid w:val="0064239C"/>
    <w:rsid w:val="00647F04"/>
    <w:rsid w:val="00684DB8"/>
    <w:rsid w:val="00686751"/>
    <w:rsid w:val="006901C0"/>
    <w:rsid w:val="006919B2"/>
    <w:rsid w:val="00691A4A"/>
    <w:rsid w:val="00694872"/>
    <w:rsid w:val="00697B32"/>
    <w:rsid w:val="006A1865"/>
    <w:rsid w:val="006A1B64"/>
    <w:rsid w:val="006A1D9F"/>
    <w:rsid w:val="006A632E"/>
    <w:rsid w:val="006A7556"/>
    <w:rsid w:val="006C7BC7"/>
    <w:rsid w:val="006D7D45"/>
    <w:rsid w:val="006E4FF7"/>
    <w:rsid w:val="006E6086"/>
    <w:rsid w:val="006F50D8"/>
    <w:rsid w:val="007004E4"/>
    <w:rsid w:val="007130EB"/>
    <w:rsid w:val="0071472E"/>
    <w:rsid w:val="0071736B"/>
    <w:rsid w:val="00724E24"/>
    <w:rsid w:val="00736A81"/>
    <w:rsid w:val="00753C8B"/>
    <w:rsid w:val="00772FB2"/>
    <w:rsid w:val="00775C65"/>
    <w:rsid w:val="0077738A"/>
    <w:rsid w:val="007A1C99"/>
    <w:rsid w:val="007A236C"/>
    <w:rsid w:val="007B3C6D"/>
    <w:rsid w:val="007C0053"/>
    <w:rsid w:val="007C2EA9"/>
    <w:rsid w:val="007C53CB"/>
    <w:rsid w:val="007D30AB"/>
    <w:rsid w:val="007D429A"/>
    <w:rsid w:val="007E2732"/>
    <w:rsid w:val="007E5268"/>
    <w:rsid w:val="007F059F"/>
    <w:rsid w:val="007F3063"/>
    <w:rsid w:val="007F63B0"/>
    <w:rsid w:val="00805F1B"/>
    <w:rsid w:val="00822514"/>
    <w:rsid w:val="008235FB"/>
    <w:rsid w:val="00832F28"/>
    <w:rsid w:val="008343BB"/>
    <w:rsid w:val="00841169"/>
    <w:rsid w:val="00844857"/>
    <w:rsid w:val="008518AA"/>
    <w:rsid w:val="008548B9"/>
    <w:rsid w:val="00862E42"/>
    <w:rsid w:val="0086307F"/>
    <w:rsid w:val="00864983"/>
    <w:rsid w:val="0086651E"/>
    <w:rsid w:val="008672CF"/>
    <w:rsid w:val="008779C1"/>
    <w:rsid w:val="00877AA6"/>
    <w:rsid w:val="0088194A"/>
    <w:rsid w:val="008871A2"/>
    <w:rsid w:val="00894AE9"/>
    <w:rsid w:val="00896C44"/>
    <w:rsid w:val="0089700A"/>
    <w:rsid w:val="0089761E"/>
    <w:rsid w:val="008B47AE"/>
    <w:rsid w:val="008C0B88"/>
    <w:rsid w:val="008C1F47"/>
    <w:rsid w:val="008C5A4E"/>
    <w:rsid w:val="008C6327"/>
    <w:rsid w:val="008D4145"/>
    <w:rsid w:val="008D4BD9"/>
    <w:rsid w:val="008E201E"/>
    <w:rsid w:val="008E6B1B"/>
    <w:rsid w:val="008E7566"/>
    <w:rsid w:val="00902B39"/>
    <w:rsid w:val="00903150"/>
    <w:rsid w:val="009057C8"/>
    <w:rsid w:val="00905D26"/>
    <w:rsid w:val="00912CE0"/>
    <w:rsid w:val="009153CB"/>
    <w:rsid w:val="00923C91"/>
    <w:rsid w:val="00941BA9"/>
    <w:rsid w:val="00944B23"/>
    <w:rsid w:val="0094631D"/>
    <w:rsid w:val="00961484"/>
    <w:rsid w:val="0098212B"/>
    <w:rsid w:val="00997278"/>
    <w:rsid w:val="009A1D11"/>
    <w:rsid w:val="009A4A16"/>
    <w:rsid w:val="009A71CD"/>
    <w:rsid w:val="009B75C6"/>
    <w:rsid w:val="009E0042"/>
    <w:rsid w:val="009E0AC5"/>
    <w:rsid w:val="009E0F32"/>
    <w:rsid w:val="009E46CC"/>
    <w:rsid w:val="009E7848"/>
    <w:rsid w:val="009F1011"/>
    <w:rsid w:val="009F16DA"/>
    <w:rsid w:val="009F6154"/>
    <w:rsid w:val="00A0206C"/>
    <w:rsid w:val="00A07A49"/>
    <w:rsid w:val="00A1070A"/>
    <w:rsid w:val="00A32CAC"/>
    <w:rsid w:val="00A419C4"/>
    <w:rsid w:val="00A41DDC"/>
    <w:rsid w:val="00A42337"/>
    <w:rsid w:val="00A4611D"/>
    <w:rsid w:val="00A5189E"/>
    <w:rsid w:val="00A51AF7"/>
    <w:rsid w:val="00A52A2F"/>
    <w:rsid w:val="00A571B1"/>
    <w:rsid w:val="00A63349"/>
    <w:rsid w:val="00A72841"/>
    <w:rsid w:val="00A7598B"/>
    <w:rsid w:val="00A76A0C"/>
    <w:rsid w:val="00A77F3E"/>
    <w:rsid w:val="00A83BF2"/>
    <w:rsid w:val="00A9147A"/>
    <w:rsid w:val="00A94C86"/>
    <w:rsid w:val="00A94DE9"/>
    <w:rsid w:val="00AA560C"/>
    <w:rsid w:val="00AA6AD1"/>
    <w:rsid w:val="00AA7CAC"/>
    <w:rsid w:val="00AB311C"/>
    <w:rsid w:val="00AB6F8E"/>
    <w:rsid w:val="00AC3864"/>
    <w:rsid w:val="00AC5997"/>
    <w:rsid w:val="00AC7685"/>
    <w:rsid w:val="00AC76C8"/>
    <w:rsid w:val="00AE183E"/>
    <w:rsid w:val="00AE261A"/>
    <w:rsid w:val="00AF67BA"/>
    <w:rsid w:val="00AF7810"/>
    <w:rsid w:val="00B0169C"/>
    <w:rsid w:val="00B01B4C"/>
    <w:rsid w:val="00B032E7"/>
    <w:rsid w:val="00B1157E"/>
    <w:rsid w:val="00B1266B"/>
    <w:rsid w:val="00B12D79"/>
    <w:rsid w:val="00B13F11"/>
    <w:rsid w:val="00B23F45"/>
    <w:rsid w:val="00B34C32"/>
    <w:rsid w:val="00B414F1"/>
    <w:rsid w:val="00B47669"/>
    <w:rsid w:val="00B50545"/>
    <w:rsid w:val="00B65E97"/>
    <w:rsid w:val="00B67123"/>
    <w:rsid w:val="00B70E8C"/>
    <w:rsid w:val="00B729C9"/>
    <w:rsid w:val="00B77454"/>
    <w:rsid w:val="00B85C31"/>
    <w:rsid w:val="00B876C4"/>
    <w:rsid w:val="00B971B1"/>
    <w:rsid w:val="00BA5555"/>
    <w:rsid w:val="00BB0BF4"/>
    <w:rsid w:val="00BB161F"/>
    <w:rsid w:val="00BB2CED"/>
    <w:rsid w:val="00BB3A40"/>
    <w:rsid w:val="00BB4006"/>
    <w:rsid w:val="00BB6C56"/>
    <w:rsid w:val="00BC1780"/>
    <w:rsid w:val="00BC21C4"/>
    <w:rsid w:val="00BC5037"/>
    <w:rsid w:val="00BC71D7"/>
    <w:rsid w:val="00BD0172"/>
    <w:rsid w:val="00BD18D9"/>
    <w:rsid w:val="00BE08E0"/>
    <w:rsid w:val="00BE1407"/>
    <w:rsid w:val="00BE4FCD"/>
    <w:rsid w:val="00BE7DB0"/>
    <w:rsid w:val="00BF49F4"/>
    <w:rsid w:val="00C0163C"/>
    <w:rsid w:val="00C01D3D"/>
    <w:rsid w:val="00C02041"/>
    <w:rsid w:val="00C12737"/>
    <w:rsid w:val="00C12FC7"/>
    <w:rsid w:val="00C20D31"/>
    <w:rsid w:val="00C2115B"/>
    <w:rsid w:val="00C36695"/>
    <w:rsid w:val="00C509A1"/>
    <w:rsid w:val="00C55D6E"/>
    <w:rsid w:val="00C7207C"/>
    <w:rsid w:val="00C73E44"/>
    <w:rsid w:val="00C754BA"/>
    <w:rsid w:val="00C80713"/>
    <w:rsid w:val="00C82280"/>
    <w:rsid w:val="00C907E3"/>
    <w:rsid w:val="00C92F8B"/>
    <w:rsid w:val="00CA141B"/>
    <w:rsid w:val="00CB3DA9"/>
    <w:rsid w:val="00CB6D6C"/>
    <w:rsid w:val="00CC46FB"/>
    <w:rsid w:val="00CD6E4E"/>
    <w:rsid w:val="00CE086E"/>
    <w:rsid w:val="00CE3B86"/>
    <w:rsid w:val="00CE456A"/>
    <w:rsid w:val="00CF2A78"/>
    <w:rsid w:val="00D11119"/>
    <w:rsid w:val="00D17608"/>
    <w:rsid w:val="00D25103"/>
    <w:rsid w:val="00D25836"/>
    <w:rsid w:val="00D3016A"/>
    <w:rsid w:val="00D376F6"/>
    <w:rsid w:val="00D37C47"/>
    <w:rsid w:val="00D42604"/>
    <w:rsid w:val="00D510A4"/>
    <w:rsid w:val="00D53E08"/>
    <w:rsid w:val="00D56555"/>
    <w:rsid w:val="00D66EDF"/>
    <w:rsid w:val="00D77A13"/>
    <w:rsid w:val="00D90A85"/>
    <w:rsid w:val="00D9138D"/>
    <w:rsid w:val="00D94541"/>
    <w:rsid w:val="00D95DCE"/>
    <w:rsid w:val="00D96104"/>
    <w:rsid w:val="00D964BF"/>
    <w:rsid w:val="00DA0094"/>
    <w:rsid w:val="00DA30B1"/>
    <w:rsid w:val="00DA5AF0"/>
    <w:rsid w:val="00DA77D8"/>
    <w:rsid w:val="00DB0D66"/>
    <w:rsid w:val="00DB0F2A"/>
    <w:rsid w:val="00DB42A7"/>
    <w:rsid w:val="00DB5B9A"/>
    <w:rsid w:val="00DE31B2"/>
    <w:rsid w:val="00DF0E6E"/>
    <w:rsid w:val="00DF11ED"/>
    <w:rsid w:val="00DF6047"/>
    <w:rsid w:val="00E038D0"/>
    <w:rsid w:val="00E14CA9"/>
    <w:rsid w:val="00E1713B"/>
    <w:rsid w:val="00E24C5B"/>
    <w:rsid w:val="00E25DCE"/>
    <w:rsid w:val="00E27173"/>
    <w:rsid w:val="00E3005E"/>
    <w:rsid w:val="00E3046B"/>
    <w:rsid w:val="00E326EA"/>
    <w:rsid w:val="00E3561E"/>
    <w:rsid w:val="00E43CB9"/>
    <w:rsid w:val="00E57FB1"/>
    <w:rsid w:val="00E61416"/>
    <w:rsid w:val="00E61668"/>
    <w:rsid w:val="00E77D56"/>
    <w:rsid w:val="00E836B7"/>
    <w:rsid w:val="00E84796"/>
    <w:rsid w:val="00E8480F"/>
    <w:rsid w:val="00E8653C"/>
    <w:rsid w:val="00E91BF0"/>
    <w:rsid w:val="00EB5E6E"/>
    <w:rsid w:val="00EC2F77"/>
    <w:rsid w:val="00ED33B2"/>
    <w:rsid w:val="00ED5F91"/>
    <w:rsid w:val="00EF4693"/>
    <w:rsid w:val="00EF7496"/>
    <w:rsid w:val="00F05206"/>
    <w:rsid w:val="00F05D1A"/>
    <w:rsid w:val="00F2098A"/>
    <w:rsid w:val="00F222AC"/>
    <w:rsid w:val="00F27F8A"/>
    <w:rsid w:val="00F308C4"/>
    <w:rsid w:val="00F334A0"/>
    <w:rsid w:val="00F37097"/>
    <w:rsid w:val="00F44042"/>
    <w:rsid w:val="00F51E3A"/>
    <w:rsid w:val="00F56033"/>
    <w:rsid w:val="00F72401"/>
    <w:rsid w:val="00F82394"/>
    <w:rsid w:val="00F8526B"/>
    <w:rsid w:val="00F860FA"/>
    <w:rsid w:val="00F87651"/>
    <w:rsid w:val="00F92580"/>
    <w:rsid w:val="00F93CC3"/>
    <w:rsid w:val="00F96B63"/>
    <w:rsid w:val="00F97A31"/>
    <w:rsid w:val="00FA2B33"/>
    <w:rsid w:val="00FA60A3"/>
    <w:rsid w:val="00FB31BB"/>
    <w:rsid w:val="00FB33AB"/>
    <w:rsid w:val="00FC3911"/>
    <w:rsid w:val="00FE145A"/>
    <w:rsid w:val="00FE676B"/>
    <w:rsid w:val="00FF3B3C"/>
    <w:rsid w:val="00FF52CD"/>
    <w:rsid w:val="00FF7421"/>
    <w:rsid w:val="00FF7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E587"/>
  <w15:docId w15:val="{A381E62D-545D-4509-8A49-373B9277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2C2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u w:val="single"/>
    </w:rPr>
  </w:style>
  <w:style w:type="paragraph" w:styleId="Nadpis2">
    <w:name w:val="heading 2"/>
    <w:basedOn w:val="Normln"/>
    <w:next w:val="Normln"/>
    <w:link w:val="Nadpis2Char"/>
    <w:uiPriority w:val="9"/>
    <w:unhideWhenUsed/>
    <w:qFormat/>
    <w:rsid w:val="00622C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E2A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2C21"/>
    <w:rPr>
      <w:rFonts w:asciiTheme="majorHAnsi" w:eastAsiaTheme="majorEastAsia" w:hAnsiTheme="majorHAnsi" w:cstheme="majorBidi"/>
      <w:b/>
      <w:bCs/>
      <w:color w:val="365F91" w:themeColor="accent1" w:themeShade="BF"/>
      <w:sz w:val="28"/>
      <w:szCs w:val="28"/>
      <w:u w:val="single"/>
    </w:rPr>
  </w:style>
  <w:style w:type="paragraph" w:customStyle="1" w:styleId="Nadpis2-zvren">
    <w:name w:val="Nadpis 2 - závěrečná"/>
    <w:basedOn w:val="Nadpis2"/>
    <w:link w:val="Nadpis2-zvrenChar"/>
    <w:qFormat/>
    <w:rsid w:val="00622C21"/>
    <w:pPr>
      <w:numPr>
        <w:numId w:val="11"/>
      </w:numPr>
      <w:spacing w:line="240" w:lineRule="auto"/>
      <w:jc w:val="both"/>
    </w:pPr>
    <w:rPr>
      <w:color w:val="1F497D" w:themeColor="text2"/>
    </w:rPr>
  </w:style>
  <w:style w:type="character" w:customStyle="1" w:styleId="Nadpis2-zvrenChar">
    <w:name w:val="Nadpis 2 - závěrečná Char"/>
    <w:basedOn w:val="Nadpis2Char"/>
    <w:link w:val="Nadpis2-zvren"/>
    <w:rsid w:val="00622C21"/>
    <w:rPr>
      <w:rFonts w:asciiTheme="majorHAnsi" w:eastAsiaTheme="majorEastAsia" w:hAnsiTheme="majorHAnsi" w:cstheme="majorBidi"/>
      <w:b/>
      <w:bCs/>
      <w:color w:val="1F497D" w:themeColor="text2"/>
      <w:sz w:val="26"/>
      <w:szCs w:val="26"/>
    </w:rPr>
  </w:style>
  <w:style w:type="character" w:customStyle="1" w:styleId="Nadpis2Char">
    <w:name w:val="Nadpis 2 Char"/>
    <w:basedOn w:val="Standardnpsmoodstavce"/>
    <w:link w:val="Nadpis2"/>
    <w:uiPriority w:val="9"/>
    <w:rsid w:val="00622C21"/>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F3B3C"/>
    <w:pPr>
      <w:ind w:left="720"/>
      <w:contextualSpacing/>
    </w:pPr>
    <w:rPr>
      <w:rFonts w:eastAsiaTheme="minorEastAsia"/>
      <w:lang w:eastAsia="cs-CZ"/>
    </w:rPr>
  </w:style>
  <w:style w:type="character" w:customStyle="1" w:styleId="Nadpis3Char">
    <w:name w:val="Nadpis 3 Char"/>
    <w:basedOn w:val="Standardnpsmoodstavce"/>
    <w:link w:val="Nadpis3"/>
    <w:uiPriority w:val="9"/>
    <w:rsid w:val="001E2A83"/>
    <w:rPr>
      <w:rFonts w:asciiTheme="majorHAnsi" w:eastAsiaTheme="majorEastAsia" w:hAnsiTheme="majorHAnsi" w:cstheme="majorBidi"/>
      <w:b/>
      <w:bCs/>
      <w:color w:val="4F81BD" w:themeColor="accent1"/>
    </w:rPr>
  </w:style>
  <w:style w:type="paragraph" w:customStyle="1" w:styleId="Nadpis3-zvren">
    <w:name w:val="Nadpis 3 - závěrečná"/>
    <w:basedOn w:val="Nadpis3"/>
    <w:link w:val="Nadpis3-zvrenChar"/>
    <w:qFormat/>
    <w:rsid w:val="001E2A83"/>
    <w:pPr>
      <w:numPr>
        <w:ilvl w:val="1"/>
        <w:numId w:val="12"/>
      </w:numPr>
      <w:spacing w:after="120" w:line="240" w:lineRule="auto"/>
      <w:jc w:val="both"/>
    </w:pPr>
    <w:rPr>
      <w:color w:val="1F497D" w:themeColor="text2"/>
      <w:sz w:val="24"/>
    </w:rPr>
  </w:style>
  <w:style w:type="character" w:customStyle="1" w:styleId="Nadpis3-zvrenChar">
    <w:name w:val="Nadpis 3 - závěrečná Char"/>
    <w:basedOn w:val="Nadpis3Char"/>
    <w:link w:val="Nadpis3-zvren"/>
    <w:rsid w:val="001E2A83"/>
    <w:rPr>
      <w:rFonts w:asciiTheme="majorHAnsi" w:eastAsiaTheme="majorEastAsia" w:hAnsiTheme="majorHAnsi" w:cstheme="majorBidi"/>
      <w:b/>
      <w:bCs/>
      <w:color w:val="1F497D" w:themeColor="text2"/>
      <w:sz w:val="24"/>
    </w:rPr>
  </w:style>
  <w:style w:type="paragraph" w:customStyle="1" w:styleId="Nadpis4-zvren">
    <w:name w:val="Nadpis 4 - závěrečná"/>
    <w:basedOn w:val="Nadpis3-zvren"/>
    <w:link w:val="Nadpis4-zvrenChar"/>
    <w:qFormat/>
    <w:rsid w:val="001E2A83"/>
    <w:pPr>
      <w:numPr>
        <w:ilvl w:val="2"/>
      </w:numPr>
    </w:pPr>
  </w:style>
  <w:style w:type="paragraph" w:customStyle="1" w:styleId="Nadpis5-zvren">
    <w:name w:val="Nadpis 5 - závěrečná"/>
    <w:basedOn w:val="Nadpis4-zvren"/>
    <w:qFormat/>
    <w:rsid w:val="001E2A83"/>
    <w:pPr>
      <w:numPr>
        <w:ilvl w:val="3"/>
      </w:numPr>
      <w:ind w:left="2880" w:hanging="360"/>
    </w:pPr>
  </w:style>
  <w:style w:type="character" w:customStyle="1" w:styleId="Nadpis4-zvrenChar">
    <w:name w:val="Nadpis 4 - závěrečná Char"/>
    <w:basedOn w:val="Nadpis3-zvrenChar"/>
    <w:link w:val="Nadpis4-zvren"/>
    <w:rsid w:val="001E2A83"/>
    <w:rPr>
      <w:rFonts w:asciiTheme="majorHAnsi" w:eastAsiaTheme="majorEastAsia" w:hAnsiTheme="majorHAnsi" w:cstheme="majorBidi"/>
      <w:b/>
      <w:bCs/>
      <w:color w:val="1F497D" w:themeColor="text2"/>
      <w:sz w:val="24"/>
    </w:rPr>
  </w:style>
  <w:style w:type="character" w:styleId="Odkaznakoment">
    <w:name w:val="annotation reference"/>
    <w:basedOn w:val="Standardnpsmoodstavce"/>
    <w:uiPriority w:val="99"/>
    <w:semiHidden/>
    <w:unhideWhenUsed/>
    <w:rsid w:val="00570829"/>
    <w:rPr>
      <w:sz w:val="16"/>
      <w:szCs w:val="16"/>
    </w:rPr>
  </w:style>
  <w:style w:type="paragraph" w:styleId="Textkomente">
    <w:name w:val="annotation text"/>
    <w:basedOn w:val="Normln"/>
    <w:link w:val="TextkomenteChar"/>
    <w:uiPriority w:val="99"/>
    <w:semiHidden/>
    <w:unhideWhenUsed/>
    <w:rsid w:val="00570829"/>
    <w:pPr>
      <w:spacing w:line="240" w:lineRule="auto"/>
    </w:pPr>
    <w:rPr>
      <w:sz w:val="20"/>
      <w:szCs w:val="20"/>
    </w:rPr>
  </w:style>
  <w:style w:type="character" w:customStyle="1" w:styleId="TextkomenteChar">
    <w:name w:val="Text komentáře Char"/>
    <w:basedOn w:val="Standardnpsmoodstavce"/>
    <w:link w:val="Textkomente"/>
    <w:uiPriority w:val="99"/>
    <w:semiHidden/>
    <w:rsid w:val="00570829"/>
    <w:rPr>
      <w:sz w:val="20"/>
      <w:szCs w:val="20"/>
    </w:rPr>
  </w:style>
  <w:style w:type="paragraph" w:styleId="Pedmtkomente">
    <w:name w:val="annotation subject"/>
    <w:basedOn w:val="Textkomente"/>
    <w:next w:val="Textkomente"/>
    <w:link w:val="PedmtkomenteChar"/>
    <w:uiPriority w:val="99"/>
    <w:semiHidden/>
    <w:unhideWhenUsed/>
    <w:rsid w:val="00570829"/>
    <w:rPr>
      <w:b/>
      <w:bCs/>
    </w:rPr>
  </w:style>
  <w:style w:type="character" w:customStyle="1" w:styleId="PedmtkomenteChar">
    <w:name w:val="Předmět komentáře Char"/>
    <w:basedOn w:val="TextkomenteChar"/>
    <w:link w:val="Pedmtkomente"/>
    <w:uiPriority w:val="99"/>
    <w:semiHidden/>
    <w:rsid w:val="00570829"/>
    <w:rPr>
      <w:b/>
      <w:bCs/>
      <w:sz w:val="20"/>
      <w:szCs w:val="20"/>
    </w:rPr>
  </w:style>
  <w:style w:type="paragraph" w:styleId="Textbubliny">
    <w:name w:val="Balloon Text"/>
    <w:basedOn w:val="Normln"/>
    <w:link w:val="TextbublinyChar"/>
    <w:uiPriority w:val="99"/>
    <w:semiHidden/>
    <w:unhideWhenUsed/>
    <w:rsid w:val="005708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0829"/>
    <w:rPr>
      <w:rFonts w:ascii="Tahoma" w:hAnsi="Tahoma" w:cs="Tahoma"/>
      <w:sz w:val="16"/>
      <w:szCs w:val="16"/>
    </w:rPr>
  </w:style>
  <w:style w:type="character" w:styleId="Hypertextovodkaz">
    <w:name w:val="Hyperlink"/>
    <w:basedOn w:val="Standardnpsmoodstavce"/>
    <w:uiPriority w:val="99"/>
    <w:unhideWhenUsed/>
    <w:rsid w:val="004E4AFC"/>
    <w:rPr>
      <w:color w:val="0000FF" w:themeColor="hyperlink"/>
      <w:u w:val="single"/>
    </w:rPr>
  </w:style>
  <w:style w:type="character" w:styleId="Nevyeenzmnka">
    <w:name w:val="Unresolved Mention"/>
    <w:basedOn w:val="Standardnpsmoodstavce"/>
    <w:uiPriority w:val="99"/>
    <w:semiHidden/>
    <w:unhideWhenUsed/>
    <w:rsid w:val="004E4AFC"/>
    <w:rPr>
      <w:color w:val="605E5C"/>
      <w:shd w:val="clear" w:color="auto" w:fill="E1DFDD"/>
    </w:rPr>
  </w:style>
  <w:style w:type="paragraph" w:styleId="Zhlav">
    <w:name w:val="header"/>
    <w:basedOn w:val="Normln"/>
    <w:link w:val="ZhlavChar"/>
    <w:uiPriority w:val="99"/>
    <w:unhideWhenUsed/>
    <w:rsid w:val="00E171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713B"/>
  </w:style>
  <w:style w:type="paragraph" w:styleId="Zpat">
    <w:name w:val="footer"/>
    <w:basedOn w:val="Normln"/>
    <w:link w:val="ZpatChar"/>
    <w:uiPriority w:val="99"/>
    <w:unhideWhenUsed/>
    <w:rsid w:val="00E171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3B"/>
  </w:style>
  <w:style w:type="paragraph" w:styleId="Titulek">
    <w:name w:val="caption"/>
    <w:basedOn w:val="Normln"/>
    <w:next w:val="Normln"/>
    <w:uiPriority w:val="35"/>
    <w:unhideWhenUsed/>
    <w:qFormat/>
    <w:rsid w:val="00BC1780"/>
    <w:pPr>
      <w:spacing w:line="240" w:lineRule="auto"/>
    </w:pPr>
    <w:rPr>
      <w:i/>
      <w:iCs/>
      <w:color w:val="1F497D" w:themeColor="text2"/>
      <w:sz w:val="18"/>
      <w:szCs w:val="18"/>
    </w:rPr>
  </w:style>
  <w:style w:type="paragraph" w:styleId="Revize">
    <w:name w:val="Revision"/>
    <w:hidden/>
    <w:uiPriority w:val="99"/>
    <w:semiHidden/>
    <w:rsid w:val="00B34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96026">
      <w:bodyDiv w:val="1"/>
      <w:marLeft w:val="0"/>
      <w:marRight w:val="0"/>
      <w:marTop w:val="0"/>
      <w:marBottom w:val="0"/>
      <w:divBdr>
        <w:top w:val="none" w:sz="0" w:space="0" w:color="auto"/>
        <w:left w:val="none" w:sz="0" w:space="0" w:color="auto"/>
        <w:bottom w:val="none" w:sz="0" w:space="0" w:color="auto"/>
        <w:right w:val="none" w:sz="0" w:space="0" w:color="auto"/>
      </w:divBdr>
      <w:divsChild>
        <w:div w:id="10182776">
          <w:marLeft w:val="288"/>
          <w:marRight w:val="0"/>
          <w:marTop w:val="120"/>
          <w:marBottom w:val="0"/>
          <w:divBdr>
            <w:top w:val="none" w:sz="0" w:space="0" w:color="auto"/>
            <w:left w:val="none" w:sz="0" w:space="0" w:color="auto"/>
            <w:bottom w:val="none" w:sz="0" w:space="0" w:color="auto"/>
            <w:right w:val="none" w:sz="0" w:space="0" w:color="auto"/>
          </w:divBdr>
        </w:div>
        <w:div w:id="453721494">
          <w:marLeft w:val="288"/>
          <w:marRight w:val="0"/>
          <w:marTop w:val="120"/>
          <w:marBottom w:val="0"/>
          <w:divBdr>
            <w:top w:val="none" w:sz="0" w:space="0" w:color="auto"/>
            <w:left w:val="none" w:sz="0" w:space="0" w:color="auto"/>
            <w:bottom w:val="none" w:sz="0" w:space="0" w:color="auto"/>
            <w:right w:val="none" w:sz="0" w:space="0" w:color="auto"/>
          </w:divBdr>
        </w:div>
        <w:div w:id="1541087581">
          <w:marLeft w:val="288"/>
          <w:marRight w:val="0"/>
          <w:marTop w:val="120"/>
          <w:marBottom w:val="0"/>
          <w:divBdr>
            <w:top w:val="none" w:sz="0" w:space="0" w:color="auto"/>
            <w:left w:val="none" w:sz="0" w:space="0" w:color="auto"/>
            <w:bottom w:val="none" w:sz="0" w:space="0" w:color="auto"/>
            <w:right w:val="none" w:sz="0" w:space="0" w:color="auto"/>
          </w:divBdr>
        </w:div>
        <w:div w:id="1309439977">
          <w:marLeft w:val="288"/>
          <w:marRight w:val="0"/>
          <w:marTop w:val="120"/>
          <w:marBottom w:val="0"/>
          <w:divBdr>
            <w:top w:val="none" w:sz="0" w:space="0" w:color="auto"/>
            <w:left w:val="none" w:sz="0" w:space="0" w:color="auto"/>
            <w:bottom w:val="none" w:sz="0" w:space="0" w:color="auto"/>
            <w:right w:val="none" w:sz="0" w:space="0" w:color="auto"/>
          </w:divBdr>
        </w:div>
        <w:div w:id="84426927">
          <w:marLeft w:val="288"/>
          <w:marRight w:val="0"/>
          <w:marTop w:val="120"/>
          <w:marBottom w:val="0"/>
          <w:divBdr>
            <w:top w:val="none" w:sz="0" w:space="0" w:color="auto"/>
            <w:left w:val="none" w:sz="0" w:space="0" w:color="auto"/>
            <w:bottom w:val="none" w:sz="0" w:space="0" w:color="auto"/>
            <w:right w:val="none" w:sz="0" w:space="0" w:color="auto"/>
          </w:divBdr>
        </w:div>
        <w:div w:id="1889875231">
          <w:marLeft w:val="288"/>
          <w:marRight w:val="0"/>
          <w:marTop w:val="120"/>
          <w:marBottom w:val="0"/>
          <w:divBdr>
            <w:top w:val="none" w:sz="0" w:space="0" w:color="auto"/>
            <w:left w:val="none" w:sz="0" w:space="0" w:color="auto"/>
            <w:bottom w:val="none" w:sz="0" w:space="0" w:color="auto"/>
            <w:right w:val="none" w:sz="0" w:space="0" w:color="auto"/>
          </w:divBdr>
        </w:div>
        <w:div w:id="639769010">
          <w:marLeft w:val="288"/>
          <w:marRight w:val="0"/>
          <w:marTop w:val="120"/>
          <w:marBottom w:val="0"/>
          <w:divBdr>
            <w:top w:val="none" w:sz="0" w:space="0" w:color="auto"/>
            <w:left w:val="none" w:sz="0" w:space="0" w:color="auto"/>
            <w:bottom w:val="none" w:sz="0" w:space="0" w:color="auto"/>
            <w:right w:val="none" w:sz="0" w:space="0" w:color="auto"/>
          </w:divBdr>
        </w:div>
        <w:div w:id="356008389">
          <w:marLeft w:val="288"/>
          <w:marRight w:val="0"/>
          <w:marTop w:val="120"/>
          <w:marBottom w:val="0"/>
          <w:divBdr>
            <w:top w:val="none" w:sz="0" w:space="0" w:color="auto"/>
            <w:left w:val="none" w:sz="0" w:space="0" w:color="auto"/>
            <w:bottom w:val="none" w:sz="0" w:space="0" w:color="auto"/>
            <w:right w:val="none" w:sz="0" w:space="0" w:color="auto"/>
          </w:divBdr>
        </w:div>
        <w:div w:id="106973583">
          <w:marLeft w:val="288"/>
          <w:marRight w:val="0"/>
          <w:marTop w:val="120"/>
          <w:marBottom w:val="0"/>
          <w:divBdr>
            <w:top w:val="none" w:sz="0" w:space="0" w:color="auto"/>
            <w:left w:val="none" w:sz="0" w:space="0" w:color="auto"/>
            <w:bottom w:val="none" w:sz="0" w:space="0" w:color="auto"/>
            <w:right w:val="none" w:sz="0" w:space="0" w:color="auto"/>
          </w:divBdr>
        </w:div>
        <w:div w:id="551501365">
          <w:marLeft w:val="288"/>
          <w:marRight w:val="0"/>
          <w:marTop w:val="120"/>
          <w:marBottom w:val="0"/>
          <w:divBdr>
            <w:top w:val="none" w:sz="0" w:space="0" w:color="auto"/>
            <w:left w:val="none" w:sz="0" w:space="0" w:color="auto"/>
            <w:bottom w:val="none" w:sz="0" w:space="0" w:color="auto"/>
            <w:right w:val="none" w:sz="0" w:space="0" w:color="auto"/>
          </w:divBdr>
        </w:div>
        <w:div w:id="1032458845">
          <w:marLeft w:val="288"/>
          <w:marRight w:val="0"/>
          <w:marTop w:val="120"/>
          <w:marBottom w:val="0"/>
          <w:divBdr>
            <w:top w:val="none" w:sz="0" w:space="0" w:color="auto"/>
            <w:left w:val="none" w:sz="0" w:space="0" w:color="auto"/>
            <w:bottom w:val="none" w:sz="0" w:space="0" w:color="auto"/>
            <w:right w:val="none" w:sz="0" w:space="0" w:color="auto"/>
          </w:divBdr>
        </w:div>
      </w:divsChild>
    </w:div>
    <w:div w:id="1550610475">
      <w:bodyDiv w:val="1"/>
      <w:marLeft w:val="0"/>
      <w:marRight w:val="0"/>
      <w:marTop w:val="0"/>
      <w:marBottom w:val="0"/>
      <w:divBdr>
        <w:top w:val="none" w:sz="0" w:space="0" w:color="auto"/>
        <w:left w:val="none" w:sz="0" w:space="0" w:color="auto"/>
        <w:bottom w:val="none" w:sz="0" w:space="0" w:color="auto"/>
        <w:right w:val="none" w:sz="0" w:space="0" w:color="auto"/>
      </w:divBdr>
      <w:divsChild>
        <w:div w:id="962350541">
          <w:marLeft w:val="360"/>
          <w:marRight w:val="0"/>
          <w:marTop w:val="120"/>
          <w:marBottom w:val="0"/>
          <w:divBdr>
            <w:top w:val="none" w:sz="0" w:space="0" w:color="auto"/>
            <w:left w:val="none" w:sz="0" w:space="0" w:color="auto"/>
            <w:bottom w:val="none" w:sz="0" w:space="0" w:color="auto"/>
            <w:right w:val="none" w:sz="0" w:space="0" w:color="auto"/>
          </w:divBdr>
        </w:div>
      </w:divsChild>
    </w:div>
    <w:div w:id="1678728038">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360"/>
          <w:marRight w:val="0"/>
          <w:marTop w:val="120"/>
          <w:marBottom w:val="0"/>
          <w:divBdr>
            <w:top w:val="none" w:sz="0" w:space="0" w:color="auto"/>
            <w:left w:val="none" w:sz="0" w:space="0" w:color="auto"/>
            <w:bottom w:val="none" w:sz="0" w:space="0" w:color="auto"/>
            <w:right w:val="none" w:sz="0" w:space="0" w:color="auto"/>
          </w:divBdr>
        </w:div>
      </w:divsChild>
    </w:div>
    <w:div w:id="1715153612">
      <w:bodyDiv w:val="1"/>
      <w:marLeft w:val="0"/>
      <w:marRight w:val="0"/>
      <w:marTop w:val="0"/>
      <w:marBottom w:val="0"/>
      <w:divBdr>
        <w:top w:val="none" w:sz="0" w:space="0" w:color="auto"/>
        <w:left w:val="none" w:sz="0" w:space="0" w:color="auto"/>
        <w:bottom w:val="none" w:sz="0" w:space="0" w:color="auto"/>
        <w:right w:val="none" w:sz="0" w:space="0" w:color="auto"/>
      </w:divBdr>
      <w:divsChild>
        <w:div w:id="708839647">
          <w:marLeft w:val="288"/>
          <w:marRight w:val="0"/>
          <w:marTop w:val="120"/>
          <w:marBottom w:val="0"/>
          <w:divBdr>
            <w:top w:val="none" w:sz="0" w:space="0" w:color="auto"/>
            <w:left w:val="none" w:sz="0" w:space="0" w:color="auto"/>
            <w:bottom w:val="none" w:sz="0" w:space="0" w:color="auto"/>
            <w:right w:val="none" w:sz="0" w:space="0" w:color="auto"/>
          </w:divBdr>
        </w:div>
        <w:div w:id="1197085872">
          <w:marLeft w:val="288"/>
          <w:marRight w:val="0"/>
          <w:marTop w:val="120"/>
          <w:marBottom w:val="0"/>
          <w:divBdr>
            <w:top w:val="none" w:sz="0" w:space="0" w:color="auto"/>
            <w:left w:val="none" w:sz="0" w:space="0" w:color="auto"/>
            <w:bottom w:val="none" w:sz="0" w:space="0" w:color="auto"/>
            <w:right w:val="none" w:sz="0" w:space="0" w:color="auto"/>
          </w:divBdr>
        </w:div>
        <w:div w:id="1882671891">
          <w:marLeft w:val="288"/>
          <w:marRight w:val="0"/>
          <w:marTop w:val="120"/>
          <w:marBottom w:val="0"/>
          <w:divBdr>
            <w:top w:val="none" w:sz="0" w:space="0" w:color="auto"/>
            <w:left w:val="none" w:sz="0" w:space="0" w:color="auto"/>
            <w:bottom w:val="none" w:sz="0" w:space="0" w:color="auto"/>
            <w:right w:val="none" w:sz="0" w:space="0" w:color="auto"/>
          </w:divBdr>
        </w:div>
        <w:div w:id="1892111295">
          <w:marLeft w:val="288"/>
          <w:marRight w:val="0"/>
          <w:marTop w:val="120"/>
          <w:marBottom w:val="0"/>
          <w:divBdr>
            <w:top w:val="none" w:sz="0" w:space="0" w:color="auto"/>
            <w:left w:val="none" w:sz="0" w:space="0" w:color="auto"/>
            <w:bottom w:val="none" w:sz="0" w:space="0" w:color="auto"/>
            <w:right w:val="none" w:sz="0" w:space="0" w:color="auto"/>
          </w:divBdr>
        </w:div>
        <w:div w:id="1017583663">
          <w:marLeft w:val="288"/>
          <w:marRight w:val="0"/>
          <w:marTop w:val="120"/>
          <w:marBottom w:val="0"/>
          <w:divBdr>
            <w:top w:val="none" w:sz="0" w:space="0" w:color="auto"/>
            <w:left w:val="none" w:sz="0" w:space="0" w:color="auto"/>
            <w:bottom w:val="none" w:sz="0" w:space="0" w:color="auto"/>
            <w:right w:val="none" w:sz="0" w:space="0" w:color="auto"/>
          </w:divBdr>
        </w:div>
        <w:div w:id="1719667707">
          <w:marLeft w:val="288"/>
          <w:marRight w:val="0"/>
          <w:marTop w:val="120"/>
          <w:marBottom w:val="0"/>
          <w:divBdr>
            <w:top w:val="none" w:sz="0" w:space="0" w:color="auto"/>
            <w:left w:val="none" w:sz="0" w:space="0" w:color="auto"/>
            <w:bottom w:val="none" w:sz="0" w:space="0" w:color="auto"/>
            <w:right w:val="none" w:sz="0" w:space="0" w:color="auto"/>
          </w:divBdr>
        </w:div>
        <w:div w:id="294484479">
          <w:marLeft w:val="288"/>
          <w:marRight w:val="0"/>
          <w:marTop w:val="120"/>
          <w:marBottom w:val="0"/>
          <w:divBdr>
            <w:top w:val="none" w:sz="0" w:space="0" w:color="auto"/>
            <w:left w:val="none" w:sz="0" w:space="0" w:color="auto"/>
            <w:bottom w:val="none" w:sz="0" w:space="0" w:color="auto"/>
            <w:right w:val="none" w:sz="0" w:space="0" w:color="auto"/>
          </w:divBdr>
        </w:div>
        <w:div w:id="2090419845">
          <w:marLeft w:val="288"/>
          <w:marRight w:val="0"/>
          <w:marTop w:val="120"/>
          <w:marBottom w:val="0"/>
          <w:divBdr>
            <w:top w:val="none" w:sz="0" w:space="0" w:color="auto"/>
            <w:left w:val="none" w:sz="0" w:space="0" w:color="auto"/>
            <w:bottom w:val="none" w:sz="0" w:space="0" w:color="auto"/>
            <w:right w:val="none" w:sz="0" w:space="0" w:color="auto"/>
          </w:divBdr>
        </w:div>
        <w:div w:id="161628697">
          <w:marLeft w:val="288"/>
          <w:marRight w:val="0"/>
          <w:marTop w:val="120"/>
          <w:marBottom w:val="0"/>
          <w:divBdr>
            <w:top w:val="none" w:sz="0" w:space="0" w:color="auto"/>
            <w:left w:val="none" w:sz="0" w:space="0" w:color="auto"/>
            <w:bottom w:val="none" w:sz="0" w:space="0" w:color="auto"/>
            <w:right w:val="none" w:sz="0" w:space="0" w:color="auto"/>
          </w:divBdr>
        </w:div>
        <w:div w:id="978533003">
          <w:marLeft w:val="288"/>
          <w:marRight w:val="0"/>
          <w:marTop w:val="120"/>
          <w:marBottom w:val="0"/>
          <w:divBdr>
            <w:top w:val="none" w:sz="0" w:space="0" w:color="auto"/>
            <w:left w:val="none" w:sz="0" w:space="0" w:color="auto"/>
            <w:bottom w:val="none" w:sz="0" w:space="0" w:color="auto"/>
            <w:right w:val="none" w:sz="0" w:space="0" w:color="auto"/>
          </w:divBdr>
        </w:div>
        <w:div w:id="1817991924">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simoncik@eru.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kas.brada@er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AF7B7AF85CC74481A24F119EEBE2F4" ma:contentTypeVersion="2" ma:contentTypeDescription="Vytvoří nový dokument" ma:contentTypeScope="" ma:versionID="58e72a8fffeeb5a6f34aa1f7d33a75c9">
  <xsd:schema xmlns:xsd="http://www.w3.org/2001/XMLSchema" xmlns:xs="http://www.w3.org/2001/XMLSchema" xmlns:p="http://schemas.microsoft.com/office/2006/metadata/properties" xmlns:ns2="f32210cd-666d-4d11-ab48-bfef9714ab3b" targetNamespace="http://schemas.microsoft.com/office/2006/metadata/properties" ma:root="true" ma:fieldsID="2546dc4a1fd471bfac57a8c4eb1d9b2b" ns2:_="">
    <xsd:import namespace="f32210cd-666d-4d11-ab48-bfef9714a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FDB5-29D7-435E-81DF-094A084D1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2841D-2527-4880-93D0-C1418C8796C7}">
  <ds:schemaRefs>
    <ds:schemaRef ds:uri="http://schemas.microsoft.com/sharepoint/v3/contenttype/forms"/>
  </ds:schemaRefs>
</ds:datastoreItem>
</file>

<file path=customXml/itemProps3.xml><?xml version="1.0" encoding="utf-8"?>
<ds:datastoreItem xmlns:ds="http://schemas.openxmlformats.org/officeDocument/2006/customXml" ds:itemID="{28A41797-BE4B-47AB-A3B9-264959B9053E}">
  <ds:schemaRefs>
    <ds:schemaRef ds:uri="http://schemas.microsoft.com/office/infopath/2007/PartnerControls"/>
    <ds:schemaRef ds:uri="http://schemas.microsoft.com/office/2006/metadata/properties"/>
    <ds:schemaRef ds:uri="http://purl.org/dc/terms/"/>
    <ds:schemaRef ds:uri="f32210cd-666d-4d11-ab48-bfef9714ab3b"/>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1EBB61F-9D17-4184-BDAC-1E6FA0A9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18</Pages>
  <Words>9590</Words>
  <Characters>56584</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
    </vt:vector>
  </TitlesOfParts>
  <Company>ERÚ</Company>
  <LinksUpToDate>false</LinksUpToDate>
  <CharactersWithSpaces>66042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Šimončík</dc:creator>
  <cp:keywords/>
  <dc:description/>
  <cp:lastModifiedBy>Šimončík Pavel Ing.</cp:lastModifiedBy>
  <cp:revision>134</cp:revision>
  <dcterms:created xsi:type="dcterms:W3CDTF">2019-10-15T10:06:00Z</dcterms:created>
  <dcterms:modified xsi:type="dcterms:W3CDTF">2022-09-16T12:27:00Z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0x010100E3AF7B7AF85CC74481A24F119EEBE2F4</vt:lpwstr>
  </property>
</Properties>
</file>