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DF23" w14:textId="77777777" w:rsidR="006D110C" w:rsidRPr="006320B2" w:rsidRDefault="006D110C" w:rsidP="006D110C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Inovace na venkově a ekologická stopa potravinového systému– zprávy z OECD</w:t>
      </w:r>
    </w:p>
    <w:p w14:paraId="4026242C" w14:textId="77777777" w:rsidR="006D110C" w:rsidRPr="000B02D9" w:rsidRDefault="006D110C" w:rsidP="006D110C">
      <w:pPr>
        <w:spacing w:after="0" w:line="240" w:lineRule="auto"/>
        <w:jc w:val="both"/>
        <w:rPr>
          <w:rFonts w:ascii="Arial" w:hAnsi="Arial" w:cs="Arial"/>
        </w:rPr>
      </w:pPr>
    </w:p>
    <w:p w14:paraId="12467963" w14:textId="609BA74C" w:rsidR="006D110C" w:rsidRDefault="006D110C" w:rsidP="006D1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5B237B" wp14:editId="346CF3AF">
            <wp:simplePos x="0" y="0"/>
            <wp:positionH relativeFrom="margin">
              <wp:posOffset>4683125</wp:posOffset>
            </wp:positionH>
            <wp:positionV relativeFrom="paragraph">
              <wp:posOffset>43180</wp:posOffset>
            </wp:positionV>
            <wp:extent cx="1064895" cy="1384300"/>
            <wp:effectExtent l="19050" t="19050" r="20955" b="25400"/>
            <wp:wrapTight wrapText="bothSides">
              <wp:wrapPolygon edited="0">
                <wp:start x="-386" y="-297"/>
                <wp:lineTo x="-386" y="21699"/>
                <wp:lineTo x="21639" y="21699"/>
                <wp:lineTo x="21639" y="-297"/>
                <wp:lineTo x="-386" y="-297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3843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C63">
        <w:rPr>
          <w:rFonts w:ascii="Arial" w:hAnsi="Arial" w:cs="Arial"/>
          <w:color w:val="000000"/>
          <w:spacing w:val="2"/>
        </w:rPr>
        <w:t xml:space="preserve">Roste poptávka veřejnosti po změně společenské smlouvy. Projevy tohoto jevu </w:t>
      </w:r>
      <w:r w:rsidR="007618B5">
        <w:rPr>
          <w:rFonts w:ascii="Arial" w:hAnsi="Arial" w:cs="Arial"/>
          <w:color w:val="000000"/>
          <w:spacing w:val="2"/>
        </w:rPr>
        <w:t>lze vidět</w:t>
      </w:r>
      <w:r w:rsidRPr="00B36C63">
        <w:rPr>
          <w:rFonts w:ascii="Arial" w:hAnsi="Arial" w:cs="Arial"/>
          <w:color w:val="000000"/>
          <w:spacing w:val="2"/>
        </w:rPr>
        <w:t xml:space="preserve"> v rostoucích protestních, antisystémových, extrémistických volebních preferencích nebo narůstající společenské únavě z norem, organizačních struktur a návyků, které jsou zpochybňovány. Dobře patrn</w:t>
      </w:r>
      <w:r>
        <w:rPr>
          <w:rFonts w:ascii="Arial" w:hAnsi="Arial" w:cs="Arial"/>
          <w:color w:val="000000"/>
          <w:spacing w:val="2"/>
        </w:rPr>
        <w:t>ý</w:t>
      </w:r>
      <w:r w:rsidRPr="00B36C63">
        <w:rPr>
          <w:rFonts w:ascii="Arial" w:hAnsi="Arial" w:cs="Arial"/>
          <w:color w:val="000000"/>
          <w:spacing w:val="2"/>
        </w:rPr>
        <w:t xml:space="preserve"> je</w:t>
      </w:r>
      <w:r>
        <w:rPr>
          <w:rFonts w:ascii="Arial" w:hAnsi="Arial" w:cs="Arial"/>
          <w:color w:val="000000"/>
          <w:spacing w:val="2"/>
        </w:rPr>
        <w:t xml:space="preserve"> </w:t>
      </w:r>
      <w:r w:rsidR="007618B5">
        <w:rPr>
          <w:rFonts w:ascii="Arial" w:hAnsi="Arial" w:cs="Arial"/>
          <w:color w:val="000000"/>
          <w:spacing w:val="2"/>
        </w:rPr>
        <w:t>tento</w:t>
      </w:r>
      <w:r>
        <w:rPr>
          <w:rFonts w:ascii="Arial" w:hAnsi="Arial" w:cs="Arial"/>
          <w:color w:val="000000"/>
          <w:spacing w:val="2"/>
        </w:rPr>
        <w:t xml:space="preserve"> jev</w:t>
      </w:r>
      <w:r w:rsidRPr="00B36C63">
        <w:rPr>
          <w:rFonts w:ascii="Arial" w:hAnsi="Arial" w:cs="Arial"/>
          <w:color w:val="000000"/>
          <w:spacing w:val="2"/>
        </w:rPr>
        <w:t xml:space="preserve"> v</w:t>
      </w:r>
      <w:r>
        <w:rPr>
          <w:rFonts w:ascii="Arial" w:hAnsi="Arial" w:cs="Arial"/>
          <w:color w:val="000000"/>
          <w:spacing w:val="2"/>
        </w:rPr>
        <w:t> </w:t>
      </w:r>
      <w:r w:rsidRPr="00B36C63">
        <w:rPr>
          <w:rFonts w:ascii="Arial" w:hAnsi="Arial" w:cs="Arial"/>
          <w:color w:val="000000"/>
          <w:spacing w:val="2"/>
        </w:rPr>
        <w:t>nerovnostech</w:t>
      </w:r>
      <w:r>
        <w:rPr>
          <w:rFonts w:ascii="Arial" w:hAnsi="Arial" w:cs="Arial"/>
          <w:color w:val="000000"/>
          <w:spacing w:val="2"/>
        </w:rPr>
        <w:t xml:space="preserve"> a </w:t>
      </w:r>
      <w:r w:rsidRPr="00B36C63">
        <w:rPr>
          <w:rFonts w:ascii="Arial" w:hAnsi="Arial" w:cs="Arial"/>
          <w:color w:val="000000"/>
          <w:spacing w:val="2"/>
        </w:rPr>
        <w:t xml:space="preserve">rozdílech mezi venkovskými oblastmi a městy, které přispívají k společenské polarizaci. Současně dochází k celosvětovému propadu inovací a zpomalení produktivity s dopadem na mzdy a ekonomické příležitosti. V tomto momentu se stává teritoriální přístup (ať již v rámci zemědělské politiky nebo </w:t>
      </w:r>
      <w:r>
        <w:rPr>
          <w:rFonts w:ascii="Arial" w:hAnsi="Arial" w:cs="Arial"/>
          <w:color w:val="000000"/>
          <w:spacing w:val="2"/>
        </w:rPr>
        <w:t xml:space="preserve">paralelně </w:t>
      </w:r>
      <w:r w:rsidRPr="00B36C63">
        <w:rPr>
          <w:rFonts w:ascii="Arial" w:hAnsi="Arial" w:cs="Arial"/>
          <w:color w:val="000000"/>
          <w:spacing w:val="2"/>
        </w:rPr>
        <w:t xml:space="preserve">vedle ní) klíčovým pro podporu konkurenceschopnosti firem a životních podmínek obyvatel na venkově. Může uvolnit inovační potenciál venkova a efektivně ho využít. Tato tematická </w:t>
      </w:r>
      <w:hyperlink r:id="rId7" w:history="1">
        <w:r w:rsidRPr="00B36C63">
          <w:rPr>
            <w:rStyle w:val="Hypertextovodkaz"/>
            <w:rFonts w:ascii="Arial" w:hAnsi="Arial" w:cs="Arial"/>
            <w:spacing w:val="2"/>
          </w:rPr>
          <w:t>zpráva</w:t>
        </w:r>
      </w:hyperlink>
      <w:r w:rsidRPr="00B36C63">
        <w:rPr>
          <w:rFonts w:ascii="Arial" w:hAnsi="Arial" w:cs="Arial"/>
          <w:color w:val="000000"/>
          <w:spacing w:val="2"/>
        </w:rPr>
        <w:t xml:space="preserve"> je první z řady výstupů OECD zaměřených na posilování inovací na venkově. Na případových studiích z pěti zemí dokládá potřebu širšího pojetí inovací (nad rámec inovací vědecko-technologických) pro venkovské regiony. Způsob měření inovací ve venkovských regionech má zásadní význam – nesmí být „územně slepý“ a zaměřovat se úzce jednostranně. Např. </w:t>
      </w:r>
      <w:r>
        <w:rPr>
          <w:rFonts w:ascii="Arial" w:hAnsi="Arial" w:cs="Arial"/>
          <w:color w:val="000000"/>
          <w:spacing w:val="2"/>
        </w:rPr>
        <w:t xml:space="preserve">sledování </w:t>
      </w:r>
      <w:r w:rsidRPr="00B36C63">
        <w:rPr>
          <w:rFonts w:ascii="Arial" w:hAnsi="Arial" w:cs="Arial"/>
          <w:color w:val="000000"/>
          <w:spacing w:val="2"/>
        </w:rPr>
        <w:t>patent</w:t>
      </w:r>
      <w:r>
        <w:rPr>
          <w:rFonts w:ascii="Arial" w:hAnsi="Arial" w:cs="Arial"/>
          <w:color w:val="000000"/>
          <w:spacing w:val="2"/>
        </w:rPr>
        <w:t>ů</w:t>
      </w:r>
      <w:r w:rsidRPr="00B36C63">
        <w:rPr>
          <w:rFonts w:ascii="Arial" w:hAnsi="Arial" w:cs="Arial"/>
          <w:color w:val="000000"/>
          <w:spacing w:val="2"/>
        </w:rPr>
        <w:t xml:space="preserve"> nezohledňuj</w:t>
      </w:r>
      <w:r>
        <w:rPr>
          <w:rFonts w:ascii="Arial" w:hAnsi="Arial" w:cs="Arial"/>
          <w:color w:val="000000"/>
          <w:spacing w:val="2"/>
        </w:rPr>
        <w:t>e</w:t>
      </w:r>
      <w:r w:rsidRPr="00B36C63">
        <w:rPr>
          <w:rFonts w:ascii="Arial" w:hAnsi="Arial" w:cs="Arial"/>
          <w:color w:val="000000"/>
          <w:spacing w:val="2"/>
        </w:rPr>
        <w:t xml:space="preserve"> profesní a odvětvovou strukturu venkovských regionů, snadno jsou přehlíženy netechnické inovace, které jsou pro venkov relevantnější apod. Vedle definice inovací </w:t>
      </w:r>
      <w:r>
        <w:rPr>
          <w:rFonts w:ascii="Arial" w:hAnsi="Arial" w:cs="Arial"/>
          <w:color w:val="000000"/>
          <w:spacing w:val="2"/>
        </w:rPr>
        <w:t xml:space="preserve">záleží také na samotném </w:t>
      </w:r>
      <w:r w:rsidRPr="00B36C63">
        <w:rPr>
          <w:rFonts w:ascii="Arial" w:hAnsi="Arial" w:cs="Arial"/>
          <w:color w:val="000000"/>
          <w:spacing w:val="2"/>
        </w:rPr>
        <w:t xml:space="preserve">vymezení venkovských oblastí, které musí zohledňovat </w:t>
      </w:r>
      <w:r>
        <w:rPr>
          <w:rFonts w:ascii="Arial" w:hAnsi="Arial" w:cs="Arial"/>
          <w:color w:val="000000"/>
          <w:spacing w:val="2"/>
        </w:rPr>
        <w:t xml:space="preserve">teritoriální </w:t>
      </w:r>
      <w:r w:rsidRPr="00B36C63">
        <w:rPr>
          <w:rFonts w:ascii="Arial" w:hAnsi="Arial" w:cs="Arial"/>
          <w:color w:val="000000"/>
          <w:spacing w:val="2"/>
        </w:rPr>
        <w:t>rozmanitost a odlišné zaměření. Zatímco standardní ukazatele intenzity inovací a patentů zjišťují zaostávání venkova, jemnější rozlišování přesnějšími indikátory ukazuj</w:t>
      </w:r>
      <w:r>
        <w:rPr>
          <w:rFonts w:ascii="Arial" w:hAnsi="Arial" w:cs="Arial"/>
          <w:color w:val="000000"/>
          <w:spacing w:val="2"/>
        </w:rPr>
        <w:t>e</w:t>
      </w:r>
      <w:r w:rsidRPr="00B36C63">
        <w:rPr>
          <w:rFonts w:ascii="Arial" w:hAnsi="Arial" w:cs="Arial"/>
          <w:color w:val="000000"/>
          <w:spacing w:val="2"/>
        </w:rPr>
        <w:t xml:space="preserve"> jiný obrázek (např. v USA klesly rozdíly mezi venkovem a metropolitními oblastmi o 75 %; jako hlavní zdroj sociálních inovací byla identifikována primárně venkovská oblast, nikoli metropolitní). Sladění zájmů mnoha zúčastněných stran tak může vést k pozitivní systémové změně zejména v </w:t>
      </w:r>
      <w:proofErr w:type="spellStart"/>
      <w:r w:rsidRPr="00B36C63">
        <w:rPr>
          <w:rFonts w:ascii="Arial" w:hAnsi="Arial" w:cs="Arial"/>
          <w:color w:val="000000"/>
          <w:spacing w:val="2"/>
        </w:rPr>
        <w:t>marginalizovaných</w:t>
      </w:r>
      <w:proofErr w:type="spellEnd"/>
      <w:r w:rsidRPr="00B36C63">
        <w:rPr>
          <w:rFonts w:ascii="Arial" w:hAnsi="Arial" w:cs="Arial"/>
          <w:color w:val="000000"/>
          <w:spacing w:val="2"/>
        </w:rPr>
        <w:t xml:space="preserve"> oblastech, které znovu objeví svou roli a schopnost inovovat</w:t>
      </w:r>
      <w:r>
        <w:rPr>
          <w:rFonts w:ascii="Arial" w:hAnsi="Arial" w:cs="Arial"/>
          <w:color w:val="000000"/>
          <w:spacing w:val="2"/>
        </w:rPr>
        <w:t>.</w:t>
      </w:r>
    </w:p>
    <w:p w14:paraId="34AB96CB" w14:textId="77777777" w:rsidR="006D110C" w:rsidRDefault="006D110C" w:rsidP="006D1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35C4BCB1" w14:textId="4D0A6CBA" w:rsidR="006D110C" w:rsidRPr="00C95DDB" w:rsidRDefault="006D110C" w:rsidP="006D1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 w:rsidRPr="003D162C">
        <w:rPr>
          <w:rFonts w:ascii="Arial" w:hAnsi="Arial" w:cs="Arial"/>
          <w:noProof/>
          <w:color w:val="000000"/>
          <w:spacing w:val="2"/>
        </w:rPr>
        <w:drawing>
          <wp:anchor distT="0" distB="0" distL="114300" distR="114300" simplePos="0" relativeHeight="251660288" behindDoc="1" locked="0" layoutInCell="1" allowOverlap="1" wp14:anchorId="52CD5DC9" wp14:editId="2B93C05D">
            <wp:simplePos x="0" y="0"/>
            <wp:positionH relativeFrom="margin">
              <wp:posOffset>4674870</wp:posOffset>
            </wp:positionH>
            <wp:positionV relativeFrom="paragraph">
              <wp:posOffset>34925</wp:posOffset>
            </wp:positionV>
            <wp:extent cx="1062990" cy="1479550"/>
            <wp:effectExtent l="19050" t="19050" r="22860" b="25400"/>
            <wp:wrapTight wrapText="bothSides">
              <wp:wrapPolygon edited="0">
                <wp:start x="-387" y="-278"/>
                <wp:lineTo x="-387" y="21693"/>
                <wp:lineTo x="21677" y="21693"/>
                <wp:lineTo x="21677" y="-278"/>
                <wp:lineTo x="-387" y="-278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479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62C">
        <w:rPr>
          <w:rFonts w:ascii="Arial" w:hAnsi="Arial" w:cs="Arial"/>
          <w:color w:val="000000"/>
          <w:spacing w:val="2"/>
        </w:rPr>
        <w:t xml:space="preserve">Produkce potravin se spolupodílí na environmentálních problémech (např. na emisích skleníkových plynů, znečištění vody nebo ztrátě biologické rozmanitosti). Proto roste tlak na firmy a další účastníky potravinových systémů, aby převzali odpovědnost za dopady na životní prostředí nejen ve svých vlastních provozech, ale v celém dodavatelském řetězci, a aby v této oblasti byl sledován reálný pokrok. Také spotřebitelé požadují pro své spotřebitelské volby více informací o </w:t>
      </w:r>
      <w:r>
        <w:rPr>
          <w:rFonts w:ascii="Arial" w:hAnsi="Arial" w:cs="Arial"/>
          <w:color w:val="000000"/>
          <w:spacing w:val="2"/>
        </w:rPr>
        <w:t>dopadech</w:t>
      </w:r>
      <w:r w:rsidRPr="003D162C">
        <w:rPr>
          <w:rFonts w:ascii="Arial" w:hAnsi="Arial" w:cs="Arial"/>
          <w:color w:val="000000"/>
          <w:spacing w:val="2"/>
        </w:rPr>
        <w:t xml:space="preserve"> na životní prostředí. </w:t>
      </w:r>
      <w:hyperlink r:id="rId9" w:history="1">
        <w:r w:rsidRPr="000B48F9">
          <w:rPr>
            <w:rStyle w:val="Hypertextovodkaz"/>
            <w:rFonts w:ascii="Arial" w:hAnsi="Arial" w:cs="Arial"/>
            <w:spacing w:val="2"/>
          </w:rPr>
          <w:t>Zpráva</w:t>
        </w:r>
      </w:hyperlink>
      <w:r w:rsidRPr="003D162C">
        <w:rPr>
          <w:rFonts w:ascii="Arial" w:hAnsi="Arial" w:cs="Arial"/>
          <w:color w:val="000000"/>
          <w:spacing w:val="2"/>
        </w:rPr>
        <w:t xml:space="preserve"> OECD podává přehled o tom, co je ohledně environmentálních dopadů potravinových systémů (různých fází dodavatelských řetězců, produktů, výrobců, obchodu) známo a jakým způsobem jsou tyto dopady dokladovány. Důkazy o </w:t>
      </w:r>
      <w:r w:rsidR="00E42875">
        <w:rPr>
          <w:rFonts w:ascii="Arial" w:hAnsi="Arial" w:cs="Arial"/>
          <w:color w:val="000000"/>
          <w:spacing w:val="2"/>
        </w:rPr>
        <w:t xml:space="preserve">environmentálních </w:t>
      </w:r>
      <w:r w:rsidRPr="003D162C">
        <w:rPr>
          <w:rFonts w:ascii="Arial" w:hAnsi="Arial" w:cs="Arial"/>
          <w:color w:val="000000"/>
          <w:spacing w:val="2"/>
        </w:rPr>
        <w:t xml:space="preserve">dopadech mohou ukázat, které konkrétní fáze řetězců/konkrétní produkty </w:t>
      </w:r>
      <w:r>
        <w:rPr>
          <w:rFonts w:ascii="Arial" w:hAnsi="Arial" w:cs="Arial"/>
          <w:color w:val="000000"/>
          <w:spacing w:val="2"/>
        </w:rPr>
        <w:t>mají větší podíl</w:t>
      </w:r>
      <w:r w:rsidRPr="003D162C">
        <w:rPr>
          <w:rFonts w:ascii="Arial" w:hAnsi="Arial" w:cs="Arial"/>
          <w:color w:val="000000"/>
          <w:spacing w:val="2"/>
        </w:rPr>
        <w:t xml:space="preserve">, a kam </w:t>
      </w:r>
      <w:r w:rsidR="00E42875">
        <w:rPr>
          <w:rFonts w:ascii="Arial" w:hAnsi="Arial" w:cs="Arial"/>
          <w:color w:val="000000"/>
          <w:spacing w:val="2"/>
        </w:rPr>
        <w:t>tedy směrovat</w:t>
      </w:r>
      <w:r w:rsidRPr="003D162C">
        <w:rPr>
          <w:rFonts w:ascii="Arial" w:hAnsi="Arial" w:cs="Arial"/>
          <w:color w:val="000000"/>
          <w:spacing w:val="2"/>
        </w:rPr>
        <w:t xml:space="preserve"> úsilí o přijímání udržitelnějších postupů</w:t>
      </w:r>
      <w:r>
        <w:rPr>
          <w:rFonts w:ascii="Arial" w:hAnsi="Arial" w:cs="Arial"/>
          <w:color w:val="000000"/>
          <w:spacing w:val="2"/>
        </w:rPr>
        <w:t>.</w:t>
      </w:r>
      <w:r w:rsidRPr="003D162C">
        <w:rPr>
          <w:rFonts w:ascii="Arial" w:hAnsi="Arial" w:cs="Arial"/>
          <w:color w:val="000000"/>
          <w:spacing w:val="2"/>
        </w:rPr>
        <w:t xml:space="preserve"> K velké většině dopadů dochází změnou využívání půdy/ve fázi zemědělské výroby</w:t>
      </w:r>
      <w:r w:rsidR="00E42875">
        <w:rPr>
          <w:rFonts w:ascii="Arial" w:hAnsi="Arial" w:cs="Arial"/>
          <w:color w:val="000000"/>
          <w:spacing w:val="2"/>
        </w:rPr>
        <w:t xml:space="preserve"> </w:t>
      </w:r>
      <w:r w:rsidR="00E42875" w:rsidRPr="003D162C">
        <w:rPr>
          <w:rFonts w:ascii="Arial" w:hAnsi="Arial" w:cs="Arial"/>
          <w:color w:val="000000"/>
          <w:spacing w:val="2"/>
        </w:rPr>
        <w:t>(např. 71 % emisí skleníkových plynů)</w:t>
      </w:r>
      <w:r w:rsidRPr="003D162C">
        <w:rPr>
          <w:rFonts w:ascii="Arial" w:hAnsi="Arial" w:cs="Arial"/>
          <w:color w:val="000000"/>
          <w:spacing w:val="2"/>
        </w:rPr>
        <w:t>. Obecně je prokázána větší ekologická stopa u produktů živočišné výroby než u rostlinných produktů.</w:t>
      </w:r>
      <w:r w:rsidRPr="000C5060">
        <w:rPr>
          <w:rFonts w:ascii="Arial" w:hAnsi="Arial" w:cs="Arial"/>
          <w:color w:val="000000"/>
          <w:spacing w:val="2"/>
        </w:rPr>
        <w:t xml:space="preserve"> </w:t>
      </w:r>
      <w:r w:rsidRPr="003D162C">
        <w:rPr>
          <w:rFonts w:ascii="Arial" w:hAnsi="Arial" w:cs="Arial"/>
          <w:color w:val="000000"/>
          <w:spacing w:val="2"/>
        </w:rPr>
        <w:t xml:space="preserve">Mezi výrobci však existuje velká heterogenita (25 % globální potravinové produkce odpovídá za nadpoloviční většinu všech environmentálních dopadů). Také </w:t>
      </w:r>
      <w:r>
        <w:rPr>
          <w:rFonts w:ascii="Arial" w:hAnsi="Arial" w:cs="Arial"/>
          <w:color w:val="000000"/>
          <w:spacing w:val="2"/>
        </w:rPr>
        <w:t>podíl</w:t>
      </w:r>
      <w:r w:rsidRPr="003D162C">
        <w:rPr>
          <w:rFonts w:ascii="Arial" w:hAnsi="Arial" w:cs="Arial"/>
          <w:color w:val="000000"/>
          <w:spacing w:val="2"/>
        </w:rPr>
        <w:t xml:space="preserve"> různých fází dodavatelského řetězce se v jednotlivých zemích značně liší</w:t>
      </w:r>
      <w:r>
        <w:rPr>
          <w:rFonts w:ascii="Arial" w:hAnsi="Arial" w:cs="Arial"/>
          <w:color w:val="000000"/>
          <w:spacing w:val="2"/>
        </w:rPr>
        <w:t xml:space="preserve"> (</w:t>
      </w:r>
      <w:r w:rsidRPr="003D162C">
        <w:rPr>
          <w:rFonts w:ascii="Arial" w:hAnsi="Arial" w:cs="Arial"/>
          <w:color w:val="000000"/>
          <w:spacing w:val="2"/>
        </w:rPr>
        <w:t>na fázi zpracování, dopravy, balení a maloobchodu připadlo v průmyslových zemích 33 % emisí skleníkových plynů z</w:t>
      </w:r>
      <w:r>
        <w:rPr>
          <w:rFonts w:ascii="Arial" w:hAnsi="Arial" w:cs="Arial"/>
          <w:color w:val="000000"/>
          <w:spacing w:val="2"/>
        </w:rPr>
        <w:t> </w:t>
      </w:r>
      <w:r w:rsidRPr="003D162C">
        <w:rPr>
          <w:rFonts w:ascii="Arial" w:hAnsi="Arial" w:cs="Arial"/>
          <w:color w:val="000000"/>
          <w:spacing w:val="2"/>
        </w:rPr>
        <w:t>potravin</w:t>
      </w:r>
      <w:r>
        <w:rPr>
          <w:rFonts w:ascii="Arial" w:hAnsi="Arial" w:cs="Arial"/>
          <w:color w:val="000000"/>
          <w:spacing w:val="2"/>
        </w:rPr>
        <w:t xml:space="preserve">, v rozvojových zemích </w:t>
      </w:r>
      <w:r w:rsidRPr="003D162C">
        <w:rPr>
          <w:rFonts w:ascii="Arial" w:hAnsi="Arial" w:cs="Arial"/>
          <w:color w:val="000000"/>
          <w:spacing w:val="2"/>
        </w:rPr>
        <w:t>12</w:t>
      </w:r>
      <w:r>
        <w:rPr>
          <w:rFonts w:ascii="Arial" w:hAnsi="Arial" w:cs="Arial"/>
          <w:color w:val="000000"/>
          <w:spacing w:val="2"/>
        </w:rPr>
        <w:t> </w:t>
      </w:r>
      <w:r w:rsidRPr="003D162C">
        <w:rPr>
          <w:rFonts w:ascii="Arial" w:hAnsi="Arial" w:cs="Arial"/>
          <w:color w:val="000000"/>
          <w:spacing w:val="2"/>
        </w:rPr>
        <w:t>%</w:t>
      </w:r>
      <w:r>
        <w:rPr>
          <w:rFonts w:ascii="Arial" w:hAnsi="Arial" w:cs="Arial"/>
          <w:color w:val="000000"/>
          <w:spacing w:val="2"/>
        </w:rPr>
        <w:t>)</w:t>
      </w:r>
      <w:r w:rsidRPr="003D162C">
        <w:rPr>
          <w:rFonts w:ascii="Arial" w:hAnsi="Arial" w:cs="Arial"/>
          <w:color w:val="000000"/>
          <w:spacing w:val="2"/>
        </w:rPr>
        <w:t xml:space="preserve">. Podobně je třeba rozlišovat u výrobních procesů s několika výstupy. </w:t>
      </w:r>
      <w:r>
        <w:rPr>
          <w:rFonts w:ascii="Arial" w:hAnsi="Arial" w:cs="Arial"/>
          <w:color w:val="000000"/>
          <w:spacing w:val="2"/>
        </w:rPr>
        <w:t>Transparentní</w:t>
      </w:r>
      <w:r w:rsidR="00E42875">
        <w:rPr>
          <w:rFonts w:ascii="Arial" w:hAnsi="Arial" w:cs="Arial"/>
          <w:color w:val="000000"/>
          <w:spacing w:val="2"/>
        </w:rPr>
        <w:t xml:space="preserve">, </w:t>
      </w:r>
      <w:r>
        <w:rPr>
          <w:rFonts w:ascii="Arial" w:hAnsi="Arial" w:cs="Arial"/>
          <w:color w:val="000000"/>
          <w:spacing w:val="2"/>
        </w:rPr>
        <w:t>harmonizované</w:t>
      </w:r>
      <w:r w:rsidR="00E42875">
        <w:rPr>
          <w:rFonts w:ascii="Arial" w:hAnsi="Arial" w:cs="Arial"/>
          <w:color w:val="000000"/>
          <w:spacing w:val="2"/>
        </w:rPr>
        <w:t xml:space="preserve"> a </w:t>
      </w:r>
      <w:r>
        <w:rPr>
          <w:rFonts w:ascii="Arial" w:hAnsi="Arial" w:cs="Arial"/>
          <w:color w:val="000000"/>
          <w:spacing w:val="2"/>
        </w:rPr>
        <w:t xml:space="preserve">spolehlivější </w:t>
      </w:r>
      <w:r w:rsidRPr="003D162C">
        <w:rPr>
          <w:rFonts w:ascii="Arial" w:hAnsi="Arial" w:cs="Arial"/>
          <w:color w:val="000000"/>
          <w:spacing w:val="2"/>
        </w:rPr>
        <w:t>metodologické přístupy</w:t>
      </w:r>
      <w:r>
        <w:rPr>
          <w:rFonts w:ascii="Arial" w:hAnsi="Arial" w:cs="Arial"/>
          <w:color w:val="000000"/>
          <w:spacing w:val="2"/>
        </w:rPr>
        <w:t xml:space="preserve">, </w:t>
      </w:r>
      <w:r w:rsidRPr="003D162C">
        <w:rPr>
          <w:rFonts w:ascii="Arial" w:hAnsi="Arial" w:cs="Arial"/>
          <w:color w:val="000000"/>
          <w:spacing w:val="2"/>
        </w:rPr>
        <w:t xml:space="preserve">definice, zdroje dat, vstupní předpoklady, citlivost výsledků na metodologické volby jsou proto důležitým faktorem pro podchycení pozitivní dynamiky </w:t>
      </w:r>
      <w:r>
        <w:rPr>
          <w:rFonts w:ascii="Arial" w:hAnsi="Arial" w:cs="Arial"/>
          <w:color w:val="000000"/>
          <w:spacing w:val="2"/>
        </w:rPr>
        <w:t xml:space="preserve">mezi </w:t>
      </w:r>
      <w:r w:rsidRPr="003D162C">
        <w:rPr>
          <w:rFonts w:ascii="Arial" w:hAnsi="Arial" w:cs="Arial"/>
          <w:color w:val="000000"/>
          <w:spacing w:val="2"/>
        </w:rPr>
        <w:t>spotřebitel</w:t>
      </w:r>
      <w:r>
        <w:rPr>
          <w:rFonts w:ascii="Arial" w:hAnsi="Arial" w:cs="Arial"/>
          <w:color w:val="000000"/>
          <w:spacing w:val="2"/>
        </w:rPr>
        <w:t xml:space="preserve">i, </w:t>
      </w:r>
      <w:r w:rsidRPr="003D162C">
        <w:rPr>
          <w:rFonts w:ascii="Arial" w:hAnsi="Arial" w:cs="Arial"/>
          <w:color w:val="000000"/>
          <w:spacing w:val="2"/>
        </w:rPr>
        <w:t>firm</w:t>
      </w:r>
      <w:r>
        <w:rPr>
          <w:rFonts w:ascii="Arial" w:hAnsi="Arial" w:cs="Arial"/>
          <w:color w:val="000000"/>
          <w:spacing w:val="2"/>
        </w:rPr>
        <w:t xml:space="preserve">ami a </w:t>
      </w:r>
      <w:r w:rsidRPr="003D162C">
        <w:rPr>
          <w:rFonts w:ascii="Arial" w:hAnsi="Arial" w:cs="Arial"/>
          <w:color w:val="000000"/>
          <w:spacing w:val="2"/>
        </w:rPr>
        <w:t>vlád</w:t>
      </w:r>
      <w:r>
        <w:rPr>
          <w:rFonts w:ascii="Arial" w:hAnsi="Arial" w:cs="Arial"/>
          <w:color w:val="000000"/>
          <w:spacing w:val="2"/>
        </w:rPr>
        <w:t>ou</w:t>
      </w:r>
      <w:r w:rsidRPr="003D162C">
        <w:rPr>
          <w:rFonts w:ascii="Arial" w:hAnsi="Arial" w:cs="Arial"/>
          <w:color w:val="000000"/>
          <w:spacing w:val="2"/>
        </w:rPr>
        <w:t>, která alespoň částečně překoná situaci, kdy zájmy účastníků trhu nejsou v souladu s veřejným blahem a kdy je sledováno spíše jak každý produkt/sektor/fáze udržitelně vypadá (</w:t>
      </w:r>
      <w:proofErr w:type="spellStart"/>
      <w:r w:rsidRPr="003D162C">
        <w:rPr>
          <w:rFonts w:ascii="Arial" w:hAnsi="Arial" w:cs="Arial"/>
          <w:color w:val="000000"/>
          <w:spacing w:val="2"/>
        </w:rPr>
        <w:t>greenwashing</w:t>
      </w:r>
      <w:proofErr w:type="spellEnd"/>
      <w:r w:rsidRPr="003D162C">
        <w:rPr>
          <w:rFonts w:ascii="Arial" w:hAnsi="Arial" w:cs="Arial"/>
          <w:color w:val="000000"/>
          <w:spacing w:val="2"/>
        </w:rPr>
        <w:t>)</w:t>
      </w:r>
      <w:r>
        <w:rPr>
          <w:rFonts w:ascii="Arial" w:hAnsi="Arial" w:cs="Arial"/>
          <w:color w:val="000000"/>
          <w:spacing w:val="2"/>
        </w:rPr>
        <w:t xml:space="preserve"> než jaké jsou jejich reálné environmentální dopady</w:t>
      </w:r>
      <w:r w:rsidRPr="003D162C">
        <w:rPr>
          <w:rFonts w:ascii="Arial" w:hAnsi="Arial" w:cs="Arial"/>
          <w:color w:val="000000"/>
          <w:spacing w:val="2"/>
        </w:rPr>
        <w:t>.</w:t>
      </w:r>
    </w:p>
    <w:p w14:paraId="5787AF10" w14:textId="77777777" w:rsidR="006D110C" w:rsidRDefault="006D110C" w:rsidP="006D110C">
      <w:pPr>
        <w:spacing w:after="0" w:line="240" w:lineRule="auto"/>
        <w:jc w:val="both"/>
        <w:rPr>
          <w:rFonts w:ascii="Arial" w:hAnsi="Arial" w:cs="Arial"/>
        </w:rPr>
      </w:pPr>
    </w:p>
    <w:p w14:paraId="0B53CDB6" w14:textId="77777777" w:rsidR="006D110C" w:rsidRPr="003F7CAF" w:rsidRDefault="006D110C" w:rsidP="006D11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14:paraId="29076AE1" w14:textId="77777777" w:rsidR="006D110C" w:rsidRPr="003F7CAF" w:rsidRDefault="006D110C" w:rsidP="006D11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 xml:space="preserve">Odbor zahraničně obchodní spolupráce, </w:t>
      </w:r>
      <w:proofErr w:type="spellStart"/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MZe</w:t>
      </w:r>
      <w:proofErr w:type="spellEnd"/>
    </w:p>
    <w:p w14:paraId="18444C6E" w14:textId="617462A7" w:rsidR="00015132" w:rsidRPr="006D110C" w:rsidRDefault="006D110C" w:rsidP="006D11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sectPr w:rsidR="00015132" w:rsidRPr="006D110C" w:rsidSect="004F7E14">
      <w:headerReference w:type="default" r:id="rId10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C978" w14:textId="77777777" w:rsidR="004D44F0" w:rsidRDefault="004D44F0">
      <w:pPr>
        <w:spacing w:after="0" w:line="240" w:lineRule="auto"/>
      </w:pPr>
      <w:r>
        <w:separator/>
      </w:r>
    </w:p>
  </w:endnote>
  <w:endnote w:type="continuationSeparator" w:id="0">
    <w:p w14:paraId="3675E23B" w14:textId="77777777" w:rsidR="004D44F0" w:rsidRDefault="004D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6F73" w14:textId="77777777" w:rsidR="004D44F0" w:rsidRDefault="004D44F0">
      <w:pPr>
        <w:spacing w:after="0" w:line="240" w:lineRule="auto"/>
      </w:pPr>
      <w:r>
        <w:separator/>
      </w:r>
    </w:p>
  </w:footnote>
  <w:footnote w:type="continuationSeparator" w:id="0">
    <w:p w14:paraId="02E053A9" w14:textId="77777777" w:rsidR="004D44F0" w:rsidRDefault="004D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692E" w14:textId="77777777" w:rsidR="009D2E73" w:rsidRDefault="004D44F0">
    <w:pPr>
      <w:pStyle w:val="Zhlav"/>
    </w:pPr>
    <w:r>
      <w:tab/>
    </w:r>
    <w:r>
      <w:tab/>
      <w:t>22. 12. 2022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0C"/>
    <w:rsid w:val="00015132"/>
    <w:rsid w:val="004D44F0"/>
    <w:rsid w:val="006D110C"/>
    <w:rsid w:val="007618B5"/>
    <w:rsid w:val="00C057C1"/>
    <w:rsid w:val="00CC6A9F"/>
    <w:rsid w:val="00E4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C53D"/>
  <w15:chartTrackingRefBased/>
  <w15:docId w15:val="{998C5791-64D6-4025-8093-176AED1D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11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110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D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oecd-ilibrary.org/urban-rural-and-regional-development/unlocking-rural-innovation_9044a961-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oecd-ilibrary.org/agriculture-and-food/environmental-impacts-along-food-supply-chains_48232173-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Bartošová Karolína</cp:lastModifiedBy>
  <cp:revision>2</cp:revision>
  <cp:lastPrinted>2022-12-22T09:21:00Z</cp:lastPrinted>
  <dcterms:created xsi:type="dcterms:W3CDTF">2023-01-06T09:30:00Z</dcterms:created>
  <dcterms:modified xsi:type="dcterms:W3CDTF">2023-01-06T09:30:00Z</dcterms:modified>
</cp:coreProperties>
</file>