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E6A9" w14:textId="77777777" w:rsidR="006D3BE4" w:rsidRPr="006320B2" w:rsidRDefault="006D3BE4" w:rsidP="006D3BE4">
      <w:pPr>
        <w:spacing w:before="120" w:after="2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Usnadňování obchodu a elektronická certifikace v obchodu s živočišnými produkty – zprávy z OECD</w:t>
      </w:r>
    </w:p>
    <w:p w14:paraId="2E6FB398" w14:textId="77777777" w:rsidR="006D3BE4" w:rsidRPr="000B02D9" w:rsidRDefault="006D3BE4" w:rsidP="006D3BE4">
      <w:pPr>
        <w:spacing w:after="0" w:line="240" w:lineRule="auto"/>
        <w:jc w:val="both"/>
        <w:rPr>
          <w:rFonts w:ascii="Arial" w:hAnsi="Arial" w:cs="Arial"/>
        </w:rPr>
      </w:pPr>
    </w:p>
    <w:p w14:paraId="0E498BAA" w14:textId="77777777" w:rsidR="006D3BE4" w:rsidRPr="00C55DA5" w:rsidRDefault="006D3BE4" w:rsidP="006D3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690377" wp14:editId="77B6AC24">
            <wp:simplePos x="0" y="0"/>
            <wp:positionH relativeFrom="margin">
              <wp:posOffset>4576445</wp:posOffset>
            </wp:positionH>
            <wp:positionV relativeFrom="paragraph">
              <wp:posOffset>31750</wp:posOffset>
            </wp:positionV>
            <wp:extent cx="1166495" cy="1657350"/>
            <wp:effectExtent l="19050" t="19050" r="14605" b="19050"/>
            <wp:wrapTight wrapText="bothSides">
              <wp:wrapPolygon edited="0">
                <wp:start x="-353" y="-248"/>
                <wp:lineTo x="-353" y="21600"/>
                <wp:lineTo x="21518" y="21600"/>
                <wp:lineTo x="21518" y="-248"/>
                <wp:lineTo x="-353" y="-248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657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478F">
        <w:rPr>
          <w:rFonts w:ascii="Arial" w:hAnsi="Arial" w:cs="Arial"/>
          <w:color w:val="000000"/>
          <w:spacing w:val="2"/>
        </w:rPr>
        <w:t>Po období pandemie dochází i nadále k narušením fungování globálních dodavatelských řetězců. To vede k celkovým zpožděním v dodavatelských řetězcích, která jsou vyšší než před pandemií. Dodací lhůty pro meziprodukty i konečné zboží se prodlužují, v námořní dopravě je průměrné zpoždění více než dvojnásobné ve srovnání s</w:t>
      </w:r>
      <w:r>
        <w:rPr>
          <w:rFonts w:ascii="Arial" w:hAnsi="Arial" w:cs="Arial"/>
          <w:color w:val="000000"/>
          <w:spacing w:val="2"/>
        </w:rPr>
        <w:t> </w:t>
      </w:r>
      <w:r w:rsidRPr="0088478F">
        <w:rPr>
          <w:rFonts w:ascii="Arial" w:hAnsi="Arial" w:cs="Arial"/>
          <w:color w:val="000000"/>
          <w:spacing w:val="2"/>
        </w:rPr>
        <w:t xml:space="preserve">rokem 2018 (průměrné zpoždění zásilek mezi Čínou a Spojenými státy bylo v dubnu 2022 čtyřikrát vyšší než ve stejném období roku 2019). Vyšší náklady na obchodování dokládají např. sazby za námořní kontejnerovou přepravu, které vzrostly mezi lety 2019 a 2021 o 400 %. </w:t>
      </w:r>
      <w:r>
        <w:rPr>
          <w:rFonts w:ascii="Arial" w:hAnsi="Arial" w:cs="Arial"/>
          <w:color w:val="000000"/>
          <w:spacing w:val="2"/>
        </w:rPr>
        <w:t xml:space="preserve">I když se tyto obchodní náklady postupně snižují, u potravinářských výrobků jde o pomalejší snižování než u výrobků ostatních. </w:t>
      </w:r>
      <w:r w:rsidRPr="0088478F">
        <w:rPr>
          <w:rFonts w:ascii="Arial" w:hAnsi="Arial" w:cs="Arial"/>
          <w:color w:val="000000"/>
          <w:spacing w:val="2"/>
        </w:rPr>
        <w:t xml:space="preserve">Tyto a další jevy mají neúměrný dopad </w:t>
      </w:r>
      <w:r>
        <w:rPr>
          <w:rFonts w:ascii="Arial" w:hAnsi="Arial" w:cs="Arial"/>
          <w:color w:val="000000"/>
          <w:spacing w:val="2"/>
        </w:rPr>
        <w:t>především</w:t>
      </w:r>
      <w:r w:rsidRPr="0088478F">
        <w:rPr>
          <w:rFonts w:ascii="Arial" w:hAnsi="Arial" w:cs="Arial"/>
          <w:color w:val="000000"/>
          <w:spacing w:val="2"/>
        </w:rPr>
        <w:t xml:space="preserve"> na malé a střední podniky (větší společnosti s</w:t>
      </w:r>
      <w:r>
        <w:rPr>
          <w:rFonts w:ascii="Arial" w:hAnsi="Arial" w:cs="Arial"/>
          <w:color w:val="000000"/>
          <w:spacing w:val="2"/>
        </w:rPr>
        <w:t>e</w:t>
      </w:r>
      <w:r w:rsidRPr="0088478F">
        <w:rPr>
          <w:rFonts w:ascii="Arial" w:hAnsi="Arial" w:cs="Arial"/>
          <w:color w:val="000000"/>
          <w:spacing w:val="2"/>
        </w:rPr>
        <w:t xml:space="preserve"> mohou </w:t>
      </w:r>
      <w:r>
        <w:rPr>
          <w:rFonts w:ascii="Arial" w:hAnsi="Arial" w:cs="Arial"/>
          <w:color w:val="000000"/>
          <w:spacing w:val="2"/>
        </w:rPr>
        <w:t>více spoléhat</w:t>
      </w:r>
      <w:r w:rsidRPr="0088478F">
        <w:rPr>
          <w:rFonts w:ascii="Arial" w:hAnsi="Arial" w:cs="Arial"/>
          <w:color w:val="000000"/>
          <w:spacing w:val="2"/>
        </w:rPr>
        <w:t xml:space="preserve"> na zásoby</w:t>
      </w:r>
      <w:r>
        <w:rPr>
          <w:rFonts w:ascii="Arial" w:hAnsi="Arial" w:cs="Arial"/>
          <w:color w:val="000000"/>
          <w:spacing w:val="2"/>
        </w:rPr>
        <w:t xml:space="preserve"> nebo vlastní dopravu</w:t>
      </w:r>
      <w:r w:rsidRPr="0088478F">
        <w:rPr>
          <w:rFonts w:ascii="Arial" w:hAnsi="Arial" w:cs="Arial"/>
          <w:color w:val="000000"/>
          <w:spacing w:val="2"/>
        </w:rPr>
        <w:t>)</w:t>
      </w:r>
      <w:r>
        <w:rPr>
          <w:rFonts w:ascii="Arial" w:hAnsi="Arial" w:cs="Arial"/>
          <w:color w:val="000000"/>
          <w:spacing w:val="2"/>
        </w:rPr>
        <w:t>, a to zejm. v sektoru zemědělsko-potravinářského zboží podléhajícího rychlé zkáze.</w:t>
      </w:r>
      <w:r w:rsidRPr="0088478F">
        <w:rPr>
          <w:rFonts w:ascii="Arial" w:hAnsi="Arial" w:cs="Arial"/>
          <w:color w:val="000000"/>
          <w:spacing w:val="2"/>
        </w:rPr>
        <w:t xml:space="preserve"> </w:t>
      </w:r>
      <w:r w:rsidRPr="008165F6">
        <w:rPr>
          <w:rFonts w:ascii="Arial" w:hAnsi="Arial" w:cs="Arial"/>
          <w:color w:val="000000"/>
          <w:spacing w:val="2"/>
        </w:rPr>
        <w:t xml:space="preserve">Opatření pro usnadnění obchodu </w:t>
      </w:r>
      <w:r w:rsidRPr="00AE5CCE">
        <w:rPr>
          <w:rFonts w:ascii="Arial" w:hAnsi="Arial" w:cs="Arial"/>
          <w:color w:val="000000"/>
          <w:spacing w:val="2"/>
        </w:rPr>
        <w:t>(</w:t>
      </w:r>
      <w:r>
        <w:rPr>
          <w:rFonts w:ascii="Arial" w:hAnsi="Arial" w:cs="Arial"/>
          <w:color w:val="000000"/>
          <w:spacing w:val="2"/>
        </w:rPr>
        <w:t>urychlení</w:t>
      </w:r>
      <w:r w:rsidRPr="00AE5CCE"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2"/>
        </w:rPr>
        <w:t>pohraničního odbavení</w:t>
      </w:r>
      <w:r w:rsidRPr="00AE5CCE">
        <w:rPr>
          <w:rFonts w:ascii="Arial" w:hAnsi="Arial" w:cs="Arial"/>
          <w:color w:val="000000"/>
          <w:spacing w:val="2"/>
        </w:rPr>
        <w:t>,</w:t>
      </w:r>
      <w:r>
        <w:rPr>
          <w:rFonts w:ascii="Arial" w:hAnsi="Arial" w:cs="Arial"/>
          <w:color w:val="000000"/>
          <w:spacing w:val="2"/>
        </w:rPr>
        <w:t xml:space="preserve"> zjednodušení a harmonizace požadavků na doklady, posílení vnitrostátní ale i mezinárodní spolupráce celních orgánů a všech dalších institucí odpovědných za </w:t>
      </w:r>
      <w:proofErr w:type="spellStart"/>
      <w:r>
        <w:rPr>
          <w:rFonts w:ascii="Arial" w:hAnsi="Arial" w:cs="Arial"/>
          <w:color w:val="000000"/>
          <w:spacing w:val="2"/>
        </w:rPr>
        <w:t>agri</w:t>
      </w:r>
      <w:proofErr w:type="spellEnd"/>
      <w:r>
        <w:rPr>
          <w:rFonts w:ascii="Arial" w:hAnsi="Arial" w:cs="Arial"/>
          <w:color w:val="000000"/>
          <w:spacing w:val="2"/>
        </w:rPr>
        <w:t xml:space="preserve">-food obchod apod.) </w:t>
      </w:r>
      <w:r w:rsidRPr="0088478F">
        <w:rPr>
          <w:rFonts w:ascii="Arial" w:hAnsi="Arial" w:cs="Arial"/>
          <w:color w:val="000000"/>
          <w:spacing w:val="2"/>
        </w:rPr>
        <w:t>jsou klíčová pro kompenzaci uvedených časových a nákladových nárůstů, s nimiž se obchodníci a spotřebitelé setkávají</w:t>
      </w:r>
      <w:r>
        <w:rPr>
          <w:rFonts w:ascii="Arial" w:hAnsi="Arial" w:cs="Arial"/>
          <w:color w:val="000000"/>
          <w:spacing w:val="2"/>
        </w:rPr>
        <w:t xml:space="preserve">. Snižují též příležitosti pro nezákonný obchod a korupci. Nižší náklady na dovoz a vývoz také zvětšují prostor pro angažmá malých podniků. </w:t>
      </w:r>
      <w:hyperlink r:id="rId5" w:history="1">
        <w:r w:rsidRPr="00AB72ED">
          <w:rPr>
            <w:rStyle w:val="Hypertextovodkaz"/>
            <w:rFonts w:ascii="Arial" w:hAnsi="Arial" w:cs="Arial"/>
            <w:spacing w:val="2"/>
          </w:rPr>
          <w:t>Zprá</w:t>
        </w:r>
        <w:r w:rsidRPr="00AB72ED">
          <w:rPr>
            <w:rStyle w:val="Hypertextovodkaz"/>
            <w:rFonts w:ascii="Arial" w:hAnsi="Arial" w:cs="Arial"/>
            <w:spacing w:val="2"/>
          </w:rPr>
          <w:t>v</w:t>
        </w:r>
        <w:r w:rsidRPr="00AB72ED">
          <w:rPr>
            <w:rStyle w:val="Hypertextovodkaz"/>
            <w:rFonts w:ascii="Arial" w:hAnsi="Arial" w:cs="Arial"/>
            <w:spacing w:val="2"/>
          </w:rPr>
          <w:t>a</w:t>
        </w:r>
      </w:hyperlink>
      <w:r>
        <w:rPr>
          <w:rFonts w:ascii="Arial" w:hAnsi="Arial" w:cs="Arial"/>
          <w:color w:val="000000"/>
          <w:spacing w:val="2"/>
        </w:rPr>
        <w:t xml:space="preserve"> OECD na téma usnadňování obchodu mj. doporučuje rozšíření mechanismů krizové připravenosti (o další aktéry i produkty nad „nezbytný“ rámec definovaný pro období pandemie) a vybudování pevné infrastruktury pro účinné vnitrostátní i přeshraniční krizové řízení. </w:t>
      </w:r>
    </w:p>
    <w:p w14:paraId="367FAA23" w14:textId="77777777" w:rsidR="006D3BE4" w:rsidRPr="00632B8A" w:rsidRDefault="006D3BE4" w:rsidP="006D3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</w:p>
    <w:p w14:paraId="5AAECF17" w14:textId="77777777" w:rsidR="006D3BE4" w:rsidRDefault="006D3BE4" w:rsidP="006D3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</w:p>
    <w:p w14:paraId="7F4B7F0B" w14:textId="77777777" w:rsidR="006D3BE4" w:rsidRDefault="006D3BE4" w:rsidP="006D3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r w:rsidRPr="00136C96">
        <w:rPr>
          <w:rFonts w:ascii="Arial" w:hAnsi="Arial" w:cs="Arial"/>
          <w:color w:val="000000"/>
          <w:spacing w:val="2"/>
        </w:rPr>
        <w:drawing>
          <wp:anchor distT="0" distB="0" distL="114300" distR="114300" simplePos="0" relativeHeight="251660288" behindDoc="1" locked="0" layoutInCell="1" allowOverlap="1" wp14:anchorId="35F6DEF5" wp14:editId="5AD43CD6">
            <wp:simplePos x="0" y="0"/>
            <wp:positionH relativeFrom="margin">
              <wp:posOffset>4525645</wp:posOffset>
            </wp:positionH>
            <wp:positionV relativeFrom="paragraph">
              <wp:posOffset>26035</wp:posOffset>
            </wp:positionV>
            <wp:extent cx="1217295" cy="1714500"/>
            <wp:effectExtent l="19050" t="19050" r="20955" b="19050"/>
            <wp:wrapTight wrapText="bothSides">
              <wp:wrapPolygon edited="0">
                <wp:start x="-338" y="-240"/>
                <wp:lineTo x="-338" y="21600"/>
                <wp:lineTo x="21634" y="21600"/>
                <wp:lineTo x="21634" y="-240"/>
                <wp:lineTo x="-338" y="-24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714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6C96">
        <w:rPr>
          <w:rFonts w:ascii="Arial" w:hAnsi="Arial" w:cs="Arial"/>
          <w:color w:val="000000"/>
          <w:spacing w:val="2"/>
        </w:rPr>
        <w:t xml:space="preserve">Pro plynulý průběh obchodních transakcí je významným faktorem zjednodušování celních postupů. </w:t>
      </w:r>
      <w:r>
        <w:rPr>
          <w:rFonts w:ascii="Arial" w:hAnsi="Arial" w:cs="Arial"/>
          <w:color w:val="000000"/>
          <w:spacing w:val="2"/>
        </w:rPr>
        <w:t xml:space="preserve">Při </w:t>
      </w:r>
      <w:r w:rsidRPr="00136C96">
        <w:rPr>
          <w:rFonts w:ascii="Arial" w:hAnsi="Arial" w:cs="Arial"/>
          <w:color w:val="000000"/>
          <w:spacing w:val="2"/>
        </w:rPr>
        <w:t>postupující globalizac</w:t>
      </w:r>
      <w:r>
        <w:rPr>
          <w:rFonts w:ascii="Arial" w:hAnsi="Arial" w:cs="Arial"/>
          <w:color w:val="000000"/>
          <w:spacing w:val="2"/>
        </w:rPr>
        <w:t>i</w:t>
      </w:r>
      <w:r w:rsidRPr="00136C96">
        <w:rPr>
          <w:rFonts w:ascii="Arial" w:hAnsi="Arial" w:cs="Arial"/>
          <w:color w:val="000000"/>
          <w:spacing w:val="2"/>
        </w:rPr>
        <w:t xml:space="preserve"> a</w:t>
      </w:r>
      <w:r>
        <w:rPr>
          <w:rFonts w:ascii="Arial" w:hAnsi="Arial" w:cs="Arial"/>
          <w:color w:val="000000"/>
          <w:spacing w:val="2"/>
        </w:rPr>
        <w:t> </w:t>
      </w:r>
      <w:r w:rsidRPr="00136C96">
        <w:rPr>
          <w:rFonts w:ascii="Arial" w:hAnsi="Arial" w:cs="Arial"/>
          <w:color w:val="000000"/>
          <w:spacing w:val="2"/>
        </w:rPr>
        <w:t xml:space="preserve">rostoucím množství celních řízení </w:t>
      </w:r>
      <w:r>
        <w:rPr>
          <w:rFonts w:ascii="Arial" w:hAnsi="Arial" w:cs="Arial"/>
          <w:color w:val="000000"/>
          <w:spacing w:val="2"/>
        </w:rPr>
        <w:t>nenabízejí p</w:t>
      </w:r>
      <w:r w:rsidRPr="00136C96">
        <w:rPr>
          <w:rFonts w:ascii="Arial" w:hAnsi="Arial" w:cs="Arial"/>
          <w:color w:val="000000"/>
          <w:spacing w:val="2"/>
        </w:rPr>
        <w:t>ostupy založené na tištěných dokumentech požadovanou kvalitu zpracování všech procedur a zajištění bezpečného fungování. Proto se přistupuje k</w:t>
      </w:r>
      <w:r>
        <w:rPr>
          <w:rFonts w:ascii="Arial" w:hAnsi="Arial" w:cs="Arial"/>
          <w:color w:val="000000"/>
          <w:spacing w:val="2"/>
        </w:rPr>
        <w:t> </w:t>
      </w:r>
      <w:r w:rsidRPr="00136C96">
        <w:rPr>
          <w:rFonts w:ascii="Arial" w:hAnsi="Arial" w:cs="Arial"/>
          <w:color w:val="000000"/>
          <w:spacing w:val="2"/>
        </w:rPr>
        <w:t xml:space="preserve">zavádění elektronických/bezpapírových postupů v mezinárodním obchodu. Plnou transpozici </w:t>
      </w:r>
      <w:r>
        <w:rPr>
          <w:rFonts w:ascii="Arial" w:hAnsi="Arial" w:cs="Arial"/>
          <w:color w:val="000000"/>
          <w:spacing w:val="2"/>
        </w:rPr>
        <w:t>vzorového</w:t>
      </w:r>
      <w:r w:rsidRPr="00136C96">
        <w:rPr>
          <w:rFonts w:ascii="Arial" w:hAnsi="Arial" w:cs="Arial"/>
          <w:color w:val="000000"/>
          <w:spacing w:val="2"/>
        </w:rPr>
        <w:t xml:space="preserve"> zákona o</w:t>
      </w:r>
      <w:r>
        <w:rPr>
          <w:rFonts w:ascii="Arial" w:hAnsi="Arial" w:cs="Arial"/>
          <w:color w:val="000000"/>
          <w:spacing w:val="2"/>
        </w:rPr>
        <w:t> </w:t>
      </w:r>
      <w:r w:rsidRPr="00136C96">
        <w:rPr>
          <w:rFonts w:ascii="Arial" w:hAnsi="Arial" w:cs="Arial"/>
          <w:color w:val="000000"/>
          <w:spacing w:val="2"/>
        </w:rPr>
        <w:t>elektronicky přenositelných záznamech (</w:t>
      </w:r>
      <w:r w:rsidRPr="006E2086">
        <w:rPr>
          <w:rFonts w:ascii="Arial" w:hAnsi="Arial" w:cs="Arial"/>
          <w:color w:val="000000"/>
          <w:spacing w:val="2"/>
        </w:rPr>
        <w:t xml:space="preserve">Model </w:t>
      </w:r>
      <w:proofErr w:type="spellStart"/>
      <w:r w:rsidRPr="006E2086">
        <w:rPr>
          <w:rFonts w:ascii="Arial" w:hAnsi="Arial" w:cs="Arial"/>
          <w:color w:val="000000"/>
          <w:spacing w:val="2"/>
        </w:rPr>
        <w:t>Law</w:t>
      </w:r>
      <w:proofErr w:type="spellEnd"/>
      <w:r w:rsidRPr="006E2086">
        <w:rPr>
          <w:rFonts w:ascii="Arial" w:hAnsi="Arial" w:cs="Arial"/>
          <w:color w:val="000000"/>
          <w:spacing w:val="2"/>
        </w:rPr>
        <w:t xml:space="preserve"> on </w:t>
      </w:r>
      <w:proofErr w:type="spellStart"/>
      <w:r w:rsidRPr="006E2086">
        <w:rPr>
          <w:rFonts w:ascii="Arial" w:hAnsi="Arial" w:cs="Arial"/>
          <w:color w:val="000000"/>
          <w:spacing w:val="2"/>
        </w:rPr>
        <w:t>Electronic</w:t>
      </w:r>
      <w:proofErr w:type="spellEnd"/>
      <w:r w:rsidRPr="006E2086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6E2086">
        <w:rPr>
          <w:rFonts w:ascii="Arial" w:hAnsi="Arial" w:cs="Arial"/>
          <w:color w:val="000000"/>
          <w:spacing w:val="2"/>
        </w:rPr>
        <w:t>Transferable</w:t>
      </w:r>
      <w:proofErr w:type="spellEnd"/>
      <w:r w:rsidRPr="006E2086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6E2086">
        <w:rPr>
          <w:rFonts w:ascii="Arial" w:hAnsi="Arial" w:cs="Arial"/>
          <w:color w:val="000000"/>
          <w:spacing w:val="2"/>
        </w:rPr>
        <w:t>Records</w:t>
      </w:r>
      <w:proofErr w:type="spellEnd"/>
      <w:r w:rsidRPr="00136C96">
        <w:rPr>
          <w:rFonts w:ascii="Arial" w:hAnsi="Arial" w:cs="Arial"/>
          <w:color w:val="000000"/>
          <w:spacing w:val="2"/>
        </w:rPr>
        <w:t xml:space="preserve">) zatím přijalo pouze sedm jurisdikcí (Bahrajn, </w:t>
      </w:r>
      <w:r w:rsidRPr="00C14F1E">
        <w:rPr>
          <w:rFonts w:ascii="Arial" w:hAnsi="Arial" w:cs="Arial"/>
          <w:color w:val="000000"/>
          <w:spacing w:val="2"/>
        </w:rPr>
        <w:t>Belize</w:t>
      </w:r>
      <w:r w:rsidRPr="00136C96">
        <w:rPr>
          <w:rFonts w:ascii="Arial" w:hAnsi="Arial" w:cs="Arial"/>
          <w:color w:val="000000"/>
          <w:spacing w:val="2"/>
        </w:rPr>
        <w:t xml:space="preserve">, </w:t>
      </w:r>
      <w:r w:rsidRPr="00C14F1E">
        <w:rPr>
          <w:rFonts w:ascii="Arial" w:hAnsi="Arial" w:cs="Arial"/>
          <w:color w:val="000000"/>
          <w:spacing w:val="2"/>
        </w:rPr>
        <w:t>Kiribati</w:t>
      </w:r>
      <w:r w:rsidRPr="00136C96">
        <w:rPr>
          <w:rFonts w:ascii="Arial" w:hAnsi="Arial" w:cs="Arial"/>
          <w:color w:val="000000"/>
          <w:spacing w:val="2"/>
        </w:rPr>
        <w:t xml:space="preserve">, </w:t>
      </w:r>
      <w:r w:rsidRPr="00C14F1E">
        <w:rPr>
          <w:rFonts w:ascii="Arial" w:hAnsi="Arial" w:cs="Arial"/>
          <w:color w:val="000000"/>
          <w:spacing w:val="2"/>
        </w:rPr>
        <w:t xml:space="preserve">Papua </w:t>
      </w:r>
      <w:r w:rsidRPr="00136C96">
        <w:rPr>
          <w:rFonts w:ascii="Arial" w:hAnsi="Arial" w:cs="Arial"/>
          <w:color w:val="000000"/>
          <w:spacing w:val="2"/>
        </w:rPr>
        <w:t>Nová</w:t>
      </w:r>
      <w:r w:rsidRPr="00C14F1E">
        <w:rPr>
          <w:rFonts w:ascii="Arial" w:hAnsi="Arial" w:cs="Arial"/>
          <w:color w:val="000000"/>
          <w:spacing w:val="2"/>
        </w:rPr>
        <w:t xml:space="preserve"> Guinea</w:t>
      </w:r>
      <w:r w:rsidRPr="00136C96">
        <w:rPr>
          <w:rFonts w:ascii="Arial" w:hAnsi="Arial" w:cs="Arial"/>
          <w:color w:val="000000"/>
          <w:spacing w:val="2"/>
        </w:rPr>
        <w:t xml:space="preserve">, Paraguay, </w:t>
      </w:r>
      <w:r w:rsidRPr="00C14F1E">
        <w:rPr>
          <w:rFonts w:ascii="Arial" w:hAnsi="Arial" w:cs="Arial"/>
          <w:color w:val="000000"/>
          <w:spacing w:val="2"/>
        </w:rPr>
        <w:t>Singap</w:t>
      </w:r>
      <w:r w:rsidRPr="00136C96">
        <w:rPr>
          <w:rFonts w:ascii="Arial" w:hAnsi="Arial" w:cs="Arial"/>
          <w:color w:val="000000"/>
          <w:spacing w:val="2"/>
        </w:rPr>
        <w:t>ur, Spojené arabské emiráty), některá ustanovení byla přijata v USA a Německu a o přijetí příslušných legislativních opatření se diskutuje i v dalších státech (např. FR, GB). Využití a</w:t>
      </w:r>
      <w:r>
        <w:rPr>
          <w:rFonts w:ascii="Arial" w:hAnsi="Arial" w:cs="Arial"/>
          <w:color w:val="000000"/>
          <w:spacing w:val="2"/>
        </w:rPr>
        <w:t> </w:t>
      </w:r>
      <w:r w:rsidRPr="00136C96">
        <w:rPr>
          <w:rFonts w:ascii="Arial" w:hAnsi="Arial" w:cs="Arial"/>
          <w:color w:val="000000"/>
          <w:spacing w:val="2"/>
        </w:rPr>
        <w:t xml:space="preserve">vzájemné uznávání elektronických osvědčení v rostlinolékařském dozoru výrazně vzrostlo v reakci na pandemii </w:t>
      </w:r>
      <w:proofErr w:type="spellStart"/>
      <w:r w:rsidRPr="00136C96">
        <w:rPr>
          <w:rFonts w:ascii="Arial" w:hAnsi="Arial" w:cs="Arial"/>
          <w:color w:val="000000"/>
          <w:spacing w:val="2"/>
        </w:rPr>
        <w:t>CoV</w:t>
      </w:r>
      <w:proofErr w:type="spellEnd"/>
      <w:r w:rsidRPr="00136C96">
        <w:rPr>
          <w:rFonts w:ascii="Arial" w:hAnsi="Arial" w:cs="Arial"/>
          <w:color w:val="000000"/>
          <w:spacing w:val="2"/>
        </w:rPr>
        <w:t>. Zefektivnění obchodních procesů na hranicích, snížení provozních nákladů, zlepšení transparentnosti, sledovatelnosti a řízení rizik v potravinovém řetězci se očekává také od zavádění systémů elektronické certifikace v </w:t>
      </w:r>
      <w:hyperlink r:id="rId7" w:history="1">
        <w:r w:rsidRPr="00D44BF9">
          <w:rPr>
            <w:rStyle w:val="Hypertextovodkaz"/>
            <w:rFonts w:ascii="Arial" w:hAnsi="Arial" w:cs="Arial"/>
            <w:spacing w:val="2"/>
          </w:rPr>
          <w:t>obchodu s živočišný</w:t>
        </w:r>
        <w:r w:rsidRPr="00D44BF9">
          <w:rPr>
            <w:rStyle w:val="Hypertextovodkaz"/>
            <w:rFonts w:ascii="Arial" w:hAnsi="Arial" w:cs="Arial"/>
            <w:spacing w:val="2"/>
          </w:rPr>
          <w:t>m</w:t>
        </w:r>
        <w:r w:rsidRPr="00D44BF9">
          <w:rPr>
            <w:rStyle w:val="Hypertextovodkaz"/>
            <w:rFonts w:ascii="Arial" w:hAnsi="Arial" w:cs="Arial"/>
            <w:spacing w:val="2"/>
          </w:rPr>
          <w:t>i produkty</w:t>
        </w:r>
      </w:hyperlink>
      <w:r w:rsidRPr="00136C96">
        <w:rPr>
          <w:rFonts w:ascii="Arial" w:hAnsi="Arial" w:cs="Arial"/>
          <w:color w:val="000000"/>
          <w:spacing w:val="2"/>
        </w:rPr>
        <w:t xml:space="preserve">. V současnosti neexistuje jedno mezinárodní standardizované schéma sanitárního osvědčení, které by usnadnilo </w:t>
      </w:r>
      <w:r>
        <w:rPr>
          <w:rFonts w:ascii="Arial" w:hAnsi="Arial" w:cs="Arial"/>
          <w:color w:val="000000"/>
          <w:spacing w:val="2"/>
        </w:rPr>
        <w:t xml:space="preserve">elektronickou </w:t>
      </w:r>
      <w:r w:rsidRPr="00136C96">
        <w:rPr>
          <w:rFonts w:ascii="Arial" w:hAnsi="Arial" w:cs="Arial"/>
          <w:color w:val="000000"/>
          <w:spacing w:val="2"/>
        </w:rPr>
        <w:t>výměnu a zpracování potřebných informací a bylo tak přínosem pro vyvážející i</w:t>
      </w:r>
      <w:r>
        <w:rPr>
          <w:rFonts w:ascii="Arial" w:hAnsi="Arial" w:cs="Arial"/>
          <w:color w:val="000000"/>
          <w:spacing w:val="2"/>
        </w:rPr>
        <w:t> </w:t>
      </w:r>
      <w:r w:rsidRPr="00136C96">
        <w:rPr>
          <w:rFonts w:ascii="Arial" w:hAnsi="Arial" w:cs="Arial"/>
          <w:color w:val="000000"/>
          <w:spacing w:val="2"/>
        </w:rPr>
        <w:t xml:space="preserve">dovážející země. Zavádění těchto systémů </w:t>
      </w:r>
      <w:r>
        <w:rPr>
          <w:rFonts w:ascii="Arial" w:hAnsi="Arial" w:cs="Arial"/>
          <w:color w:val="000000"/>
          <w:spacing w:val="2"/>
        </w:rPr>
        <w:t>vyžaduje</w:t>
      </w:r>
      <w:r w:rsidRPr="00136C96">
        <w:rPr>
          <w:rFonts w:ascii="Arial" w:hAnsi="Arial" w:cs="Arial"/>
          <w:color w:val="000000"/>
          <w:spacing w:val="2"/>
        </w:rPr>
        <w:t xml:space="preserve"> současně značné investice do vývoje a údržby IT infrastruktury, získání odborných znalostí, koordinace zúčastněných stran a</w:t>
      </w:r>
      <w:r>
        <w:rPr>
          <w:rFonts w:ascii="Arial" w:hAnsi="Arial" w:cs="Arial"/>
          <w:color w:val="000000"/>
          <w:spacing w:val="2"/>
        </w:rPr>
        <w:t> </w:t>
      </w:r>
      <w:r w:rsidRPr="00136C96">
        <w:rPr>
          <w:rFonts w:ascii="Arial" w:hAnsi="Arial" w:cs="Arial"/>
          <w:color w:val="000000"/>
          <w:spacing w:val="2"/>
        </w:rPr>
        <w:t>aktualizace regulačních rámců. Vyvstávají také otázky týkající se interoperability a</w:t>
      </w:r>
      <w:r>
        <w:rPr>
          <w:rFonts w:ascii="Arial" w:hAnsi="Arial" w:cs="Arial"/>
          <w:color w:val="000000"/>
          <w:spacing w:val="2"/>
        </w:rPr>
        <w:t> </w:t>
      </w:r>
      <w:r w:rsidRPr="00136C96">
        <w:rPr>
          <w:rFonts w:ascii="Arial" w:hAnsi="Arial" w:cs="Arial"/>
          <w:color w:val="000000"/>
          <w:spacing w:val="2"/>
        </w:rPr>
        <w:t xml:space="preserve">rozšiřování různých platforem, včetně jejich integrace s vlastními systémy </w:t>
      </w:r>
      <w:r>
        <w:rPr>
          <w:rFonts w:ascii="Arial" w:hAnsi="Arial" w:cs="Arial"/>
          <w:color w:val="000000"/>
          <w:spacing w:val="2"/>
        </w:rPr>
        <w:t xml:space="preserve">dozorových </w:t>
      </w:r>
      <w:r w:rsidRPr="00136C96">
        <w:rPr>
          <w:rFonts w:ascii="Arial" w:hAnsi="Arial" w:cs="Arial"/>
          <w:color w:val="000000"/>
          <w:spacing w:val="2"/>
        </w:rPr>
        <w:t>orgánů. Harmonizace digitálních procesů v</w:t>
      </w:r>
      <w:r>
        <w:rPr>
          <w:rFonts w:ascii="Arial" w:hAnsi="Arial" w:cs="Arial"/>
          <w:color w:val="000000"/>
          <w:spacing w:val="2"/>
        </w:rPr>
        <w:t> mezinárodním obchodu</w:t>
      </w:r>
      <w:r w:rsidRPr="00136C96">
        <w:rPr>
          <w:rFonts w:ascii="Arial" w:hAnsi="Arial" w:cs="Arial"/>
          <w:color w:val="000000"/>
          <w:spacing w:val="2"/>
        </w:rPr>
        <w:t xml:space="preserve"> tak </w:t>
      </w:r>
      <w:r>
        <w:rPr>
          <w:rFonts w:ascii="Arial" w:hAnsi="Arial" w:cs="Arial"/>
          <w:color w:val="000000"/>
          <w:spacing w:val="2"/>
        </w:rPr>
        <w:t xml:space="preserve">poskytuje </w:t>
      </w:r>
      <w:r w:rsidRPr="00136C96">
        <w:rPr>
          <w:rFonts w:ascii="Arial" w:hAnsi="Arial" w:cs="Arial"/>
          <w:color w:val="000000"/>
          <w:spacing w:val="2"/>
        </w:rPr>
        <w:t xml:space="preserve">další </w:t>
      </w:r>
      <w:r>
        <w:rPr>
          <w:rFonts w:ascii="Arial" w:hAnsi="Arial" w:cs="Arial"/>
          <w:color w:val="000000"/>
          <w:spacing w:val="2"/>
        </w:rPr>
        <w:t>příležitost pro</w:t>
      </w:r>
      <w:r w:rsidRPr="00136C96">
        <w:rPr>
          <w:rFonts w:ascii="Arial" w:hAnsi="Arial" w:cs="Arial"/>
          <w:color w:val="000000"/>
          <w:spacing w:val="2"/>
        </w:rPr>
        <w:t xml:space="preserve"> sbližování odvětvových systémů a právních rámců jednotlivých ekonomik. </w:t>
      </w:r>
    </w:p>
    <w:p w14:paraId="0E55B319" w14:textId="77777777" w:rsidR="006D3BE4" w:rsidRDefault="006D3BE4" w:rsidP="006D3BE4">
      <w:pPr>
        <w:spacing w:after="0" w:line="240" w:lineRule="auto"/>
        <w:jc w:val="both"/>
        <w:rPr>
          <w:rFonts w:ascii="Arial" w:hAnsi="Arial" w:cs="Arial"/>
        </w:rPr>
      </w:pPr>
    </w:p>
    <w:p w14:paraId="08C4815B" w14:textId="77777777" w:rsidR="006D3BE4" w:rsidRPr="003F7CAF" w:rsidRDefault="006D3BE4" w:rsidP="006D3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Mgr. Radek Stránský</w:t>
      </w:r>
    </w:p>
    <w:p w14:paraId="75A3272B" w14:textId="77777777" w:rsidR="006D3BE4" w:rsidRPr="003F7CAF" w:rsidRDefault="006D3BE4" w:rsidP="006D3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 xml:space="preserve">Odbor zahraničně obchodní spolupráce, </w:t>
      </w:r>
      <w:proofErr w:type="spellStart"/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MZe</w:t>
      </w:r>
      <w:proofErr w:type="spellEnd"/>
    </w:p>
    <w:p w14:paraId="0F2295C9" w14:textId="77777777" w:rsidR="006D3BE4" w:rsidRDefault="006D3BE4" w:rsidP="006D3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+420 221 812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310</w:t>
      </w:r>
    </w:p>
    <w:p w14:paraId="685E73B0" w14:textId="77777777" w:rsidR="00015132" w:rsidRDefault="00015132"/>
    <w:sectPr w:rsidR="00015132" w:rsidSect="00FF7D58">
      <w:head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C3CC" w14:textId="77777777" w:rsidR="009D2E73" w:rsidRDefault="008F2EBB">
    <w:pPr>
      <w:pStyle w:val="Zhlav"/>
    </w:pPr>
    <w:r>
      <w:tab/>
    </w:r>
    <w:r>
      <w:tab/>
    </w:r>
    <w:r>
      <w:t>9</w:t>
    </w:r>
    <w:r>
      <w:t xml:space="preserve">. </w:t>
    </w:r>
    <w:r>
      <w:t>2</w:t>
    </w:r>
    <w:r>
      <w:t>.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E4"/>
    <w:rsid w:val="00015132"/>
    <w:rsid w:val="00444608"/>
    <w:rsid w:val="006D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437E"/>
  <w15:chartTrackingRefBased/>
  <w15:docId w15:val="{3919AA55-B571-45C2-9873-23852C22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B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3BE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D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BE4"/>
  </w:style>
  <w:style w:type="character" w:styleId="Sledovanodkaz">
    <w:name w:val="FollowedHyperlink"/>
    <w:basedOn w:val="Standardnpsmoodstavce"/>
    <w:uiPriority w:val="99"/>
    <w:semiHidden/>
    <w:unhideWhenUsed/>
    <w:rsid w:val="006D3B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oecd.org/publications/electronic-sanitary-certificates-for-trade-in-animal-products-5417ff4f-e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oecd-ilibrary.org/trade/trade-facilitation-reforms-worldwide_ce7af2ce-e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3417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2023-02-09T15:16:00Z</dcterms:created>
  <dcterms:modified xsi:type="dcterms:W3CDTF">2023-02-09T15:17:00Z</dcterms:modified>
</cp:coreProperties>
</file>