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13E6" w14:textId="77777777" w:rsidR="00145749" w:rsidRPr="006320B2" w:rsidRDefault="00145749" w:rsidP="00145749">
      <w:pPr>
        <w:spacing w:before="120" w:after="24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Význam meziodvětvových politik a environmentální iniciativy v potravinových řetězcích – zprávy z OECD</w:t>
      </w:r>
    </w:p>
    <w:p w14:paraId="525653BE" w14:textId="77777777" w:rsidR="00145749" w:rsidRPr="000B02D9" w:rsidRDefault="00145749" w:rsidP="00145749">
      <w:pPr>
        <w:spacing w:after="0" w:line="240" w:lineRule="auto"/>
        <w:jc w:val="both"/>
        <w:rPr>
          <w:rFonts w:ascii="Arial" w:hAnsi="Arial" w:cs="Arial"/>
        </w:rPr>
      </w:pPr>
    </w:p>
    <w:p w14:paraId="54D77D29" w14:textId="5BE88E21" w:rsidR="00145749" w:rsidRPr="00632B8A" w:rsidRDefault="00145749" w:rsidP="001457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4A4FCA" wp14:editId="5EE3C376">
            <wp:simplePos x="0" y="0"/>
            <wp:positionH relativeFrom="margin">
              <wp:align>right</wp:align>
            </wp:positionH>
            <wp:positionV relativeFrom="paragraph">
              <wp:posOffset>29210</wp:posOffset>
            </wp:positionV>
            <wp:extent cx="1038860" cy="1466850"/>
            <wp:effectExtent l="19050" t="19050" r="27940" b="19050"/>
            <wp:wrapTight wrapText="bothSides">
              <wp:wrapPolygon edited="0">
                <wp:start x="-396" y="-281"/>
                <wp:lineTo x="-396" y="21600"/>
                <wp:lineTo x="21785" y="21600"/>
                <wp:lineTo x="21785" y="-281"/>
                <wp:lineTo x="-396" y="-281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466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2B8A">
        <w:rPr>
          <w:rFonts w:ascii="Arial" w:hAnsi="Arial" w:cs="Arial"/>
          <w:color w:val="000000"/>
          <w:spacing w:val="2"/>
        </w:rPr>
        <w:t>I když zemědělství zůstává důležit</w:t>
      </w:r>
      <w:r w:rsidR="00955F3D">
        <w:rPr>
          <w:rFonts w:ascii="Arial" w:hAnsi="Arial" w:cs="Arial"/>
          <w:color w:val="000000"/>
          <w:spacing w:val="2"/>
        </w:rPr>
        <w:t>ým faktorem</w:t>
      </w:r>
      <w:r w:rsidRPr="00632B8A">
        <w:rPr>
          <w:rFonts w:ascii="Arial" w:hAnsi="Arial" w:cs="Arial"/>
          <w:color w:val="000000"/>
          <w:spacing w:val="2"/>
        </w:rPr>
        <w:t xml:space="preserve"> </w:t>
      </w:r>
      <w:r w:rsidR="00955F3D" w:rsidRPr="00632B8A">
        <w:rPr>
          <w:rFonts w:ascii="Arial" w:hAnsi="Arial" w:cs="Arial"/>
          <w:color w:val="000000"/>
          <w:spacing w:val="2"/>
        </w:rPr>
        <w:t xml:space="preserve">pro </w:t>
      </w:r>
      <w:r w:rsidR="00955F3D">
        <w:rPr>
          <w:rFonts w:ascii="Arial" w:hAnsi="Arial" w:cs="Arial"/>
          <w:color w:val="000000"/>
          <w:spacing w:val="2"/>
        </w:rPr>
        <w:t xml:space="preserve">rozvoj venkova </w:t>
      </w:r>
      <w:r w:rsidRPr="00632B8A">
        <w:rPr>
          <w:rFonts w:ascii="Arial" w:hAnsi="Arial" w:cs="Arial"/>
          <w:color w:val="000000"/>
          <w:spacing w:val="2"/>
        </w:rPr>
        <w:t>(tvorba krajiny, poskytov</w:t>
      </w:r>
      <w:r>
        <w:rPr>
          <w:rFonts w:ascii="Arial" w:hAnsi="Arial" w:cs="Arial"/>
          <w:color w:val="000000"/>
          <w:spacing w:val="2"/>
        </w:rPr>
        <w:t>ání</w:t>
      </w:r>
      <w:r w:rsidRPr="00632B8A">
        <w:rPr>
          <w:rFonts w:ascii="Arial" w:hAnsi="Arial" w:cs="Arial"/>
          <w:color w:val="000000"/>
          <w:spacing w:val="2"/>
        </w:rPr>
        <w:t xml:space="preserve"> občanské vybavenosti, zpracování zemědělských produktů, vazba na cestovní ruch atd.), relativní význam zemědělského sektoru v mnoha venkovských regionech klesá (zejm. pokles podílu na zaměstnanosti nebo na tvorbě HDP). Klesá také podíl světové populace žijící ve venkovských oblastech. V této souvislosti nabývají na významu meziodvětvové politiky usnadňující průběh strukturálních změn v daném teritoriu i konkrétním hospodářském sektoru. Opatření zlepšující venkovskou infrastrukturu a zemědělské inovační systémy, digitální konektivitu, veřejné služby nebo hospodaření s půdou a vodou umožňují lepší spolupůsobení zemědělských politik a politik rozvoje venkova. </w:t>
      </w:r>
      <w:hyperlink r:id="rId7" w:history="1">
        <w:r w:rsidRPr="00632B8A">
          <w:rPr>
            <w:rStyle w:val="Hypertextovodkaz"/>
            <w:rFonts w:ascii="Arial" w:hAnsi="Arial" w:cs="Arial"/>
            <w:spacing w:val="2"/>
          </w:rPr>
          <w:t>Zpráva</w:t>
        </w:r>
      </w:hyperlink>
      <w:r w:rsidRPr="00632B8A"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OECD </w:t>
      </w:r>
      <w:r w:rsidRPr="00632B8A">
        <w:rPr>
          <w:rFonts w:ascii="Arial" w:hAnsi="Arial" w:cs="Arial"/>
          <w:color w:val="000000"/>
          <w:spacing w:val="2"/>
        </w:rPr>
        <w:t>připomíná, že s pokračujícím přechodem k diverzifikované nízkouhlíkové venkovské ekonomice lze očekávat vytváření nových oblastí synergií mezi zemědělskými a venkovskými politikami.</w:t>
      </w:r>
    </w:p>
    <w:p w14:paraId="69E95F44" w14:textId="77777777" w:rsidR="00145749" w:rsidRDefault="00145749" w:rsidP="001457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</w:p>
    <w:p w14:paraId="38F89795" w14:textId="77777777" w:rsidR="00145749" w:rsidRDefault="00145749" w:rsidP="001457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</w:p>
    <w:p w14:paraId="33DC0DD7" w14:textId="71808C9A" w:rsidR="00145749" w:rsidRPr="00C95DDB" w:rsidRDefault="00145749" w:rsidP="001457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CE5FDB" wp14:editId="2240342B">
            <wp:simplePos x="0" y="0"/>
            <wp:positionH relativeFrom="margin">
              <wp:posOffset>4742815</wp:posOffset>
            </wp:positionH>
            <wp:positionV relativeFrom="paragraph">
              <wp:posOffset>30480</wp:posOffset>
            </wp:positionV>
            <wp:extent cx="986155" cy="1390650"/>
            <wp:effectExtent l="19050" t="19050" r="23495" b="19050"/>
            <wp:wrapTight wrapText="bothSides">
              <wp:wrapPolygon edited="0">
                <wp:start x="-417" y="-296"/>
                <wp:lineTo x="-417" y="21600"/>
                <wp:lineTo x="21697" y="21600"/>
                <wp:lineTo x="21697" y="-296"/>
                <wp:lineTo x="-417" y="-296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3906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AE7">
        <w:rPr>
          <w:rFonts w:ascii="Arial" w:hAnsi="Arial" w:cs="Arial"/>
          <w:color w:val="000000"/>
          <w:spacing w:val="2"/>
        </w:rPr>
        <w:t xml:space="preserve">V posledních letech se objevilo mnoho </w:t>
      </w:r>
      <w:hyperlink r:id="rId9" w:history="1">
        <w:r w:rsidRPr="00A64AE7">
          <w:rPr>
            <w:rStyle w:val="Hypertextovodkaz"/>
            <w:rFonts w:ascii="Arial" w:hAnsi="Arial" w:cs="Arial"/>
            <w:spacing w:val="2"/>
          </w:rPr>
          <w:t>iniciativ</w:t>
        </w:r>
      </w:hyperlink>
      <w:r w:rsidRPr="00A64AE7">
        <w:rPr>
          <w:rFonts w:ascii="Arial" w:hAnsi="Arial" w:cs="Arial"/>
          <w:color w:val="000000"/>
          <w:spacing w:val="2"/>
        </w:rPr>
        <w:t>, které se zaměřují na snižování environmentálních dopadů potravinových systémů</w:t>
      </w:r>
      <w:r w:rsidR="00CC3EE6">
        <w:rPr>
          <w:rFonts w:ascii="Arial" w:hAnsi="Arial" w:cs="Arial"/>
          <w:color w:val="000000"/>
          <w:spacing w:val="2"/>
        </w:rPr>
        <w:t xml:space="preserve"> a </w:t>
      </w:r>
      <w:r w:rsidR="00CC4DB9">
        <w:rPr>
          <w:rFonts w:ascii="Arial" w:hAnsi="Arial" w:cs="Arial"/>
          <w:color w:val="000000"/>
          <w:spacing w:val="2"/>
        </w:rPr>
        <w:t>zohledňují</w:t>
      </w:r>
      <w:r w:rsidRPr="00A64AE7">
        <w:rPr>
          <w:rFonts w:ascii="Arial" w:hAnsi="Arial" w:cs="Arial"/>
          <w:color w:val="000000"/>
          <w:spacing w:val="2"/>
        </w:rPr>
        <w:t xml:space="preserve"> celý dodavatelský řetěz</w:t>
      </w:r>
      <w:r w:rsidR="00CC4DB9">
        <w:rPr>
          <w:rFonts w:ascii="Arial" w:hAnsi="Arial" w:cs="Arial"/>
          <w:color w:val="000000"/>
          <w:spacing w:val="2"/>
        </w:rPr>
        <w:t>ec</w:t>
      </w:r>
      <w:r w:rsidRPr="00A64AE7">
        <w:rPr>
          <w:rFonts w:ascii="Arial" w:hAnsi="Arial" w:cs="Arial"/>
          <w:color w:val="000000"/>
          <w:spacing w:val="2"/>
        </w:rPr>
        <w:t xml:space="preserve">. Jde např. o uplatňování </w:t>
      </w:r>
      <w:r>
        <w:rPr>
          <w:rFonts w:ascii="Arial" w:hAnsi="Arial" w:cs="Arial"/>
          <w:color w:val="000000"/>
          <w:spacing w:val="2"/>
        </w:rPr>
        <w:t>náležité péče</w:t>
      </w:r>
      <w:r w:rsidRPr="00A64AE7">
        <w:rPr>
          <w:rFonts w:ascii="Arial" w:hAnsi="Arial" w:cs="Arial"/>
          <w:color w:val="000000"/>
          <w:spacing w:val="2"/>
        </w:rPr>
        <w:t xml:space="preserve"> v dodavatelském řetězci</w:t>
      </w:r>
      <w:r>
        <w:rPr>
          <w:rFonts w:ascii="Arial" w:hAnsi="Arial" w:cs="Arial"/>
          <w:color w:val="000000"/>
          <w:spacing w:val="2"/>
        </w:rPr>
        <w:t>;</w:t>
      </w:r>
      <w:r w:rsidRPr="00A64AE7">
        <w:rPr>
          <w:rFonts w:ascii="Arial" w:hAnsi="Arial" w:cs="Arial"/>
          <w:color w:val="000000"/>
          <w:spacing w:val="2"/>
        </w:rPr>
        <w:t xml:space="preserve"> transparentní/harmonizovaný reporting dopadů činnosti celých řetězců (nikoli jen reporting libovolně vybraných parametrů na úrovni firem)</w:t>
      </w:r>
      <w:r>
        <w:rPr>
          <w:rFonts w:ascii="Arial" w:hAnsi="Arial" w:cs="Arial"/>
          <w:color w:val="000000"/>
          <w:spacing w:val="2"/>
        </w:rPr>
        <w:t>;</w:t>
      </w:r>
      <w:r w:rsidRPr="00A64AE7">
        <w:rPr>
          <w:rFonts w:ascii="Arial" w:hAnsi="Arial" w:cs="Arial"/>
          <w:color w:val="000000"/>
          <w:spacing w:val="2"/>
        </w:rPr>
        <w:t xml:space="preserve"> zavádění firemního benchmarkingu </w:t>
      </w:r>
      <w:r>
        <w:rPr>
          <w:rFonts w:ascii="Arial" w:hAnsi="Arial" w:cs="Arial"/>
          <w:color w:val="000000"/>
          <w:spacing w:val="2"/>
        </w:rPr>
        <w:t xml:space="preserve">či přijímání firemních závazků </w:t>
      </w:r>
      <w:r w:rsidRPr="00A64AE7">
        <w:rPr>
          <w:rFonts w:ascii="Arial" w:hAnsi="Arial" w:cs="Arial"/>
          <w:color w:val="000000"/>
          <w:spacing w:val="2"/>
        </w:rPr>
        <w:t>založen</w:t>
      </w:r>
      <w:r>
        <w:rPr>
          <w:rFonts w:ascii="Arial" w:hAnsi="Arial" w:cs="Arial"/>
          <w:color w:val="000000"/>
          <w:spacing w:val="2"/>
        </w:rPr>
        <w:t>ých</w:t>
      </w:r>
      <w:r w:rsidRPr="00A64AE7">
        <w:rPr>
          <w:rFonts w:ascii="Arial" w:hAnsi="Arial" w:cs="Arial"/>
          <w:color w:val="000000"/>
          <w:spacing w:val="2"/>
        </w:rPr>
        <w:t xml:space="preserve"> na parametrech daného dodavatelského řetězce</w:t>
      </w:r>
      <w:r>
        <w:rPr>
          <w:rFonts w:ascii="Arial" w:hAnsi="Arial" w:cs="Arial"/>
          <w:color w:val="000000"/>
          <w:spacing w:val="2"/>
        </w:rPr>
        <w:t>;</w:t>
      </w:r>
      <w:r w:rsidRPr="00A64AE7">
        <w:rPr>
          <w:rFonts w:ascii="Arial" w:hAnsi="Arial" w:cs="Arial"/>
          <w:color w:val="000000"/>
          <w:spacing w:val="2"/>
        </w:rPr>
        <w:t xml:space="preserve"> dobrovolných norem a značek udržitelnosti (včetně hodnocení dopadů v průběhu životního cyklu/LCA)</w:t>
      </w:r>
      <w:r>
        <w:rPr>
          <w:rFonts w:ascii="Arial" w:hAnsi="Arial" w:cs="Arial"/>
          <w:color w:val="000000"/>
          <w:spacing w:val="2"/>
        </w:rPr>
        <w:t>;</w:t>
      </w:r>
      <w:r w:rsidRPr="00A64AE7">
        <w:rPr>
          <w:rFonts w:ascii="Arial" w:hAnsi="Arial" w:cs="Arial"/>
          <w:color w:val="000000"/>
          <w:spacing w:val="2"/>
        </w:rPr>
        <w:t xml:space="preserve"> státní pobídky prostřednictvím daní, dotací či veřejných zakázek; jasnější definice společenských standardů a metodik LCA atd. Prosté plnění procesních standardů nebo dodržování souboru postupů však o reálných environmentálních dopadech nemusí nezbytně vypovídat. Lepší metodologie a posuzování účinnosti tak musejí být doprovázeny vzájemnou strategickou provázaností a zvyšováním důvěry mezi jednotlivými články globálních i domácích řetězců. </w:t>
      </w:r>
      <w:r>
        <w:rPr>
          <w:rFonts w:ascii="Arial" w:hAnsi="Arial" w:cs="Arial"/>
          <w:color w:val="000000"/>
          <w:spacing w:val="2"/>
        </w:rPr>
        <w:t>Široké spektrum</w:t>
      </w:r>
      <w:r w:rsidRPr="00A64AE7">
        <w:rPr>
          <w:rFonts w:ascii="Arial" w:hAnsi="Arial" w:cs="Arial"/>
          <w:color w:val="000000"/>
          <w:spacing w:val="2"/>
        </w:rPr>
        <w:t xml:space="preserve"> uvedených iniciativ reflektuje složitost a různorodost potravinových systémů, dodavatelských řetězců a jejich environmentálních dopadů. K řešení </w:t>
      </w:r>
      <w:r>
        <w:rPr>
          <w:rFonts w:ascii="Arial" w:hAnsi="Arial" w:cs="Arial"/>
          <w:color w:val="000000"/>
          <w:spacing w:val="2"/>
        </w:rPr>
        <w:t>environmentálních</w:t>
      </w:r>
      <w:r w:rsidRPr="00A64AE7">
        <w:rPr>
          <w:rFonts w:ascii="Arial" w:hAnsi="Arial" w:cs="Arial"/>
          <w:color w:val="000000"/>
          <w:spacing w:val="2"/>
        </w:rPr>
        <w:t xml:space="preserve"> problémů je tedy zapotřebí kombinace různých přístupů spíše než jeden univerzální.</w:t>
      </w:r>
      <w:r>
        <w:rPr>
          <w:rFonts w:ascii="Arial" w:hAnsi="Arial" w:cs="Arial"/>
          <w:color w:val="000000"/>
          <w:spacing w:val="2"/>
        </w:rPr>
        <w:t xml:space="preserve"> </w:t>
      </w:r>
    </w:p>
    <w:p w14:paraId="1C0BBB5D" w14:textId="77777777" w:rsidR="00145749" w:rsidRDefault="00145749" w:rsidP="00145749">
      <w:pPr>
        <w:spacing w:after="0" w:line="240" w:lineRule="auto"/>
        <w:jc w:val="both"/>
        <w:rPr>
          <w:rFonts w:ascii="Arial" w:hAnsi="Arial" w:cs="Arial"/>
        </w:rPr>
      </w:pPr>
    </w:p>
    <w:p w14:paraId="091F927D" w14:textId="77777777" w:rsidR="00145749" w:rsidRDefault="00145749" w:rsidP="00145749">
      <w:pPr>
        <w:spacing w:after="0" w:line="240" w:lineRule="auto"/>
        <w:jc w:val="both"/>
        <w:rPr>
          <w:rFonts w:ascii="Arial" w:hAnsi="Arial" w:cs="Arial"/>
        </w:rPr>
      </w:pPr>
    </w:p>
    <w:p w14:paraId="1B4385A0" w14:textId="77777777" w:rsidR="00145749" w:rsidRDefault="00145749" w:rsidP="00145749">
      <w:pPr>
        <w:spacing w:after="0" w:line="240" w:lineRule="auto"/>
        <w:jc w:val="both"/>
        <w:rPr>
          <w:rFonts w:ascii="Arial" w:hAnsi="Arial" w:cs="Arial"/>
        </w:rPr>
      </w:pPr>
    </w:p>
    <w:p w14:paraId="086A1828" w14:textId="77777777" w:rsidR="00145749" w:rsidRPr="003F7CAF" w:rsidRDefault="00145749" w:rsidP="001457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Mgr. Radek Stránský</w:t>
      </w:r>
    </w:p>
    <w:p w14:paraId="692D5F84" w14:textId="77777777" w:rsidR="00145749" w:rsidRPr="003F7CAF" w:rsidRDefault="00145749" w:rsidP="001457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Odbor zahraničně obchodní spolupráce, MZe</w:t>
      </w:r>
    </w:p>
    <w:p w14:paraId="0CB63282" w14:textId="77777777" w:rsidR="00145749" w:rsidRDefault="00145749" w:rsidP="001457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+420 221 812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310</w:t>
      </w:r>
    </w:p>
    <w:p w14:paraId="44BC59C0" w14:textId="77777777" w:rsidR="00015132" w:rsidRDefault="00015132"/>
    <w:sectPr w:rsidR="00015132" w:rsidSect="004F7E14">
      <w:headerReference w:type="default" r:id="rId10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2C2F" w14:textId="77777777" w:rsidR="006B4599" w:rsidRDefault="006B4599">
      <w:pPr>
        <w:spacing w:after="0" w:line="240" w:lineRule="auto"/>
      </w:pPr>
      <w:r>
        <w:separator/>
      </w:r>
    </w:p>
  </w:endnote>
  <w:endnote w:type="continuationSeparator" w:id="0">
    <w:p w14:paraId="5756CDBB" w14:textId="77777777" w:rsidR="006B4599" w:rsidRDefault="006B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79EE" w14:textId="77777777" w:rsidR="006B4599" w:rsidRDefault="006B4599">
      <w:pPr>
        <w:spacing w:after="0" w:line="240" w:lineRule="auto"/>
      </w:pPr>
      <w:r>
        <w:separator/>
      </w:r>
    </w:p>
  </w:footnote>
  <w:footnote w:type="continuationSeparator" w:id="0">
    <w:p w14:paraId="35F0C8D4" w14:textId="77777777" w:rsidR="006B4599" w:rsidRDefault="006B4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26C5" w14:textId="77777777" w:rsidR="009D2E73" w:rsidRDefault="00AA1758">
    <w:pPr>
      <w:pStyle w:val="Zhlav"/>
    </w:pPr>
    <w:r>
      <w:tab/>
    </w:r>
    <w:r>
      <w:tab/>
      <w:t>12. 1. 2023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49"/>
    <w:rsid w:val="00015132"/>
    <w:rsid w:val="00026F19"/>
    <w:rsid w:val="00145749"/>
    <w:rsid w:val="005A6075"/>
    <w:rsid w:val="006B4599"/>
    <w:rsid w:val="00921FEF"/>
    <w:rsid w:val="00955F3D"/>
    <w:rsid w:val="00AA1758"/>
    <w:rsid w:val="00CC3EE6"/>
    <w:rsid w:val="00CC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F13A"/>
  <w15:chartTrackingRefBased/>
  <w15:docId w15:val="{DCE1FD2C-2DA7-49C4-B3E9-9E1168AF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7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574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45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oecd-ilibrary.org/agriculture-and-food/aligning-agricultural-and-rural-development-policies-in-the-context-of-structural-change_1499398c-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oecd-ilibrary.org/agriculture-and-food/improving-environmental-outcomes-along-food-supply-chains_d549eb43-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Bartošová Karolína</cp:lastModifiedBy>
  <cp:revision>2</cp:revision>
  <dcterms:created xsi:type="dcterms:W3CDTF">2023-01-13T13:24:00Z</dcterms:created>
  <dcterms:modified xsi:type="dcterms:W3CDTF">2023-01-13T13:24:00Z</dcterms:modified>
</cp:coreProperties>
</file>