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0C34D" w14:textId="77777777" w:rsidR="0096711A" w:rsidRPr="00894D87" w:rsidRDefault="006F6682" w:rsidP="0096711A">
      <w:pPr>
        <w:pStyle w:val="Zkladntext"/>
        <w:jc w:val="right"/>
        <w:rPr>
          <w:b/>
          <w:caps/>
          <w:sz w:val="22"/>
          <w:szCs w:val="22"/>
        </w:rPr>
      </w:pPr>
      <w:r>
        <w:rPr>
          <w:b/>
          <w:caps/>
          <w:sz w:val="22"/>
          <w:szCs w:val="22"/>
        </w:rPr>
        <w:t>I</w:t>
      </w:r>
      <w:r w:rsidR="0096711A" w:rsidRPr="00894D87">
        <w:rPr>
          <w:b/>
          <w:caps/>
          <w:sz w:val="22"/>
          <w:szCs w:val="22"/>
        </w:rPr>
        <w:t>V.</w:t>
      </w:r>
    </w:p>
    <w:p w14:paraId="227134BF" w14:textId="77777777" w:rsidR="00330428" w:rsidRPr="00894D87" w:rsidRDefault="00330428">
      <w:pPr>
        <w:pStyle w:val="Zkladntext"/>
        <w:rPr>
          <w:b/>
          <w:bCs/>
          <w:sz w:val="22"/>
          <w:szCs w:val="22"/>
        </w:rPr>
      </w:pPr>
      <w:r w:rsidRPr="00894D87">
        <w:rPr>
          <w:b/>
          <w:caps/>
          <w:sz w:val="22"/>
          <w:szCs w:val="22"/>
        </w:rPr>
        <w:t>Vypořádání připomínek k materiálu s názvem:</w:t>
      </w:r>
      <w:r w:rsidRPr="00894D87">
        <w:rPr>
          <w:b/>
          <w:bCs/>
          <w:sz w:val="22"/>
          <w:szCs w:val="22"/>
        </w:rPr>
        <w:t xml:space="preserve"> </w:t>
      </w:r>
      <w:r w:rsidRPr="00894D87">
        <w:rPr>
          <w:b/>
          <w:bCs/>
          <w:sz w:val="22"/>
          <w:szCs w:val="22"/>
        </w:rPr>
        <w:tab/>
      </w:r>
      <w:r w:rsidRPr="00894D87">
        <w:rPr>
          <w:b/>
          <w:bCs/>
          <w:sz w:val="22"/>
          <w:szCs w:val="22"/>
        </w:rPr>
        <w:tab/>
      </w:r>
    </w:p>
    <w:p w14:paraId="6C0139B5" w14:textId="77777777" w:rsidR="00330428" w:rsidRPr="00894D87" w:rsidRDefault="00330428">
      <w:pPr>
        <w:pStyle w:val="Zkladntext"/>
        <w:jc w:val="right"/>
        <w:rPr>
          <w:b/>
          <w:sz w:val="22"/>
          <w:szCs w:val="22"/>
        </w:rPr>
      </w:pPr>
    </w:p>
    <w:p w14:paraId="060FC90C" w14:textId="77777777" w:rsidR="00330428" w:rsidRPr="00894D87" w:rsidRDefault="00330428">
      <w:pPr>
        <w:rPr>
          <w:b/>
          <w:sz w:val="22"/>
          <w:szCs w:val="22"/>
        </w:rPr>
      </w:pPr>
    </w:p>
    <w:p w14:paraId="26A0813E" w14:textId="77777777" w:rsidR="00A35E9E" w:rsidRPr="00A35E9E" w:rsidRDefault="00330428" w:rsidP="00BE0ED8">
      <w:pPr>
        <w:rPr>
          <w:b/>
          <w:sz w:val="22"/>
          <w:szCs w:val="22"/>
        </w:rPr>
      </w:pPr>
      <w:r w:rsidRPr="00894D87">
        <w:rPr>
          <w:b/>
          <w:sz w:val="22"/>
          <w:szCs w:val="22"/>
        </w:rPr>
        <w:t>Návrh vyhlášky</w:t>
      </w:r>
      <w:r w:rsidR="00C17438" w:rsidRPr="00C17438">
        <w:t xml:space="preserve"> </w:t>
      </w:r>
      <w:r w:rsidR="00C17438" w:rsidRPr="00C17438">
        <w:rPr>
          <w:b/>
          <w:sz w:val="22"/>
          <w:szCs w:val="22"/>
        </w:rPr>
        <w:t xml:space="preserve">o </w:t>
      </w:r>
      <w:r w:rsidR="0051470E">
        <w:rPr>
          <w:b/>
          <w:sz w:val="22"/>
          <w:szCs w:val="22"/>
        </w:rPr>
        <w:t>požadavcích na pokrmy</w:t>
      </w:r>
      <w:r w:rsidR="00BE0ED8">
        <w:rPr>
          <w:b/>
          <w:sz w:val="22"/>
          <w:szCs w:val="22"/>
        </w:rPr>
        <w:t xml:space="preserve"> </w:t>
      </w:r>
      <w:r w:rsidR="00AD1D10" w:rsidRPr="00AD1D10">
        <w:rPr>
          <w:b/>
          <w:sz w:val="22"/>
          <w:szCs w:val="22"/>
        </w:rPr>
        <w:t xml:space="preserve"> </w:t>
      </w:r>
      <w:r w:rsidR="00A35E9E" w:rsidRPr="00A35E9E">
        <w:rPr>
          <w:b/>
          <w:sz w:val="22"/>
          <w:szCs w:val="22"/>
        </w:rPr>
        <w:t xml:space="preserve"> </w:t>
      </w:r>
    </w:p>
    <w:p w14:paraId="768ADD9E" w14:textId="77777777" w:rsidR="00330428" w:rsidRPr="00894D87" w:rsidRDefault="00330428" w:rsidP="00357032">
      <w:pPr>
        <w:jc w:val="both"/>
        <w:rPr>
          <w:b/>
          <w:sz w:val="22"/>
          <w:szCs w:val="22"/>
        </w:rPr>
      </w:pPr>
    </w:p>
    <w:p w14:paraId="4864FC25" w14:textId="77777777" w:rsidR="008230A9" w:rsidRDefault="008230A9" w:rsidP="008230A9">
      <w:pPr>
        <w:jc w:val="both"/>
        <w:rPr>
          <w:sz w:val="22"/>
          <w:szCs w:val="22"/>
        </w:rPr>
      </w:pPr>
      <w:r w:rsidRPr="00894D87">
        <w:rPr>
          <w:sz w:val="22"/>
          <w:szCs w:val="22"/>
        </w:rPr>
        <w:t xml:space="preserve">Materiál byl předložen do meziresortního připomínkového řízení prostřednictvím eKLEPu dne </w:t>
      </w:r>
      <w:r w:rsidR="0051470E">
        <w:rPr>
          <w:sz w:val="22"/>
          <w:szCs w:val="22"/>
        </w:rPr>
        <w:t>1</w:t>
      </w:r>
      <w:r w:rsidRPr="00894D87">
        <w:rPr>
          <w:sz w:val="22"/>
          <w:szCs w:val="22"/>
        </w:rPr>
        <w:t xml:space="preserve">. </w:t>
      </w:r>
      <w:r w:rsidR="0051470E">
        <w:rPr>
          <w:sz w:val="22"/>
          <w:szCs w:val="22"/>
        </w:rPr>
        <w:t>listopadu</w:t>
      </w:r>
      <w:r w:rsidRPr="00894D87">
        <w:rPr>
          <w:sz w:val="22"/>
          <w:szCs w:val="22"/>
        </w:rPr>
        <w:t xml:space="preserve"> 20</w:t>
      </w:r>
      <w:r w:rsidR="00C17438">
        <w:rPr>
          <w:sz w:val="22"/>
          <w:szCs w:val="22"/>
        </w:rPr>
        <w:t>2</w:t>
      </w:r>
      <w:r w:rsidR="003867E6">
        <w:rPr>
          <w:sz w:val="22"/>
          <w:szCs w:val="22"/>
        </w:rPr>
        <w:t>1</w:t>
      </w:r>
      <w:r w:rsidRPr="00894D87">
        <w:rPr>
          <w:sz w:val="22"/>
          <w:szCs w:val="22"/>
        </w:rPr>
        <w:t xml:space="preserve"> s termínem dodání stanovisek do </w:t>
      </w:r>
      <w:r w:rsidR="0051470E">
        <w:rPr>
          <w:sz w:val="22"/>
          <w:szCs w:val="22"/>
        </w:rPr>
        <w:t>2</w:t>
      </w:r>
      <w:r w:rsidR="003867E6">
        <w:rPr>
          <w:sz w:val="22"/>
          <w:szCs w:val="22"/>
        </w:rPr>
        <w:t>3</w:t>
      </w:r>
      <w:r>
        <w:rPr>
          <w:sz w:val="22"/>
          <w:szCs w:val="22"/>
        </w:rPr>
        <w:t>. </w:t>
      </w:r>
      <w:r w:rsidR="0051470E">
        <w:rPr>
          <w:sz w:val="22"/>
          <w:szCs w:val="22"/>
        </w:rPr>
        <w:t>listopadu</w:t>
      </w:r>
      <w:r w:rsidR="0039341E">
        <w:rPr>
          <w:sz w:val="22"/>
          <w:szCs w:val="22"/>
        </w:rPr>
        <w:t> </w:t>
      </w:r>
      <w:r w:rsidRPr="00894D87">
        <w:rPr>
          <w:sz w:val="22"/>
          <w:szCs w:val="22"/>
        </w:rPr>
        <w:t>20</w:t>
      </w:r>
      <w:r w:rsidR="00C17438">
        <w:rPr>
          <w:sz w:val="22"/>
          <w:szCs w:val="22"/>
        </w:rPr>
        <w:t>2</w:t>
      </w:r>
      <w:r w:rsidR="003867E6">
        <w:rPr>
          <w:sz w:val="22"/>
          <w:szCs w:val="22"/>
        </w:rPr>
        <w:t>1</w:t>
      </w:r>
      <w:r w:rsidRPr="00894D87">
        <w:rPr>
          <w:sz w:val="22"/>
          <w:szCs w:val="22"/>
        </w:rPr>
        <w:t>. Vyhodnocení tohoto řízení je uvedeno v následující tabulce:</w:t>
      </w:r>
    </w:p>
    <w:p w14:paraId="6529FA1F" w14:textId="77777777" w:rsidR="00330428" w:rsidRDefault="00330428">
      <w:pPr>
        <w:rPr>
          <w:sz w:val="22"/>
          <w:szCs w:val="22"/>
        </w:rPr>
      </w:pPr>
    </w:p>
    <w:p w14:paraId="166D5992" w14:textId="77777777" w:rsidR="008230A9" w:rsidRPr="00894D87" w:rsidRDefault="008230A9">
      <w:pPr>
        <w:rPr>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9"/>
        <w:gridCol w:w="5879"/>
        <w:gridCol w:w="6237"/>
      </w:tblGrid>
      <w:tr w:rsidR="00330428" w:rsidRPr="006E08DC" w14:paraId="737B7E48" w14:textId="77777777" w:rsidTr="006A2587">
        <w:tc>
          <w:tcPr>
            <w:tcW w:w="2309" w:type="dxa"/>
          </w:tcPr>
          <w:p w14:paraId="7C11F580" w14:textId="77777777" w:rsidR="00330428" w:rsidRPr="006E08DC" w:rsidRDefault="00330428" w:rsidP="006E08DC">
            <w:pPr>
              <w:contextualSpacing/>
              <w:rPr>
                <w:b/>
                <w:bCs/>
                <w:sz w:val="22"/>
                <w:szCs w:val="22"/>
              </w:rPr>
            </w:pPr>
            <w:r w:rsidRPr="006E08DC">
              <w:rPr>
                <w:b/>
                <w:bCs/>
                <w:sz w:val="22"/>
                <w:szCs w:val="22"/>
              </w:rPr>
              <w:t>Resort</w:t>
            </w:r>
          </w:p>
          <w:p w14:paraId="580429EF" w14:textId="77777777" w:rsidR="00A726C1" w:rsidRPr="006E08DC" w:rsidRDefault="00A726C1" w:rsidP="006E08DC">
            <w:pPr>
              <w:contextualSpacing/>
              <w:rPr>
                <w:sz w:val="22"/>
                <w:szCs w:val="22"/>
              </w:rPr>
            </w:pPr>
          </w:p>
        </w:tc>
        <w:tc>
          <w:tcPr>
            <w:tcW w:w="5879" w:type="dxa"/>
          </w:tcPr>
          <w:p w14:paraId="32C9882C" w14:textId="77777777" w:rsidR="00330428" w:rsidRPr="006E08DC" w:rsidRDefault="00330428" w:rsidP="006A2587">
            <w:pPr>
              <w:ind w:left="34"/>
              <w:contextualSpacing/>
              <w:jc w:val="both"/>
              <w:rPr>
                <w:sz w:val="22"/>
                <w:szCs w:val="22"/>
              </w:rPr>
            </w:pPr>
            <w:r w:rsidRPr="006E08DC">
              <w:rPr>
                <w:b/>
                <w:bCs/>
                <w:sz w:val="22"/>
                <w:szCs w:val="22"/>
              </w:rPr>
              <w:t>Připomínky</w:t>
            </w:r>
          </w:p>
        </w:tc>
        <w:tc>
          <w:tcPr>
            <w:tcW w:w="6237" w:type="dxa"/>
          </w:tcPr>
          <w:p w14:paraId="7879CB5C" w14:textId="77777777" w:rsidR="00330428" w:rsidRPr="006E08DC" w:rsidRDefault="00330428" w:rsidP="006A2587">
            <w:pPr>
              <w:ind w:right="175"/>
              <w:contextualSpacing/>
              <w:rPr>
                <w:color w:val="000000"/>
                <w:sz w:val="22"/>
                <w:szCs w:val="22"/>
              </w:rPr>
            </w:pPr>
            <w:r w:rsidRPr="006E08DC">
              <w:rPr>
                <w:b/>
                <w:bCs/>
                <w:color w:val="000000"/>
                <w:sz w:val="22"/>
                <w:szCs w:val="22"/>
              </w:rPr>
              <w:t>Vypořádání</w:t>
            </w:r>
          </w:p>
        </w:tc>
      </w:tr>
      <w:tr w:rsidR="00330428" w:rsidRPr="006E08DC" w14:paraId="5EA5CDCE" w14:textId="77777777" w:rsidTr="006A2587">
        <w:trPr>
          <w:cantSplit/>
          <w:trHeight w:val="279"/>
        </w:trPr>
        <w:tc>
          <w:tcPr>
            <w:tcW w:w="2309" w:type="dxa"/>
            <w:tcBorders>
              <w:top w:val="single" w:sz="4" w:space="0" w:color="auto"/>
              <w:left w:val="single" w:sz="4" w:space="0" w:color="auto"/>
              <w:bottom w:val="single" w:sz="4" w:space="0" w:color="auto"/>
              <w:right w:val="single" w:sz="4" w:space="0" w:color="auto"/>
            </w:tcBorders>
          </w:tcPr>
          <w:p w14:paraId="63A885B8" w14:textId="77777777" w:rsidR="00330428" w:rsidRPr="006E08DC" w:rsidRDefault="00330428" w:rsidP="006E08DC">
            <w:pPr>
              <w:contextualSpacing/>
              <w:rPr>
                <w:sz w:val="22"/>
                <w:szCs w:val="22"/>
              </w:rPr>
            </w:pPr>
          </w:p>
          <w:p w14:paraId="531EBD88" w14:textId="77777777" w:rsidR="00330428" w:rsidRPr="006E08DC" w:rsidRDefault="00330428" w:rsidP="006E08DC">
            <w:pPr>
              <w:contextualSpacing/>
              <w:rPr>
                <w:sz w:val="22"/>
                <w:szCs w:val="22"/>
              </w:rPr>
            </w:pPr>
            <w:r w:rsidRPr="006E08DC">
              <w:rPr>
                <w:sz w:val="22"/>
                <w:szCs w:val="22"/>
              </w:rPr>
              <w:t>Ministerstvo dopravy</w:t>
            </w:r>
          </w:p>
          <w:p w14:paraId="5D59F481" w14:textId="77777777" w:rsidR="00330428" w:rsidRDefault="00330428" w:rsidP="006E08DC">
            <w:pPr>
              <w:contextualSpacing/>
              <w:rPr>
                <w:color w:val="0000FF"/>
                <w:sz w:val="22"/>
                <w:szCs w:val="22"/>
              </w:rPr>
            </w:pPr>
          </w:p>
          <w:p w14:paraId="5F05DA7E" w14:textId="77777777" w:rsidR="001B1CB5" w:rsidRPr="006E08DC" w:rsidRDefault="001B1CB5" w:rsidP="006E08DC">
            <w:pPr>
              <w:contextualSpacing/>
              <w:rPr>
                <w:color w:val="0000FF"/>
                <w:sz w:val="22"/>
                <w:szCs w:val="22"/>
              </w:rPr>
            </w:pPr>
          </w:p>
        </w:tc>
        <w:tc>
          <w:tcPr>
            <w:tcW w:w="5879" w:type="dxa"/>
            <w:tcBorders>
              <w:top w:val="single" w:sz="4" w:space="0" w:color="auto"/>
              <w:left w:val="single" w:sz="4" w:space="0" w:color="auto"/>
              <w:bottom w:val="single" w:sz="4" w:space="0" w:color="auto"/>
              <w:right w:val="single" w:sz="4" w:space="0" w:color="auto"/>
            </w:tcBorders>
          </w:tcPr>
          <w:p w14:paraId="7E9C079C" w14:textId="77777777" w:rsidR="001B1CB5" w:rsidRDefault="001B1CB5" w:rsidP="001B1CB5">
            <w:pPr>
              <w:pStyle w:val="Zkladntext"/>
              <w:ind w:left="34"/>
              <w:contextualSpacing/>
              <w:rPr>
                <w:sz w:val="22"/>
                <w:szCs w:val="22"/>
              </w:rPr>
            </w:pPr>
          </w:p>
          <w:p w14:paraId="42DCE4D5" w14:textId="77777777" w:rsidR="001B1CB5" w:rsidRPr="006E08DC" w:rsidRDefault="001B1CB5" w:rsidP="001B1CB5">
            <w:pPr>
              <w:pStyle w:val="Zkladntext"/>
              <w:ind w:left="34"/>
              <w:contextualSpacing/>
              <w:rPr>
                <w:sz w:val="22"/>
                <w:szCs w:val="22"/>
              </w:rPr>
            </w:pPr>
            <w:r w:rsidRPr="006E08DC">
              <w:rPr>
                <w:sz w:val="22"/>
                <w:szCs w:val="22"/>
              </w:rPr>
              <w:t>Bez připomínek.</w:t>
            </w:r>
          </w:p>
          <w:p w14:paraId="2F438E48" w14:textId="77777777" w:rsidR="00257F73" w:rsidRPr="006E08DC" w:rsidRDefault="00257F73" w:rsidP="00257F73">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DB61DE6" w14:textId="77777777" w:rsidR="00C803C2" w:rsidRPr="006E08DC" w:rsidRDefault="00C803C2" w:rsidP="00257A48">
            <w:pPr>
              <w:ind w:right="175"/>
              <w:contextualSpacing/>
              <w:rPr>
                <w:color w:val="000000"/>
                <w:sz w:val="22"/>
                <w:szCs w:val="22"/>
              </w:rPr>
            </w:pPr>
          </w:p>
        </w:tc>
      </w:tr>
      <w:tr w:rsidR="00330428" w:rsidRPr="006E08DC" w14:paraId="019EC021" w14:textId="77777777" w:rsidTr="006A2587">
        <w:trPr>
          <w:cantSplit/>
          <w:trHeight w:val="279"/>
        </w:trPr>
        <w:tc>
          <w:tcPr>
            <w:tcW w:w="2309" w:type="dxa"/>
            <w:tcBorders>
              <w:top w:val="single" w:sz="4" w:space="0" w:color="auto"/>
              <w:left w:val="single" w:sz="4" w:space="0" w:color="auto"/>
              <w:bottom w:val="single" w:sz="4" w:space="0" w:color="auto"/>
              <w:right w:val="single" w:sz="4" w:space="0" w:color="auto"/>
            </w:tcBorders>
          </w:tcPr>
          <w:p w14:paraId="19D53C18" w14:textId="77777777" w:rsidR="00330428" w:rsidRPr="006E08DC" w:rsidRDefault="00330428" w:rsidP="006E08DC">
            <w:pPr>
              <w:contextualSpacing/>
              <w:rPr>
                <w:sz w:val="22"/>
                <w:szCs w:val="22"/>
              </w:rPr>
            </w:pPr>
          </w:p>
          <w:p w14:paraId="246F198C" w14:textId="77777777" w:rsidR="00330428" w:rsidRDefault="00330428" w:rsidP="006E08DC">
            <w:pPr>
              <w:contextualSpacing/>
              <w:rPr>
                <w:sz w:val="22"/>
                <w:szCs w:val="22"/>
              </w:rPr>
            </w:pPr>
            <w:r w:rsidRPr="006E08DC">
              <w:rPr>
                <w:sz w:val="22"/>
                <w:szCs w:val="22"/>
              </w:rPr>
              <w:t>Ministerstvo obrany</w:t>
            </w:r>
          </w:p>
          <w:p w14:paraId="5533C582" w14:textId="77777777" w:rsidR="001C01FB" w:rsidRPr="006E08DC" w:rsidRDefault="001C01FB" w:rsidP="006E08DC">
            <w:pPr>
              <w:contextualSpacing/>
              <w:rPr>
                <w:sz w:val="22"/>
                <w:szCs w:val="22"/>
              </w:rPr>
            </w:pPr>
          </w:p>
          <w:p w14:paraId="3E2CE82A" w14:textId="77777777" w:rsidR="00330428" w:rsidRPr="006E08DC" w:rsidRDefault="00330428"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5BD3683A" w14:textId="77777777" w:rsidR="00B06E5B" w:rsidRPr="006E08DC" w:rsidRDefault="00B06E5B" w:rsidP="006A2587">
            <w:pPr>
              <w:pStyle w:val="Zkladntext"/>
              <w:ind w:left="34"/>
              <w:contextualSpacing/>
              <w:rPr>
                <w:sz w:val="22"/>
                <w:szCs w:val="22"/>
              </w:rPr>
            </w:pPr>
          </w:p>
          <w:p w14:paraId="58525229" w14:textId="77777777" w:rsidR="00314B1A" w:rsidRPr="006E08DC" w:rsidRDefault="00B06E5B" w:rsidP="006A2587">
            <w:pPr>
              <w:pStyle w:val="Zkladntext"/>
              <w:ind w:left="34"/>
              <w:contextualSpacing/>
              <w:rPr>
                <w:sz w:val="22"/>
                <w:szCs w:val="22"/>
              </w:rPr>
            </w:pPr>
            <w:r w:rsidRPr="006E08DC">
              <w:rPr>
                <w:sz w:val="22"/>
                <w:szCs w:val="22"/>
              </w:rPr>
              <w:t>Bez připomínek.</w:t>
            </w:r>
          </w:p>
          <w:p w14:paraId="6926C79C" w14:textId="77777777" w:rsidR="00BA27AB" w:rsidRPr="006E08DC" w:rsidRDefault="00BA27AB" w:rsidP="006A2587">
            <w:pPr>
              <w:pStyle w:val="Zkladntext"/>
              <w:ind w:left="34"/>
              <w:contextualSpacing/>
              <w:rPr>
                <w:color w:val="0000FF"/>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FC487E9" w14:textId="77777777" w:rsidR="00284182" w:rsidRPr="006E08DC" w:rsidRDefault="00284182" w:rsidP="006A2587">
            <w:pPr>
              <w:ind w:right="175"/>
              <w:contextualSpacing/>
              <w:rPr>
                <w:color w:val="000000"/>
                <w:sz w:val="22"/>
                <w:szCs w:val="22"/>
              </w:rPr>
            </w:pPr>
          </w:p>
        </w:tc>
      </w:tr>
      <w:tr w:rsidR="005827E9" w:rsidRPr="006E08DC" w14:paraId="2DD9C84A" w14:textId="77777777" w:rsidTr="006A2587">
        <w:trPr>
          <w:cantSplit/>
          <w:trHeight w:val="279"/>
        </w:trPr>
        <w:tc>
          <w:tcPr>
            <w:tcW w:w="2309" w:type="dxa"/>
            <w:tcBorders>
              <w:top w:val="single" w:sz="4" w:space="0" w:color="auto"/>
              <w:left w:val="single" w:sz="4" w:space="0" w:color="auto"/>
              <w:bottom w:val="single" w:sz="4" w:space="0" w:color="auto"/>
              <w:right w:val="single" w:sz="4" w:space="0" w:color="auto"/>
            </w:tcBorders>
          </w:tcPr>
          <w:p w14:paraId="423D543B" w14:textId="77777777" w:rsidR="005827E9" w:rsidRDefault="005827E9" w:rsidP="006E08DC">
            <w:pPr>
              <w:contextualSpacing/>
              <w:rPr>
                <w:sz w:val="22"/>
                <w:szCs w:val="22"/>
              </w:rPr>
            </w:pPr>
          </w:p>
          <w:p w14:paraId="45D535A6" w14:textId="77777777" w:rsidR="005827E9" w:rsidRPr="006E08DC" w:rsidRDefault="005827E9" w:rsidP="005827E9">
            <w:pPr>
              <w:contextualSpacing/>
              <w:rPr>
                <w:sz w:val="22"/>
                <w:szCs w:val="22"/>
              </w:rPr>
            </w:pPr>
            <w:r w:rsidRPr="006E08DC">
              <w:rPr>
                <w:sz w:val="22"/>
                <w:szCs w:val="22"/>
              </w:rPr>
              <w:t>Ministerstvo kultury</w:t>
            </w:r>
          </w:p>
          <w:p w14:paraId="1F77FAEC" w14:textId="77777777" w:rsidR="005827E9" w:rsidRPr="006E08DC" w:rsidRDefault="005827E9"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58E1EC80" w14:textId="77777777" w:rsidR="005827E9" w:rsidRDefault="005827E9" w:rsidP="006A2587">
            <w:pPr>
              <w:pStyle w:val="Zkladntext"/>
              <w:ind w:left="34"/>
              <w:contextualSpacing/>
              <w:rPr>
                <w:sz w:val="22"/>
                <w:szCs w:val="22"/>
              </w:rPr>
            </w:pPr>
          </w:p>
          <w:p w14:paraId="6E3AD040" w14:textId="77777777" w:rsidR="001B1CB5" w:rsidRPr="006E08DC" w:rsidRDefault="001B1CB5" w:rsidP="001B1CB5">
            <w:pPr>
              <w:pStyle w:val="Zkladntext"/>
              <w:ind w:left="34"/>
              <w:contextualSpacing/>
              <w:rPr>
                <w:sz w:val="22"/>
                <w:szCs w:val="22"/>
              </w:rPr>
            </w:pPr>
            <w:r w:rsidRPr="006E08DC">
              <w:rPr>
                <w:sz w:val="22"/>
                <w:szCs w:val="22"/>
              </w:rPr>
              <w:t>Bez připomínek.</w:t>
            </w:r>
          </w:p>
          <w:p w14:paraId="61541AB6" w14:textId="77777777" w:rsidR="001B1CB5" w:rsidRDefault="001B1CB5" w:rsidP="006A2587">
            <w:pPr>
              <w:pStyle w:val="Zkladntext"/>
              <w:ind w:left="34"/>
              <w:contextualSpacing/>
              <w:rPr>
                <w:sz w:val="22"/>
                <w:szCs w:val="22"/>
              </w:rPr>
            </w:pPr>
          </w:p>
          <w:p w14:paraId="7291B4DF" w14:textId="77777777" w:rsidR="001B1CB5" w:rsidRPr="006E08DC" w:rsidRDefault="001B1CB5" w:rsidP="006A2587">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AD4B969" w14:textId="77777777" w:rsidR="005827E9" w:rsidRPr="006E08DC" w:rsidRDefault="005827E9" w:rsidP="006A2587">
            <w:pPr>
              <w:ind w:right="175"/>
              <w:contextualSpacing/>
              <w:rPr>
                <w:color w:val="000000"/>
                <w:sz w:val="22"/>
                <w:szCs w:val="22"/>
              </w:rPr>
            </w:pPr>
          </w:p>
        </w:tc>
      </w:tr>
      <w:tr w:rsidR="005827E9" w:rsidRPr="006E08DC" w14:paraId="0D0C3BFA" w14:textId="77777777" w:rsidTr="00742B25">
        <w:trPr>
          <w:trHeight w:val="279"/>
        </w:trPr>
        <w:tc>
          <w:tcPr>
            <w:tcW w:w="2309" w:type="dxa"/>
            <w:tcBorders>
              <w:top w:val="single" w:sz="4" w:space="0" w:color="auto"/>
              <w:left w:val="single" w:sz="4" w:space="0" w:color="auto"/>
              <w:bottom w:val="single" w:sz="4" w:space="0" w:color="auto"/>
              <w:right w:val="single" w:sz="4" w:space="0" w:color="auto"/>
            </w:tcBorders>
          </w:tcPr>
          <w:p w14:paraId="16E57BE1" w14:textId="77777777" w:rsidR="005827E9" w:rsidRDefault="005827E9" w:rsidP="006E08DC">
            <w:pPr>
              <w:contextualSpacing/>
              <w:rPr>
                <w:sz w:val="22"/>
                <w:szCs w:val="22"/>
              </w:rPr>
            </w:pPr>
          </w:p>
          <w:p w14:paraId="7CCE14AA" w14:textId="77777777" w:rsidR="005827E9" w:rsidRPr="006E08DC" w:rsidRDefault="005827E9" w:rsidP="005827E9">
            <w:pPr>
              <w:contextualSpacing/>
              <w:rPr>
                <w:sz w:val="22"/>
                <w:szCs w:val="22"/>
              </w:rPr>
            </w:pPr>
            <w:r w:rsidRPr="006E08DC">
              <w:rPr>
                <w:sz w:val="22"/>
                <w:szCs w:val="22"/>
              </w:rPr>
              <w:t>Ministerstvo spravedlnosti</w:t>
            </w:r>
          </w:p>
          <w:p w14:paraId="08FBCB3A" w14:textId="77777777" w:rsidR="005827E9" w:rsidRDefault="005827E9" w:rsidP="006E08DC">
            <w:pPr>
              <w:contextualSpacing/>
              <w:rPr>
                <w:sz w:val="22"/>
                <w:szCs w:val="22"/>
              </w:rPr>
            </w:pPr>
          </w:p>
          <w:p w14:paraId="3EB02126" w14:textId="77777777" w:rsidR="005827E9" w:rsidRPr="006E08DC" w:rsidRDefault="005827E9"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05F487AC" w14:textId="77777777" w:rsidR="00292991" w:rsidRDefault="00292991" w:rsidP="00292991">
            <w:pPr>
              <w:pStyle w:val="Zkladntext"/>
              <w:ind w:left="34"/>
              <w:contextualSpacing/>
              <w:rPr>
                <w:sz w:val="22"/>
                <w:szCs w:val="22"/>
              </w:rPr>
            </w:pPr>
          </w:p>
          <w:p w14:paraId="1105954C" w14:textId="77777777" w:rsidR="00292991" w:rsidRDefault="00292991" w:rsidP="00292991">
            <w:pPr>
              <w:pStyle w:val="Zkladntext"/>
              <w:ind w:left="34"/>
              <w:contextualSpacing/>
              <w:rPr>
                <w:sz w:val="22"/>
                <w:szCs w:val="22"/>
              </w:rPr>
            </w:pPr>
          </w:p>
          <w:p w14:paraId="1E3D46D9" w14:textId="77777777" w:rsidR="00292991" w:rsidRPr="006E08DC" w:rsidRDefault="00292991" w:rsidP="00292991">
            <w:pPr>
              <w:pStyle w:val="Zkladntext"/>
              <w:ind w:left="34"/>
              <w:contextualSpacing/>
              <w:rPr>
                <w:sz w:val="22"/>
                <w:szCs w:val="22"/>
              </w:rPr>
            </w:pPr>
            <w:r w:rsidRPr="006E08DC">
              <w:rPr>
                <w:sz w:val="22"/>
                <w:szCs w:val="22"/>
              </w:rPr>
              <w:t>Bez připomínek.</w:t>
            </w:r>
          </w:p>
          <w:p w14:paraId="2FD3BC30" w14:textId="77777777" w:rsidR="00742B25" w:rsidRPr="006E08DC" w:rsidRDefault="00742B25" w:rsidP="008B5C77">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68E7509B" w14:textId="77777777" w:rsidR="00980021" w:rsidRPr="00980021" w:rsidRDefault="00980021" w:rsidP="00742B25">
            <w:pPr>
              <w:ind w:right="175"/>
              <w:contextualSpacing/>
              <w:jc w:val="both"/>
              <w:rPr>
                <w:color w:val="000000"/>
                <w:sz w:val="22"/>
                <w:szCs w:val="22"/>
              </w:rPr>
            </w:pPr>
          </w:p>
        </w:tc>
      </w:tr>
      <w:tr w:rsidR="005827E9" w:rsidRPr="006E08DC" w14:paraId="4DB7BCCF" w14:textId="77777777" w:rsidTr="00BD2083">
        <w:trPr>
          <w:trHeight w:val="279"/>
        </w:trPr>
        <w:tc>
          <w:tcPr>
            <w:tcW w:w="2309" w:type="dxa"/>
            <w:tcBorders>
              <w:top w:val="single" w:sz="4" w:space="0" w:color="auto"/>
              <w:left w:val="single" w:sz="4" w:space="0" w:color="auto"/>
              <w:bottom w:val="single" w:sz="4" w:space="0" w:color="auto"/>
              <w:right w:val="single" w:sz="4" w:space="0" w:color="auto"/>
            </w:tcBorders>
          </w:tcPr>
          <w:p w14:paraId="2965AE5A" w14:textId="77777777" w:rsidR="005827E9" w:rsidRDefault="005827E9" w:rsidP="006E08DC">
            <w:pPr>
              <w:contextualSpacing/>
              <w:rPr>
                <w:sz w:val="22"/>
                <w:szCs w:val="22"/>
              </w:rPr>
            </w:pPr>
          </w:p>
          <w:p w14:paraId="3CDE85F1" w14:textId="77777777" w:rsidR="005827E9" w:rsidRPr="006E08DC" w:rsidRDefault="005827E9" w:rsidP="005827E9">
            <w:pPr>
              <w:contextualSpacing/>
              <w:rPr>
                <w:sz w:val="22"/>
                <w:szCs w:val="22"/>
              </w:rPr>
            </w:pPr>
            <w:r w:rsidRPr="006E08DC">
              <w:rPr>
                <w:sz w:val="22"/>
                <w:szCs w:val="22"/>
              </w:rPr>
              <w:t>Ministerstvo zahraničních věcí</w:t>
            </w:r>
          </w:p>
          <w:p w14:paraId="3FC540D3" w14:textId="77777777" w:rsidR="005827E9" w:rsidRDefault="005827E9" w:rsidP="006E08DC">
            <w:pPr>
              <w:contextualSpacing/>
              <w:rPr>
                <w:sz w:val="22"/>
                <w:szCs w:val="22"/>
              </w:rPr>
            </w:pPr>
          </w:p>
          <w:p w14:paraId="0D54A311" w14:textId="77777777" w:rsidR="005827E9" w:rsidRPr="006E08DC" w:rsidRDefault="005827E9"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03007070" w14:textId="77777777" w:rsidR="00175AD5" w:rsidRDefault="00175AD5" w:rsidP="003867E6">
            <w:pPr>
              <w:pStyle w:val="Zkladntext"/>
              <w:ind w:left="34"/>
              <w:contextualSpacing/>
              <w:rPr>
                <w:sz w:val="22"/>
                <w:szCs w:val="22"/>
              </w:rPr>
            </w:pPr>
          </w:p>
          <w:p w14:paraId="42E62113" w14:textId="77777777" w:rsidR="00292991" w:rsidRDefault="00292991" w:rsidP="00292991">
            <w:pPr>
              <w:pStyle w:val="Zkladntext"/>
              <w:ind w:left="34"/>
              <w:contextualSpacing/>
              <w:rPr>
                <w:sz w:val="22"/>
                <w:szCs w:val="22"/>
              </w:rPr>
            </w:pPr>
          </w:p>
          <w:p w14:paraId="118FAC13" w14:textId="77777777" w:rsidR="00292991" w:rsidRPr="006E08DC" w:rsidRDefault="00292991" w:rsidP="00292991">
            <w:pPr>
              <w:pStyle w:val="Zkladntext"/>
              <w:ind w:left="34"/>
              <w:contextualSpacing/>
              <w:rPr>
                <w:sz w:val="22"/>
                <w:szCs w:val="22"/>
              </w:rPr>
            </w:pPr>
            <w:r w:rsidRPr="006E08DC">
              <w:rPr>
                <w:sz w:val="22"/>
                <w:szCs w:val="22"/>
              </w:rPr>
              <w:t>Bez připomínek.</w:t>
            </w:r>
          </w:p>
          <w:p w14:paraId="4FC91B09" w14:textId="77777777" w:rsidR="00292991" w:rsidRPr="006E08DC" w:rsidRDefault="00292991" w:rsidP="003867E6">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711F02B5" w14:textId="77777777" w:rsidR="00C672A2" w:rsidRPr="00C672A2" w:rsidRDefault="00C672A2" w:rsidP="00980021">
            <w:pPr>
              <w:ind w:right="175"/>
              <w:contextualSpacing/>
              <w:jc w:val="both"/>
              <w:rPr>
                <w:color w:val="000000"/>
                <w:sz w:val="22"/>
                <w:szCs w:val="22"/>
              </w:rPr>
            </w:pPr>
          </w:p>
        </w:tc>
      </w:tr>
      <w:tr w:rsidR="005827E9" w:rsidRPr="006E08DC" w14:paraId="7AA1E191" w14:textId="77777777" w:rsidTr="006A2587">
        <w:trPr>
          <w:cantSplit/>
          <w:trHeight w:val="279"/>
        </w:trPr>
        <w:tc>
          <w:tcPr>
            <w:tcW w:w="2309" w:type="dxa"/>
            <w:tcBorders>
              <w:top w:val="single" w:sz="4" w:space="0" w:color="auto"/>
              <w:left w:val="single" w:sz="4" w:space="0" w:color="auto"/>
              <w:bottom w:val="single" w:sz="4" w:space="0" w:color="auto"/>
              <w:right w:val="single" w:sz="4" w:space="0" w:color="auto"/>
            </w:tcBorders>
          </w:tcPr>
          <w:p w14:paraId="1CD33023" w14:textId="77777777" w:rsidR="005827E9" w:rsidRDefault="005827E9" w:rsidP="006E08DC">
            <w:pPr>
              <w:contextualSpacing/>
              <w:rPr>
                <w:sz w:val="22"/>
                <w:szCs w:val="22"/>
              </w:rPr>
            </w:pPr>
          </w:p>
          <w:p w14:paraId="6CEA6782" w14:textId="77777777" w:rsidR="005827E9" w:rsidRPr="006E08DC" w:rsidRDefault="005827E9" w:rsidP="005827E9">
            <w:pPr>
              <w:contextualSpacing/>
              <w:rPr>
                <w:sz w:val="22"/>
                <w:szCs w:val="22"/>
              </w:rPr>
            </w:pPr>
            <w:r w:rsidRPr="006E08DC">
              <w:rPr>
                <w:sz w:val="22"/>
                <w:szCs w:val="22"/>
              </w:rPr>
              <w:t>Ministerstvo práce a sociálních věcí</w:t>
            </w:r>
          </w:p>
          <w:p w14:paraId="7791DA4A" w14:textId="77777777" w:rsidR="005827E9" w:rsidRPr="006E08DC" w:rsidRDefault="005827E9"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317030A9" w14:textId="77777777" w:rsidR="005827E9" w:rsidRDefault="005827E9" w:rsidP="006A2587">
            <w:pPr>
              <w:pStyle w:val="Zkladntext"/>
              <w:ind w:left="34"/>
              <w:contextualSpacing/>
              <w:rPr>
                <w:sz w:val="22"/>
                <w:szCs w:val="22"/>
              </w:rPr>
            </w:pPr>
          </w:p>
          <w:p w14:paraId="38078CE6" w14:textId="77777777" w:rsidR="001B1CB5" w:rsidRPr="006E08DC" w:rsidRDefault="001B1CB5" w:rsidP="001B1CB5">
            <w:pPr>
              <w:pStyle w:val="Zkladntext"/>
              <w:ind w:left="34"/>
              <w:contextualSpacing/>
              <w:rPr>
                <w:sz w:val="22"/>
                <w:szCs w:val="22"/>
              </w:rPr>
            </w:pPr>
            <w:r w:rsidRPr="006E08DC">
              <w:rPr>
                <w:sz w:val="22"/>
                <w:szCs w:val="22"/>
              </w:rPr>
              <w:t>Bez připomínek.</w:t>
            </w:r>
          </w:p>
          <w:p w14:paraId="14B534AA" w14:textId="77777777" w:rsidR="001B1CB5" w:rsidRPr="006E08DC" w:rsidRDefault="001B1CB5" w:rsidP="006A2587">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6B220D3" w14:textId="77777777" w:rsidR="005827E9" w:rsidRPr="006E08DC" w:rsidRDefault="005827E9" w:rsidP="006A2587">
            <w:pPr>
              <w:ind w:right="175"/>
              <w:contextualSpacing/>
              <w:rPr>
                <w:color w:val="000000"/>
                <w:sz w:val="22"/>
                <w:szCs w:val="22"/>
              </w:rPr>
            </w:pPr>
          </w:p>
        </w:tc>
      </w:tr>
      <w:tr w:rsidR="00330428" w:rsidRPr="006E08DC" w14:paraId="024F608C" w14:textId="77777777" w:rsidTr="006A2587">
        <w:trPr>
          <w:cantSplit/>
          <w:trHeight w:val="279"/>
        </w:trPr>
        <w:tc>
          <w:tcPr>
            <w:tcW w:w="2309" w:type="dxa"/>
            <w:tcBorders>
              <w:top w:val="single" w:sz="4" w:space="0" w:color="auto"/>
              <w:left w:val="single" w:sz="4" w:space="0" w:color="auto"/>
              <w:bottom w:val="single" w:sz="4" w:space="0" w:color="auto"/>
              <w:right w:val="single" w:sz="4" w:space="0" w:color="auto"/>
            </w:tcBorders>
          </w:tcPr>
          <w:p w14:paraId="2F576A3E" w14:textId="77777777" w:rsidR="00330428" w:rsidRPr="006E08DC" w:rsidRDefault="00330428" w:rsidP="006E08DC">
            <w:pPr>
              <w:contextualSpacing/>
              <w:rPr>
                <w:sz w:val="22"/>
                <w:szCs w:val="22"/>
              </w:rPr>
            </w:pPr>
          </w:p>
          <w:p w14:paraId="47939C06" w14:textId="77777777" w:rsidR="00330428" w:rsidRDefault="00330428" w:rsidP="006E08DC">
            <w:pPr>
              <w:contextualSpacing/>
              <w:rPr>
                <w:sz w:val="22"/>
                <w:szCs w:val="22"/>
              </w:rPr>
            </w:pPr>
            <w:r w:rsidRPr="006E08DC">
              <w:rPr>
                <w:sz w:val="22"/>
                <w:szCs w:val="22"/>
              </w:rPr>
              <w:t>Ministerstvo pro místní rozvoj</w:t>
            </w:r>
          </w:p>
          <w:p w14:paraId="04D5614F" w14:textId="77777777" w:rsidR="00257F73" w:rsidRPr="006E08DC" w:rsidRDefault="00257F73"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0902BFFC" w14:textId="77777777" w:rsidR="00D37D7E" w:rsidRDefault="00D37D7E" w:rsidP="000A4AAE">
            <w:pPr>
              <w:ind w:left="34"/>
              <w:contextualSpacing/>
              <w:jc w:val="both"/>
              <w:rPr>
                <w:sz w:val="22"/>
                <w:szCs w:val="22"/>
              </w:rPr>
            </w:pPr>
          </w:p>
          <w:p w14:paraId="498BE76F" w14:textId="77777777" w:rsidR="00E201EA" w:rsidRPr="00E201EA" w:rsidRDefault="00E201EA" w:rsidP="00E201EA">
            <w:pPr>
              <w:ind w:left="34"/>
              <w:contextualSpacing/>
              <w:jc w:val="both"/>
              <w:rPr>
                <w:sz w:val="22"/>
                <w:szCs w:val="22"/>
              </w:rPr>
            </w:pPr>
            <w:r w:rsidRPr="00E201EA">
              <w:rPr>
                <w:sz w:val="22"/>
                <w:szCs w:val="22"/>
              </w:rPr>
              <w:t>Obecně k návrhu vyhlášky a odůvodnění:</w:t>
            </w:r>
          </w:p>
          <w:p w14:paraId="173A72B4" w14:textId="77777777" w:rsidR="00E201EA" w:rsidRPr="00E201EA" w:rsidRDefault="00E201EA" w:rsidP="00E201EA">
            <w:pPr>
              <w:ind w:left="34"/>
              <w:contextualSpacing/>
              <w:jc w:val="both"/>
              <w:rPr>
                <w:sz w:val="22"/>
                <w:szCs w:val="22"/>
              </w:rPr>
            </w:pPr>
          </w:p>
          <w:p w14:paraId="384F3404" w14:textId="77777777" w:rsidR="00E201EA" w:rsidRDefault="00E201EA" w:rsidP="00E201EA">
            <w:pPr>
              <w:ind w:left="34"/>
              <w:contextualSpacing/>
              <w:jc w:val="both"/>
              <w:rPr>
                <w:sz w:val="22"/>
                <w:szCs w:val="22"/>
              </w:rPr>
            </w:pPr>
            <w:r w:rsidRPr="00E201EA">
              <w:rPr>
                <w:sz w:val="22"/>
                <w:szCs w:val="22"/>
              </w:rPr>
              <w:t xml:space="preserve">V zájmu adresátů normy </w:t>
            </w:r>
            <w:r w:rsidRPr="00F919B0">
              <w:rPr>
                <w:sz w:val="22"/>
                <w:szCs w:val="22"/>
              </w:rPr>
              <w:t>doporučujeme v odůvodnění vysvětlit</w:t>
            </w:r>
            <w:r w:rsidRPr="00E201EA">
              <w:rPr>
                <w:sz w:val="22"/>
                <w:szCs w:val="22"/>
              </w:rPr>
              <w:t xml:space="preserve"> dův</w:t>
            </w:r>
            <w:r w:rsidRPr="005116D5">
              <w:rPr>
                <w:sz w:val="22"/>
                <w:szCs w:val="22"/>
              </w:rPr>
              <w:t xml:space="preserve">ody, </w:t>
            </w:r>
            <w:r w:rsidRPr="005116D5">
              <w:rPr>
                <w:b/>
                <w:sz w:val="22"/>
                <w:szCs w:val="22"/>
              </w:rPr>
              <w:t>proč vyhláška neprovádí celé ustanovení</w:t>
            </w:r>
            <w:r w:rsidRPr="005116D5">
              <w:rPr>
                <w:sz w:val="22"/>
                <w:szCs w:val="22"/>
              </w:rPr>
              <w:t xml:space="preserve"> §</w:t>
            </w:r>
            <w:r w:rsidRPr="00E201EA">
              <w:rPr>
                <w:sz w:val="22"/>
                <w:szCs w:val="22"/>
              </w:rPr>
              <w:t xml:space="preserve"> 18 odst. 1 písm. t) zákona, podle kterého ministerstvo stanoví vyhláškou „způsob poskytování informací o pokrmech, technologické požadavky na jejich výrobu nebo přípravu, požadavky na způsob uvádění pokrmů na trh, podmínky uchovávání a manipulace s pokrmy, smyslové, fyzikální, chemické a mikrobiologické požadavky na bezpečnost pokrmů a požadavky na označování pokrmů ve fázi jejich výroby, přípravy nebo uvádění na trh před jejich nabízením spotřebiteli.“. </w:t>
            </w:r>
          </w:p>
          <w:p w14:paraId="518B4203" w14:textId="77777777" w:rsidR="00C31B77" w:rsidRPr="00E201EA" w:rsidRDefault="00C31B77" w:rsidP="00E201EA">
            <w:pPr>
              <w:ind w:left="34"/>
              <w:contextualSpacing/>
              <w:jc w:val="both"/>
              <w:rPr>
                <w:sz w:val="22"/>
                <w:szCs w:val="22"/>
              </w:rPr>
            </w:pPr>
          </w:p>
          <w:p w14:paraId="66704EA5" w14:textId="77777777" w:rsidR="00E201EA" w:rsidRDefault="00E201EA" w:rsidP="00E201EA">
            <w:pPr>
              <w:ind w:left="34"/>
              <w:contextualSpacing/>
              <w:jc w:val="both"/>
              <w:rPr>
                <w:sz w:val="22"/>
                <w:szCs w:val="22"/>
              </w:rPr>
            </w:pPr>
            <w:r w:rsidRPr="00B561D1">
              <w:rPr>
                <w:sz w:val="22"/>
                <w:szCs w:val="22"/>
              </w:rPr>
              <w:t>Doporučujeme zvážit řazení jednotlivých ustanovení vyhlášky (§ 2 až 5) shodně s obsahem zmocňovacího ustanovení.</w:t>
            </w:r>
            <w:r w:rsidRPr="00E201EA">
              <w:rPr>
                <w:sz w:val="22"/>
                <w:szCs w:val="22"/>
              </w:rPr>
              <w:t xml:space="preserve"> </w:t>
            </w:r>
          </w:p>
          <w:p w14:paraId="7D85FCCF" w14:textId="77777777" w:rsidR="00C31B77" w:rsidRPr="00E201EA" w:rsidRDefault="00C31B77" w:rsidP="00E201EA">
            <w:pPr>
              <w:ind w:left="34"/>
              <w:contextualSpacing/>
              <w:jc w:val="both"/>
              <w:rPr>
                <w:sz w:val="22"/>
                <w:szCs w:val="22"/>
              </w:rPr>
            </w:pPr>
          </w:p>
          <w:p w14:paraId="18408E7B" w14:textId="77777777" w:rsidR="00175AD5" w:rsidRDefault="00E201EA" w:rsidP="00E201EA">
            <w:pPr>
              <w:ind w:left="34"/>
              <w:contextualSpacing/>
              <w:jc w:val="both"/>
              <w:rPr>
                <w:sz w:val="22"/>
                <w:szCs w:val="22"/>
              </w:rPr>
            </w:pPr>
            <w:r w:rsidRPr="00E201EA">
              <w:rPr>
                <w:sz w:val="22"/>
                <w:szCs w:val="22"/>
              </w:rPr>
              <w:t>Odkaz na výše citované zmocňovací ustanovení zákona doporučujeme uvést též v odůvodnění (v obecné části, prvním odstavci – str. 1).</w:t>
            </w:r>
          </w:p>
          <w:p w14:paraId="7FA6D321" w14:textId="77777777" w:rsidR="00E201EA" w:rsidRPr="000A4AAE" w:rsidRDefault="00E201EA" w:rsidP="00E201EA">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DFEA002" w14:textId="77777777" w:rsidR="001310AE" w:rsidRPr="00873F17" w:rsidRDefault="001310AE" w:rsidP="00980021">
            <w:pPr>
              <w:ind w:right="175"/>
              <w:contextualSpacing/>
              <w:rPr>
                <w:b/>
                <w:color w:val="000000"/>
                <w:sz w:val="22"/>
                <w:szCs w:val="22"/>
              </w:rPr>
            </w:pPr>
          </w:p>
          <w:p w14:paraId="6C4D52DA" w14:textId="77777777" w:rsidR="001310AE" w:rsidRPr="00873F17" w:rsidRDefault="001310AE" w:rsidP="00980021">
            <w:pPr>
              <w:ind w:right="175"/>
              <w:contextualSpacing/>
              <w:rPr>
                <w:b/>
                <w:color w:val="000000"/>
                <w:sz w:val="22"/>
                <w:szCs w:val="22"/>
              </w:rPr>
            </w:pPr>
          </w:p>
          <w:p w14:paraId="6D706523" w14:textId="77777777" w:rsidR="001310AE" w:rsidRPr="00873F17" w:rsidRDefault="001310AE" w:rsidP="00980021">
            <w:pPr>
              <w:ind w:right="175"/>
              <w:contextualSpacing/>
              <w:rPr>
                <w:b/>
                <w:color w:val="000000"/>
                <w:sz w:val="22"/>
                <w:szCs w:val="22"/>
              </w:rPr>
            </w:pPr>
          </w:p>
          <w:p w14:paraId="0BE4D7F2" w14:textId="77777777" w:rsidR="00EC28E9" w:rsidRPr="00873F17" w:rsidRDefault="007471A9" w:rsidP="005116D5">
            <w:pPr>
              <w:ind w:right="175"/>
              <w:contextualSpacing/>
              <w:jc w:val="both"/>
              <w:rPr>
                <w:b/>
                <w:color w:val="000000"/>
                <w:sz w:val="22"/>
                <w:szCs w:val="22"/>
              </w:rPr>
            </w:pPr>
            <w:r w:rsidRPr="00873F17">
              <w:rPr>
                <w:b/>
                <w:color w:val="000000"/>
                <w:sz w:val="22"/>
                <w:szCs w:val="22"/>
              </w:rPr>
              <w:t>Vysvětleno</w:t>
            </w:r>
            <w:r w:rsidR="005116D5" w:rsidRPr="00873F17">
              <w:rPr>
                <w:b/>
                <w:color w:val="000000"/>
                <w:sz w:val="22"/>
                <w:szCs w:val="22"/>
              </w:rPr>
              <w:t>.</w:t>
            </w:r>
          </w:p>
          <w:p w14:paraId="653D0580" w14:textId="5F113A4C" w:rsidR="007471A9" w:rsidRPr="00873F17" w:rsidRDefault="00231DAF" w:rsidP="005116D5">
            <w:pPr>
              <w:ind w:right="175"/>
              <w:contextualSpacing/>
              <w:jc w:val="both"/>
              <w:rPr>
                <w:color w:val="000000"/>
                <w:sz w:val="22"/>
                <w:szCs w:val="22"/>
              </w:rPr>
            </w:pPr>
            <w:r w:rsidRPr="00873F17">
              <w:rPr>
                <w:color w:val="000000"/>
                <w:sz w:val="22"/>
                <w:szCs w:val="22"/>
              </w:rPr>
              <w:t>Daná vyhláška neprovádí požadavky týkající se označování pokrmů, tyto požadavky provádí vyhláška č. 417/2016</w:t>
            </w:r>
            <w:r w:rsidR="00720DC8">
              <w:rPr>
                <w:color w:val="000000"/>
                <w:sz w:val="22"/>
                <w:szCs w:val="22"/>
              </w:rPr>
              <w:t xml:space="preserve"> Sb.</w:t>
            </w:r>
            <w:r w:rsidRPr="00873F17">
              <w:rPr>
                <w:color w:val="000000"/>
                <w:sz w:val="22"/>
                <w:szCs w:val="22"/>
              </w:rPr>
              <w:t>, která stanovuje způsob ozna</w:t>
            </w:r>
            <w:r w:rsidR="00683F7F" w:rsidRPr="00873F17">
              <w:rPr>
                <w:color w:val="000000"/>
                <w:sz w:val="22"/>
                <w:szCs w:val="22"/>
              </w:rPr>
              <w:t>čování potravin, včetně pokrmů, konkrétně § 7 Způsob poskytování informací o pokrmech.</w:t>
            </w:r>
          </w:p>
          <w:p w14:paraId="7108EE3E" w14:textId="76C68A2D" w:rsidR="00C31B77" w:rsidRPr="00873F17" w:rsidRDefault="00C62B01" w:rsidP="00C62B01">
            <w:pPr>
              <w:ind w:right="175"/>
              <w:contextualSpacing/>
              <w:jc w:val="both"/>
              <w:rPr>
                <w:color w:val="000000"/>
                <w:sz w:val="22"/>
                <w:szCs w:val="22"/>
              </w:rPr>
            </w:pPr>
            <w:r w:rsidRPr="00C62B01">
              <w:rPr>
                <w:color w:val="000000"/>
                <w:sz w:val="22"/>
                <w:szCs w:val="22"/>
              </w:rPr>
              <w:t>V roce 2022 bude započata novelizace vyhlášky č. 417/2016 Sb. s cílem upřesnit požadavky na způsob označování pokrmů pro konečného spotřebitele a dále stanovit požadavky na označování pokrmů ve fázi jejich výroby, přípravy nebo uvádění na trh před jejich nabízením spotřebiteli.</w:t>
            </w:r>
          </w:p>
          <w:p w14:paraId="7EA8AC31" w14:textId="77777777" w:rsidR="00C31B77" w:rsidRPr="00873F17" w:rsidRDefault="00C31B77" w:rsidP="00683F7F">
            <w:pPr>
              <w:ind w:right="175"/>
              <w:contextualSpacing/>
              <w:rPr>
                <w:color w:val="000000"/>
                <w:sz w:val="22"/>
                <w:szCs w:val="22"/>
              </w:rPr>
            </w:pPr>
          </w:p>
          <w:p w14:paraId="27E2D4C1" w14:textId="77777777" w:rsidR="00C31B77" w:rsidRPr="00873F17" w:rsidRDefault="00C31B77" w:rsidP="00683F7F">
            <w:pPr>
              <w:ind w:right="175"/>
              <w:contextualSpacing/>
              <w:rPr>
                <w:color w:val="000000"/>
                <w:sz w:val="22"/>
                <w:szCs w:val="22"/>
              </w:rPr>
            </w:pPr>
          </w:p>
          <w:p w14:paraId="4408BAD1" w14:textId="77777777" w:rsidR="00C31B77" w:rsidRPr="00873F17" w:rsidRDefault="00C31B77" w:rsidP="00683F7F">
            <w:pPr>
              <w:ind w:right="175"/>
              <w:contextualSpacing/>
              <w:rPr>
                <w:color w:val="000000"/>
                <w:sz w:val="22"/>
                <w:szCs w:val="22"/>
              </w:rPr>
            </w:pPr>
          </w:p>
          <w:p w14:paraId="1DF3C170" w14:textId="77777777" w:rsidR="00C31B77" w:rsidRPr="00873F17" w:rsidRDefault="00C31B77" w:rsidP="00683F7F">
            <w:pPr>
              <w:ind w:right="175"/>
              <w:contextualSpacing/>
              <w:rPr>
                <w:color w:val="000000"/>
                <w:sz w:val="22"/>
                <w:szCs w:val="22"/>
              </w:rPr>
            </w:pPr>
          </w:p>
          <w:p w14:paraId="2B50B38A" w14:textId="77777777" w:rsidR="00C31B77" w:rsidRPr="00873F17" w:rsidRDefault="00C31B77" w:rsidP="00683F7F">
            <w:pPr>
              <w:ind w:right="175"/>
              <w:contextualSpacing/>
              <w:rPr>
                <w:color w:val="000000"/>
                <w:sz w:val="22"/>
                <w:szCs w:val="22"/>
              </w:rPr>
            </w:pPr>
          </w:p>
          <w:p w14:paraId="52048468" w14:textId="77777777" w:rsidR="00C31B77" w:rsidRPr="00873F17" w:rsidRDefault="00C31B77" w:rsidP="00683F7F">
            <w:pPr>
              <w:ind w:right="175"/>
              <w:contextualSpacing/>
              <w:rPr>
                <w:color w:val="000000"/>
                <w:sz w:val="22"/>
                <w:szCs w:val="22"/>
              </w:rPr>
            </w:pPr>
          </w:p>
          <w:p w14:paraId="12586A5E" w14:textId="77777777" w:rsidR="00C31B77" w:rsidRPr="00B561D1" w:rsidRDefault="00B561D1" w:rsidP="00683F7F">
            <w:pPr>
              <w:ind w:right="175"/>
              <w:contextualSpacing/>
              <w:rPr>
                <w:b/>
                <w:color w:val="000000"/>
                <w:sz w:val="22"/>
                <w:szCs w:val="22"/>
              </w:rPr>
            </w:pPr>
            <w:r w:rsidRPr="00B561D1">
              <w:rPr>
                <w:b/>
                <w:color w:val="000000"/>
                <w:sz w:val="22"/>
                <w:szCs w:val="22"/>
              </w:rPr>
              <w:t>Akceptováno.</w:t>
            </w:r>
          </w:p>
          <w:p w14:paraId="64F550CB" w14:textId="77777777" w:rsidR="00C31B77" w:rsidRPr="00873F17" w:rsidRDefault="00C31B77" w:rsidP="00683F7F">
            <w:pPr>
              <w:ind w:right="175"/>
              <w:contextualSpacing/>
              <w:rPr>
                <w:color w:val="000000"/>
                <w:sz w:val="22"/>
                <w:szCs w:val="22"/>
              </w:rPr>
            </w:pPr>
          </w:p>
          <w:p w14:paraId="322961E0" w14:textId="77777777" w:rsidR="005116D5" w:rsidRPr="00873F17" w:rsidRDefault="005116D5" w:rsidP="00683F7F">
            <w:pPr>
              <w:ind w:right="175"/>
              <w:contextualSpacing/>
              <w:rPr>
                <w:color w:val="000000"/>
                <w:sz w:val="22"/>
                <w:szCs w:val="22"/>
              </w:rPr>
            </w:pPr>
          </w:p>
          <w:p w14:paraId="789C97F4" w14:textId="77777777" w:rsidR="00C31B77" w:rsidRPr="00873F17" w:rsidRDefault="00C31B77" w:rsidP="00683F7F">
            <w:pPr>
              <w:ind w:right="175"/>
              <w:contextualSpacing/>
              <w:rPr>
                <w:b/>
                <w:color w:val="000000"/>
                <w:sz w:val="22"/>
                <w:szCs w:val="22"/>
              </w:rPr>
            </w:pPr>
          </w:p>
          <w:p w14:paraId="2A7E53B8" w14:textId="77777777" w:rsidR="00C31B77" w:rsidRPr="00873F17" w:rsidRDefault="00C31B77" w:rsidP="005116D5">
            <w:pPr>
              <w:ind w:right="175"/>
              <w:contextualSpacing/>
              <w:jc w:val="both"/>
              <w:rPr>
                <w:b/>
                <w:color w:val="000000"/>
                <w:sz w:val="22"/>
                <w:szCs w:val="22"/>
              </w:rPr>
            </w:pPr>
            <w:r w:rsidRPr="00873F17">
              <w:rPr>
                <w:b/>
                <w:color w:val="000000"/>
                <w:sz w:val="22"/>
                <w:szCs w:val="22"/>
              </w:rPr>
              <w:t>Akceptováno</w:t>
            </w:r>
            <w:r w:rsidR="005116D5" w:rsidRPr="00873F17">
              <w:rPr>
                <w:b/>
                <w:color w:val="000000"/>
                <w:sz w:val="22"/>
                <w:szCs w:val="22"/>
              </w:rPr>
              <w:t>.</w:t>
            </w:r>
          </w:p>
          <w:p w14:paraId="4B5E78DC" w14:textId="77777777" w:rsidR="00C31B77" w:rsidRPr="00873F17" w:rsidRDefault="00C31B77" w:rsidP="005116D5">
            <w:pPr>
              <w:ind w:right="175"/>
              <w:contextualSpacing/>
              <w:jc w:val="both"/>
              <w:rPr>
                <w:color w:val="000000"/>
                <w:sz w:val="22"/>
                <w:szCs w:val="22"/>
              </w:rPr>
            </w:pPr>
            <w:r w:rsidRPr="00873F17">
              <w:rPr>
                <w:color w:val="000000"/>
                <w:sz w:val="22"/>
                <w:szCs w:val="22"/>
              </w:rPr>
              <w:t>Text byl upraven.</w:t>
            </w:r>
            <w:r w:rsidR="00273846" w:rsidRPr="00873F17">
              <w:rPr>
                <w:color w:val="000000"/>
                <w:sz w:val="22"/>
                <w:szCs w:val="22"/>
              </w:rPr>
              <w:t xml:space="preserve"> Znění zmocňovacího ustanovení zákona b</w:t>
            </w:r>
            <w:r w:rsidR="00FC0576" w:rsidRPr="00873F17">
              <w:rPr>
                <w:color w:val="000000"/>
                <w:sz w:val="22"/>
                <w:szCs w:val="22"/>
              </w:rPr>
              <w:t>ylo doplněno do odůvodnění (</w:t>
            </w:r>
            <w:r w:rsidR="00273846" w:rsidRPr="00873F17">
              <w:rPr>
                <w:color w:val="000000"/>
                <w:sz w:val="22"/>
                <w:szCs w:val="22"/>
              </w:rPr>
              <w:t>obecná část, první odstavec).</w:t>
            </w:r>
          </w:p>
        </w:tc>
      </w:tr>
      <w:tr w:rsidR="00BA27AB" w:rsidRPr="006E08DC" w14:paraId="5787D174" w14:textId="77777777" w:rsidTr="006A2587">
        <w:trPr>
          <w:cantSplit/>
          <w:trHeight w:val="279"/>
        </w:trPr>
        <w:tc>
          <w:tcPr>
            <w:tcW w:w="2309" w:type="dxa"/>
            <w:tcBorders>
              <w:top w:val="single" w:sz="4" w:space="0" w:color="auto"/>
              <w:left w:val="single" w:sz="4" w:space="0" w:color="auto"/>
              <w:bottom w:val="single" w:sz="4" w:space="0" w:color="auto"/>
              <w:right w:val="single" w:sz="4" w:space="0" w:color="auto"/>
            </w:tcBorders>
          </w:tcPr>
          <w:p w14:paraId="3A379F6B" w14:textId="77777777" w:rsidR="00BA27AB" w:rsidRPr="006E08DC" w:rsidRDefault="00BA27AB" w:rsidP="006E08DC">
            <w:pPr>
              <w:contextualSpacing/>
              <w:rPr>
                <w:sz w:val="22"/>
                <w:szCs w:val="22"/>
              </w:rPr>
            </w:pPr>
          </w:p>
          <w:p w14:paraId="02EBAD6F" w14:textId="77777777" w:rsidR="00BA27AB" w:rsidRPr="006E08DC" w:rsidRDefault="00BA27AB" w:rsidP="006E08DC">
            <w:pPr>
              <w:contextualSpacing/>
              <w:rPr>
                <w:sz w:val="22"/>
                <w:szCs w:val="22"/>
              </w:rPr>
            </w:pPr>
            <w:r w:rsidRPr="006E08DC">
              <w:rPr>
                <w:sz w:val="22"/>
                <w:szCs w:val="22"/>
              </w:rPr>
              <w:t>Ministerstvo školství, mládeže a tělovýchovy</w:t>
            </w:r>
          </w:p>
          <w:p w14:paraId="26693279" w14:textId="77777777" w:rsidR="00BA27AB" w:rsidRPr="006E08DC" w:rsidRDefault="00BA27AB"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2CC219D0" w14:textId="77777777" w:rsidR="0017652E" w:rsidRDefault="0017652E" w:rsidP="0017652E">
            <w:pPr>
              <w:pStyle w:val="Zkladntext"/>
              <w:ind w:left="34"/>
              <w:contextualSpacing/>
              <w:rPr>
                <w:sz w:val="22"/>
                <w:szCs w:val="22"/>
              </w:rPr>
            </w:pPr>
          </w:p>
          <w:p w14:paraId="2D65007A" w14:textId="77777777" w:rsidR="00AD1D10" w:rsidRPr="006E08DC" w:rsidRDefault="00AD1D10" w:rsidP="00AD1D10">
            <w:pPr>
              <w:pStyle w:val="Zkladntext"/>
              <w:ind w:left="34"/>
              <w:contextualSpacing/>
              <w:rPr>
                <w:sz w:val="22"/>
                <w:szCs w:val="22"/>
              </w:rPr>
            </w:pPr>
            <w:r w:rsidRPr="006E08DC">
              <w:rPr>
                <w:sz w:val="22"/>
                <w:szCs w:val="22"/>
              </w:rPr>
              <w:t>Bez připomínek.</w:t>
            </w:r>
          </w:p>
          <w:p w14:paraId="16D01FD7" w14:textId="77777777" w:rsidR="00AD1D10" w:rsidRPr="006E08DC" w:rsidRDefault="00AD1D10" w:rsidP="0017652E">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9623493" w14:textId="77777777" w:rsidR="00CB39FA" w:rsidRPr="00873F17" w:rsidRDefault="00CB39FA" w:rsidP="00F718D3">
            <w:pPr>
              <w:ind w:right="175"/>
              <w:contextualSpacing/>
              <w:rPr>
                <w:color w:val="000000"/>
                <w:sz w:val="22"/>
                <w:szCs w:val="22"/>
              </w:rPr>
            </w:pPr>
          </w:p>
        </w:tc>
      </w:tr>
      <w:tr w:rsidR="006F5B7B" w:rsidRPr="006F5B7B" w14:paraId="11BA877B" w14:textId="77777777" w:rsidTr="00292991">
        <w:trPr>
          <w:trHeight w:val="279"/>
        </w:trPr>
        <w:tc>
          <w:tcPr>
            <w:tcW w:w="2309" w:type="dxa"/>
            <w:tcBorders>
              <w:top w:val="single" w:sz="4" w:space="0" w:color="auto"/>
              <w:left w:val="single" w:sz="4" w:space="0" w:color="auto"/>
              <w:bottom w:val="single" w:sz="4" w:space="0" w:color="auto"/>
              <w:right w:val="single" w:sz="4" w:space="0" w:color="auto"/>
            </w:tcBorders>
          </w:tcPr>
          <w:p w14:paraId="107B381E" w14:textId="77777777" w:rsidR="00BA27AB" w:rsidRPr="006E08DC" w:rsidRDefault="00BA27AB" w:rsidP="006E08DC">
            <w:pPr>
              <w:contextualSpacing/>
              <w:rPr>
                <w:sz w:val="22"/>
                <w:szCs w:val="22"/>
              </w:rPr>
            </w:pPr>
          </w:p>
          <w:p w14:paraId="62249CBB" w14:textId="77777777" w:rsidR="00BA27AB" w:rsidRPr="006E08DC" w:rsidRDefault="00BA27AB" w:rsidP="006E08DC">
            <w:pPr>
              <w:contextualSpacing/>
              <w:rPr>
                <w:sz w:val="22"/>
                <w:szCs w:val="22"/>
              </w:rPr>
            </w:pPr>
            <w:r w:rsidRPr="006E08DC">
              <w:rPr>
                <w:sz w:val="22"/>
                <w:szCs w:val="22"/>
              </w:rPr>
              <w:t>Ministerstvo zdravotnictví</w:t>
            </w:r>
          </w:p>
          <w:p w14:paraId="319D96DD" w14:textId="77777777" w:rsidR="00BA27AB" w:rsidRPr="006E08DC" w:rsidRDefault="00BA27AB"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05B16977" w14:textId="77777777" w:rsidR="00D53BB3" w:rsidRPr="00D53BB3" w:rsidRDefault="00D53BB3" w:rsidP="00D53BB3">
            <w:pPr>
              <w:ind w:left="34"/>
              <w:contextualSpacing/>
              <w:jc w:val="both"/>
              <w:rPr>
                <w:sz w:val="22"/>
                <w:szCs w:val="22"/>
              </w:rPr>
            </w:pPr>
            <w:r w:rsidRPr="00D53BB3">
              <w:rPr>
                <w:sz w:val="22"/>
                <w:szCs w:val="22"/>
              </w:rPr>
              <w:t>Připomínka podstatné povahy:</w:t>
            </w:r>
          </w:p>
          <w:p w14:paraId="0227B128" w14:textId="77777777" w:rsidR="00D53BB3" w:rsidRPr="00D53BB3" w:rsidRDefault="00D53BB3" w:rsidP="00D53BB3">
            <w:pPr>
              <w:ind w:left="34"/>
              <w:contextualSpacing/>
              <w:jc w:val="both"/>
              <w:rPr>
                <w:sz w:val="22"/>
                <w:szCs w:val="22"/>
              </w:rPr>
            </w:pPr>
          </w:p>
          <w:p w14:paraId="47C4047A" w14:textId="77777777" w:rsidR="00D53BB3" w:rsidRPr="00D53BB3" w:rsidRDefault="00D53BB3" w:rsidP="00D53BB3">
            <w:pPr>
              <w:ind w:left="34"/>
              <w:contextualSpacing/>
              <w:jc w:val="both"/>
              <w:rPr>
                <w:sz w:val="22"/>
                <w:szCs w:val="22"/>
              </w:rPr>
            </w:pPr>
            <w:r w:rsidRPr="00D53BB3">
              <w:rPr>
                <w:sz w:val="22"/>
                <w:szCs w:val="22"/>
              </w:rPr>
              <w:t>Vydání vyhlášky považujeme za nadbytečné, neboť daná problematika je plně upravena platnými právními předpisy a právem Evropské unie. Proto požadujeme novou vyhlášku nevydávat.</w:t>
            </w:r>
          </w:p>
          <w:p w14:paraId="45EC97F6" w14:textId="77777777" w:rsidR="00D53BB3" w:rsidRPr="00D53BB3" w:rsidRDefault="00D53BB3" w:rsidP="00D53BB3">
            <w:pPr>
              <w:ind w:left="34"/>
              <w:contextualSpacing/>
              <w:jc w:val="both"/>
              <w:rPr>
                <w:sz w:val="22"/>
                <w:szCs w:val="22"/>
              </w:rPr>
            </w:pPr>
          </w:p>
          <w:p w14:paraId="208E8878" w14:textId="77777777" w:rsidR="00D53BB3" w:rsidRPr="00D53BB3" w:rsidRDefault="00D53BB3" w:rsidP="00D53BB3">
            <w:pPr>
              <w:ind w:left="34"/>
              <w:contextualSpacing/>
              <w:jc w:val="both"/>
              <w:rPr>
                <w:sz w:val="22"/>
                <w:szCs w:val="22"/>
              </w:rPr>
            </w:pPr>
            <w:r w:rsidRPr="00D53BB3">
              <w:rPr>
                <w:sz w:val="22"/>
                <w:szCs w:val="22"/>
              </w:rPr>
              <w:t>Odůvodnění</w:t>
            </w:r>
          </w:p>
          <w:p w14:paraId="17161DBE" w14:textId="77777777" w:rsidR="00D53BB3" w:rsidRPr="00D53BB3" w:rsidRDefault="00D53BB3" w:rsidP="00D53BB3">
            <w:pPr>
              <w:ind w:left="34"/>
              <w:contextualSpacing/>
              <w:jc w:val="both"/>
              <w:rPr>
                <w:sz w:val="22"/>
                <w:szCs w:val="22"/>
              </w:rPr>
            </w:pPr>
            <w:r w:rsidRPr="00D53BB3">
              <w:rPr>
                <w:sz w:val="22"/>
                <w:szCs w:val="22"/>
              </w:rPr>
              <w:lastRenderedPageBreak/>
              <w:t>Stávající legislativní požadavky stanovené na úrovni Evropského společenství Evropským parlamentem a Radou příp. Komisí umožňují kontrolní činnost všem kontrolním orgánům bez rozdílu tak, aby byla zabezpečena úřední kontrola požadavků na bezpečnost potravin/pokrmů, jak je požadováno příslušnými evropskými nařízeními v oblasti potravinového práva. Orgány ochrany veřejného zdraví vykonávají kontroly bez nutnosti vytváření dalších mikrobiologických požadavků, vše je stanoveno v nařízení (ES) 2073/2005 v potřebném rozsahu pro posuzování zdravotních rizik, bez potřeby vytváření duplicitních požadavků s legislativou EU, státních norem, správnou výrobní praxi a správnou hygienickou praxí, kterou si zavádí provozovatel stravovací služby.</w:t>
            </w:r>
          </w:p>
          <w:p w14:paraId="467FB3B3" w14:textId="77777777" w:rsidR="00D53BB3" w:rsidRPr="00D53BB3" w:rsidRDefault="00D53BB3" w:rsidP="00D53BB3">
            <w:pPr>
              <w:ind w:left="34"/>
              <w:contextualSpacing/>
              <w:jc w:val="both"/>
              <w:rPr>
                <w:sz w:val="22"/>
                <w:szCs w:val="22"/>
              </w:rPr>
            </w:pPr>
          </w:p>
          <w:p w14:paraId="2C1DC447" w14:textId="77777777" w:rsidR="00D53BB3" w:rsidRPr="00D53BB3" w:rsidRDefault="00D53BB3" w:rsidP="00D53BB3">
            <w:pPr>
              <w:ind w:left="34"/>
              <w:contextualSpacing/>
              <w:jc w:val="both"/>
              <w:rPr>
                <w:sz w:val="22"/>
                <w:szCs w:val="22"/>
              </w:rPr>
            </w:pPr>
            <w:r w:rsidRPr="00D53BB3">
              <w:rPr>
                <w:sz w:val="22"/>
                <w:szCs w:val="22"/>
              </w:rPr>
              <w:t>Navrhovaná vyhláška zcela nadbytečně stanoví technologické požadavky na výrobu nebo přípravu pokrmů, požadavky na způsob uvádění pokrmů na trh, podmínky uchovávání a manipulace s pokrmy, smyslové, fyzikální, chemické a mikrobiologické požadavky na bezpečnost pokrmů při poskytování stravovacích služeb. Všechny požadavky jsou vyhovujícím způsobem stanoveny na úrovni Evropského společenství příslušnými právními předpisy. Např. technologie využívané ve stravovacích službách se neustále vyvíjejí, a proto zavádění technologických požadavků vyhláškou se jeví jako kontraproduktivní.</w:t>
            </w:r>
          </w:p>
          <w:p w14:paraId="0CFFA100" w14:textId="77777777" w:rsidR="00D53BB3" w:rsidRPr="00D53BB3" w:rsidRDefault="00D53BB3" w:rsidP="00D53BB3">
            <w:pPr>
              <w:ind w:left="34"/>
              <w:contextualSpacing/>
              <w:jc w:val="both"/>
              <w:rPr>
                <w:sz w:val="22"/>
                <w:szCs w:val="22"/>
              </w:rPr>
            </w:pPr>
          </w:p>
          <w:p w14:paraId="45D0423C" w14:textId="77777777" w:rsidR="00D53BB3" w:rsidRPr="00D53BB3" w:rsidRDefault="00D53BB3" w:rsidP="00D53BB3">
            <w:pPr>
              <w:ind w:left="34"/>
              <w:contextualSpacing/>
              <w:jc w:val="both"/>
              <w:rPr>
                <w:sz w:val="22"/>
                <w:szCs w:val="22"/>
              </w:rPr>
            </w:pPr>
            <w:r w:rsidRPr="00D53BB3">
              <w:rPr>
                <w:sz w:val="22"/>
                <w:szCs w:val="22"/>
              </w:rPr>
              <w:t xml:space="preserve">Bezpečnost potravin i pokrmů se zajišťuje především preventivními přístupy např. správnou praxí a používáním postupů HACCP. Nové zavádění předpisů, další zezávaznění některých charakteristik, limitních hodnot nezajistí bezpečnost pokrmů, nezjednoduší, ani nezvýší efektivitu dozoru. </w:t>
            </w:r>
          </w:p>
          <w:p w14:paraId="6189CB57" w14:textId="77777777" w:rsidR="00D53BB3" w:rsidRPr="00D53BB3" w:rsidRDefault="00D53BB3" w:rsidP="00D53BB3">
            <w:pPr>
              <w:ind w:left="34"/>
              <w:contextualSpacing/>
              <w:jc w:val="both"/>
              <w:rPr>
                <w:sz w:val="22"/>
                <w:szCs w:val="22"/>
              </w:rPr>
            </w:pPr>
          </w:p>
          <w:p w14:paraId="7E4AB6BF" w14:textId="77777777" w:rsidR="00D53BB3" w:rsidRPr="00D53BB3" w:rsidRDefault="00D53BB3" w:rsidP="00D53BB3">
            <w:pPr>
              <w:ind w:left="34"/>
              <w:contextualSpacing/>
              <w:jc w:val="both"/>
              <w:rPr>
                <w:sz w:val="22"/>
                <w:szCs w:val="22"/>
              </w:rPr>
            </w:pPr>
            <w:r w:rsidRPr="00D53BB3">
              <w:rPr>
                <w:sz w:val="22"/>
                <w:szCs w:val="22"/>
              </w:rPr>
              <w:t xml:space="preserve">Požadavky přílohy 1, 2 a 4 této vyhlášky jsou shodné s rozsahem uvedeným v ČSN 56 9609 Pravidla správné hygienické a výrobní praxe – Mikrobiologická kritéria pro potraviny. Principy stanovení a aplikace. Tato norma </w:t>
            </w:r>
            <w:r w:rsidRPr="00D53BB3">
              <w:rPr>
                <w:sz w:val="22"/>
                <w:szCs w:val="22"/>
              </w:rPr>
              <w:lastRenderedPageBreak/>
              <w:t>zavádí obecné principy pro stanovení a aplikaci mikrobiologických kritérií pro potraviny. Obecné principy zde uvedené jsou dostatečně flexibilní, aby byly použitelné a aby sloužily jako výchozí podklady pro zpracování případných mikrobiologických kritérií provozovateli potravinářských podniků podle jejich konkrétní situace.</w:t>
            </w:r>
          </w:p>
          <w:p w14:paraId="1351BE0B" w14:textId="77777777" w:rsidR="00D53BB3" w:rsidRPr="00D53BB3" w:rsidRDefault="00D53BB3" w:rsidP="00D53BB3">
            <w:pPr>
              <w:ind w:left="34"/>
              <w:contextualSpacing/>
              <w:jc w:val="both"/>
              <w:rPr>
                <w:sz w:val="22"/>
                <w:szCs w:val="22"/>
              </w:rPr>
            </w:pPr>
          </w:p>
          <w:p w14:paraId="41F45AD4" w14:textId="77777777" w:rsidR="00D53BB3" w:rsidRPr="00D53BB3" w:rsidRDefault="00D53BB3" w:rsidP="00D53BB3">
            <w:pPr>
              <w:ind w:left="34"/>
              <w:contextualSpacing/>
              <w:jc w:val="both"/>
              <w:rPr>
                <w:sz w:val="22"/>
                <w:szCs w:val="22"/>
              </w:rPr>
            </w:pPr>
            <w:r w:rsidRPr="00D53BB3">
              <w:rPr>
                <w:sz w:val="22"/>
                <w:szCs w:val="22"/>
              </w:rPr>
              <w:t>Podle nařízení (ES) č. 178/2002, i dalších doporučení (např. návod CAC/RCP 39-1993, Pravidla hygienické praxe pro předvařené a vařené pokrmy ve společném stravování) se bezpečnost potravin i pokrmů zajišťuje především preventivními přístupy např. správnou praxí a používáním postupů na principu HACCP. Pro provozovatele stravovacích služeb je jako pro jiné oblasti (např. výroba různých druhů potravin) k dispozici příručka – Zásady správné výrobní a hygienické praxe ve stravovacích službách, evidováno u EK. Do tohoto materiálu byly zapracovány důležité zásady a požadavky pro bezpečnost pokrmů při jejich výrobě a uvádění do oběhu. Provozovatelé v řadě případů využívají možnost s ohledem na rozmanitost technologií i surovin uplatnit preventivně zásady správné praxe bez nutnosti dalšího zezávazňování některých pracovních charakteristik či limitních hodnot.</w:t>
            </w:r>
          </w:p>
          <w:p w14:paraId="564D3EA5" w14:textId="77777777" w:rsidR="00D53BB3" w:rsidRPr="00D53BB3" w:rsidRDefault="00D53BB3" w:rsidP="00D53BB3">
            <w:pPr>
              <w:ind w:left="34"/>
              <w:contextualSpacing/>
              <w:jc w:val="both"/>
              <w:rPr>
                <w:sz w:val="22"/>
                <w:szCs w:val="22"/>
              </w:rPr>
            </w:pPr>
          </w:p>
          <w:p w14:paraId="6C6932A7" w14:textId="77777777" w:rsidR="00D53BB3" w:rsidRPr="00D53BB3" w:rsidRDefault="00D53BB3" w:rsidP="00D53BB3">
            <w:pPr>
              <w:ind w:left="34"/>
              <w:contextualSpacing/>
              <w:jc w:val="both"/>
              <w:rPr>
                <w:sz w:val="22"/>
                <w:szCs w:val="22"/>
              </w:rPr>
            </w:pPr>
            <w:r w:rsidRPr="00D53BB3">
              <w:rPr>
                <w:sz w:val="22"/>
                <w:szCs w:val="22"/>
              </w:rPr>
              <w:t>K návrhu vyhlášky je nutno podotknout, že není pravda, že stávající právní rámec v oblasti potravin neumožňuje provádění úředních kontrol všem dozorovým orgánům. Stávající legislativní požadavky jsou zcela dostačujícím způsobem stanoveny na úrovni Evropského společenství a umožňují kontrolní činnost všem kontrolním organizacím bez rozdílu, tak aby byla zabezpečena úřední kontrola, jak je požadováno příslušnými nařízeními zejména nařízením (ES) č. 178/2002, nařízením (EU) č. 2017/625, nařízením (EU) č. 1169/2011 a dalšími evropskými předpisy.</w:t>
            </w:r>
          </w:p>
          <w:p w14:paraId="1AC93465" w14:textId="77777777" w:rsidR="00D53BB3" w:rsidRPr="00D53BB3" w:rsidRDefault="00D53BB3" w:rsidP="00D53BB3">
            <w:pPr>
              <w:ind w:left="34"/>
              <w:contextualSpacing/>
              <w:jc w:val="both"/>
              <w:rPr>
                <w:sz w:val="22"/>
                <w:szCs w:val="22"/>
              </w:rPr>
            </w:pPr>
          </w:p>
          <w:p w14:paraId="33EBC6C2" w14:textId="77777777" w:rsidR="0009438F" w:rsidRPr="00522702" w:rsidRDefault="00D53BB3" w:rsidP="00522702">
            <w:pPr>
              <w:ind w:left="34"/>
              <w:contextualSpacing/>
              <w:jc w:val="both"/>
              <w:rPr>
                <w:b/>
                <w:sz w:val="22"/>
                <w:szCs w:val="22"/>
                <w:u w:val="single"/>
              </w:rPr>
            </w:pPr>
            <w:r w:rsidRPr="00D53BB3">
              <w:rPr>
                <w:sz w:val="22"/>
                <w:szCs w:val="22"/>
              </w:rPr>
              <w:t xml:space="preserve">Ve zhodnocení platného právního stavu a odůvodnění nezbytnosti jeho změny je bezdůvodně uvedeno: „Existuje riziko, že kontrolní činnost bezpečnosti pokrmů nebude prováděna v dostatečném rozsahu, což může </w:t>
            </w:r>
            <w:r w:rsidRPr="00D53BB3">
              <w:rPr>
                <w:sz w:val="22"/>
                <w:szCs w:val="22"/>
              </w:rPr>
              <w:lastRenderedPageBreak/>
              <w:t xml:space="preserve">představovat zdravotní riziko pro spotřebitele“. </w:t>
            </w:r>
            <w:r w:rsidRPr="00522702">
              <w:rPr>
                <w:sz w:val="22"/>
                <w:szCs w:val="22"/>
              </w:rPr>
              <w:t>Není zřejmé, z jaké analýzy toto tvrzení vyplývá. Požadujeme proto tuto analýzu provést a doplnit, bez ní takto není možné tento návrh přijmout jako odůvodněný.</w:t>
            </w:r>
          </w:p>
        </w:tc>
        <w:tc>
          <w:tcPr>
            <w:tcW w:w="6237" w:type="dxa"/>
            <w:tcBorders>
              <w:top w:val="single" w:sz="4" w:space="0" w:color="auto"/>
              <w:left w:val="single" w:sz="4" w:space="0" w:color="auto"/>
              <w:bottom w:val="single" w:sz="4" w:space="0" w:color="auto"/>
              <w:right w:val="single" w:sz="4" w:space="0" w:color="auto"/>
            </w:tcBorders>
          </w:tcPr>
          <w:p w14:paraId="7734BF90" w14:textId="77777777" w:rsidR="005116D5" w:rsidRPr="00B561D1" w:rsidRDefault="005116D5" w:rsidP="006F5B7B">
            <w:pPr>
              <w:ind w:right="175"/>
              <w:contextualSpacing/>
              <w:jc w:val="both"/>
              <w:rPr>
                <w:b/>
                <w:sz w:val="22"/>
              </w:rPr>
            </w:pPr>
            <w:r w:rsidRPr="00B561D1">
              <w:rPr>
                <w:b/>
                <w:sz w:val="22"/>
              </w:rPr>
              <w:lastRenderedPageBreak/>
              <w:t>Vysvětleno.</w:t>
            </w:r>
          </w:p>
          <w:p w14:paraId="088032FC" w14:textId="445F6487" w:rsidR="004E2967" w:rsidRDefault="005D1096" w:rsidP="003B7968">
            <w:pPr>
              <w:ind w:right="175"/>
              <w:contextualSpacing/>
              <w:jc w:val="both"/>
              <w:rPr>
                <w:sz w:val="22"/>
              </w:rPr>
            </w:pPr>
            <w:r w:rsidRPr="00B561D1">
              <w:rPr>
                <w:sz w:val="22"/>
              </w:rPr>
              <w:t>Vydání vyhlášky považ</w:t>
            </w:r>
            <w:r w:rsidR="00336390">
              <w:rPr>
                <w:sz w:val="22"/>
              </w:rPr>
              <w:t>uje</w:t>
            </w:r>
            <w:r w:rsidR="002B6087">
              <w:rPr>
                <w:sz w:val="22"/>
              </w:rPr>
              <w:t xml:space="preserve"> MZe</w:t>
            </w:r>
            <w:r w:rsidRPr="00B561D1">
              <w:rPr>
                <w:sz w:val="22"/>
              </w:rPr>
              <w:t xml:space="preserve"> za ne</w:t>
            </w:r>
            <w:r w:rsidR="008B6856">
              <w:rPr>
                <w:sz w:val="22"/>
              </w:rPr>
              <w:t>z</w:t>
            </w:r>
            <w:r w:rsidRPr="00B561D1">
              <w:rPr>
                <w:sz w:val="22"/>
              </w:rPr>
              <w:t>bytné</w:t>
            </w:r>
            <w:r w:rsidR="004E2967">
              <w:rPr>
                <w:sz w:val="22"/>
              </w:rPr>
              <w:t xml:space="preserve"> pro sjednocení </w:t>
            </w:r>
            <w:r w:rsidR="009D3B37">
              <w:rPr>
                <w:sz w:val="22"/>
              </w:rPr>
              <w:t>podmínek pro kontrolu</w:t>
            </w:r>
            <w:r w:rsidR="004E2967">
              <w:rPr>
                <w:sz w:val="22"/>
              </w:rPr>
              <w:t xml:space="preserve"> pokrmů</w:t>
            </w:r>
            <w:r w:rsidR="002B6087">
              <w:rPr>
                <w:sz w:val="22"/>
              </w:rPr>
              <w:t xml:space="preserve"> ze strany jak orgánů dozoru spadajících pod MZd tak MZe</w:t>
            </w:r>
            <w:r w:rsidR="004E2967">
              <w:rPr>
                <w:sz w:val="22"/>
              </w:rPr>
              <w:t>.</w:t>
            </w:r>
            <w:r w:rsidRPr="00B561D1">
              <w:rPr>
                <w:sz w:val="22"/>
              </w:rPr>
              <w:t xml:space="preserve"> </w:t>
            </w:r>
          </w:p>
          <w:p w14:paraId="34758FF3" w14:textId="37B7B36C" w:rsidR="009D3B37" w:rsidRPr="00C0008A" w:rsidRDefault="009D3B37" w:rsidP="003B7968">
            <w:pPr>
              <w:jc w:val="both"/>
              <w:rPr>
                <w:sz w:val="22"/>
              </w:rPr>
            </w:pPr>
            <w:r w:rsidRPr="00C0008A">
              <w:rPr>
                <w:sz w:val="22"/>
              </w:rPr>
              <w:t xml:space="preserve">Orgány ochrany veřejného zdraví se </w:t>
            </w:r>
            <w:r w:rsidR="002B6087" w:rsidRPr="00C0008A">
              <w:rPr>
                <w:sz w:val="22"/>
              </w:rPr>
              <w:t xml:space="preserve">mohou </w:t>
            </w:r>
            <w:r w:rsidRPr="00C0008A">
              <w:rPr>
                <w:sz w:val="22"/>
              </w:rPr>
              <w:t>říd</w:t>
            </w:r>
            <w:r w:rsidR="002B6087" w:rsidRPr="00C0008A">
              <w:rPr>
                <w:sz w:val="22"/>
              </w:rPr>
              <w:t>it</w:t>
            </w:r>
            <w:r w:rsidRPr="00C0008A">
              <w:rPr>
                <w:sz w:val="22"/>
              </w:rPr>
              <w:t xml:space="preserve"> v rámci výkonu dozoru </w:t>
            </w:r>
            <w:r w:rsidR="002B6087" w:rsidRPr="00C0008A">
              <w:rPr>
                <w:sz w:val="22"/>
              </w:rPr>
              <w:t xml:space="preserve">jak zákonem č. 110/1997 Sb. a jeho prováděcími předpisy tak i </w:t>
            </w:r>
            <w:r w:rsidRPr="00C0008A">
              <w:rPr>
                <w:sz w:val="22"/>
              </w:rPr>
              <w:t xml:space="preserve">zákonem č. 258/2000 Sb., o ochraně veřejného zdraví o změně některých souvisejících </w:t>
            </w:r>
            <w:r w:rsidRPr="00C0008A">
              <w:rPr>
                <w:sz w:val="22"/>
              </w:rPr>
              <w:lastRenderedPageBreak/>
              <w:t>zákonů, a jeho prováděcími právními předpisy, mezi které patří mimo jiné vyhláška č. 137/2004 Sb., o hygienických požadavcích na stravovací služby a o zásadách osobní a provozní hygieny při činnostech epidemiologicky závažných.</w:t>
            </w:r>
            <w:r w:rsidR="00E563DC" w:rsidRPr="00C0008A">
              <w:rPr>
                <w:sz w:val="22"/>
              </w:rPr>
              <w:t xml:space="preserve"> To však není umožněno orgánům dozoru MZe, které postupují pouze v rámci zákona o potravinách.</w:t>
            </w:r>
            <w:r w:rsidRPr="00C0008A">
              <w:rPr>
                <w:sz w:val="22"/>
              </w:rPr>
              <w:t xml:space="preserve"> </w:t>
            </w:r>
            <w:r w:rsidR="00C065D6" w:rsidRPr="008F609D">
              <w:rPr>
                <w:sz w:val="22"/>
                <w:szCs w:val="22"/>
              </w:rPr>
              <w:t>Zákonem č. 180/2016 Sb. bylo do zákona č. 110/1997 Sb. vloženo</w:t>
            </w:r>
            <w:r w:rsidR="00E563DC" w:rsidRPr="00C0008A">
              <w:rPr>
                <w:sz w:val="22"/>
                <w:szCs w:val="22"/>
              </w:rPr>
              <w:t xml:space="preserve"> zmocňovací ustanovení, které předpokládá</w:t>
            </w:r>
            <w:r w:rsidR="002B6087" w:rsidRPr="00C0008A">
              <w:rPr>
                <w:sz w:val="22"/>
                <w:szCs w:val="22"/>
              </w:rPr>
              <w:t xml:space="preserve"> vydán</w:t>
            </w:r>
            <w:r w:rsidR="00E563DC" w:rsidRPr="00C0008A">
              <w:rPr>
                <w:sz w:val="22"/>
                <w:szCs w:val="22"/>
              </w:rPr>
              <w:t>í</w:t>
            </w:r>
            <w:r w:rsidR="002B6087" w:rsidRPr="00C0008A">
              <w:rPr>
                <w:sz w:val="22"/>
                <w:szCs w:val="22"/>
              </w:rPr>
              <w:t xml:space="preserve"> prováděcí</w:t>
            </w:r>
            <w:r w:rsidR="00E563DC" w:rsidRPr="00C0008A">
              <w:rPr>
                <w:sz w:val="22"/>
                <w:szCs w:val="22"/>
              </w:rPr>
              <w:t>ho</w:t>
            </w:r>
            <w:r w:rsidR="002B6087" w:rsidRPr="00C0008A">
              <w:rPr>
                <w:sz w:val="22"/>
              </w:rPr>
              <w:t xml:space="preserve"> právní</w:t>
            </w:r>
            <w:r w:rsidR="00E563DC" w:rsidRPr="00C0008A">
              <w:rPr>
                <w:sz w:val="22"/>
              </w:rPr>
              <w:t>ho</w:t>
            </w:r>
            <w:r w:rsidR="002B6087" w:rsidRPr="00C0008A">
              <w:rPr>
                <w:sz w:val="22"/>
              </w:rPr>
              <w:t xml:space="preserve"> předpis</w:t>
            </w:r>
            <w:r w:rsidR="00E563DC" w:rsidRPr="00C0008A">
              <w:rPr>
                <w:sz w:val="22"/>
              </w:rPr>
              <w:t>u</w:t>
            </w:r>
            <w:r w:rsidR="002B6087" w:rsidRPr="00C0008A">
              <w:rPr>
                <w:sz w:val="22"/>
              </w:rPr>
              <w:t xml:space="preserve">, který stanoví jednotné podmínky, které budou kontrolovatelné ze strany jak OOVZ tak orgánů dozoru MZe. To se dosud nestalo a </w:t>
            </w:r>
            <w:r w:rsidR="00E563DC" w:rsidRPr="00C0008A">
              <w:rPr>
                <w:sz w:val="22"/>
              </w:rPr>
              <w:t xml:space="preserve">u </w:t>
            </w:r>
            <w:r w:rsidR="002B6087" w:rsidRPr="00C0008A">
              <w:rPr>
                <w:sz w:val="22"/>
              </w:rPr>
              <w:t>určité části provozovatelů tak některé specifické požadavky vyplývající z vyhlášky č. 137/2004 Sb.</w:t>
            </w:r>
            <w:r w:rsidR="00E563DC" w:rsidRPr="00C0008A">
              <w:rPr>
                <w:sz w:val="22"/>
              </w:rPr>
              <w:t xml:space="preserve"> </w:t>
            </w:r>
            <w:r w:rsidR="002B6087" w:rsidRPr="00C0008A">
              <w:rPr>
                <w:sz w:val="22"/>
              </w:rPr>
              <w:t xml:space="preserve">nejsou kontrolovány. </w:t>
            </w:r>
          </w:p>
          <w:p w14:paraId="0CA2D247" w14:textId="77777777" w:rsidR="009D3B37" w:rsidRPr="00C0008A" w:rsidRDefault="009D3B37" w:rsidP="004E2967">
            <w:pPr>
              <w:jc w:val="both"/>
              <w:rPr>
                <w:sz w:val="22"/>
              </w:rPr>
            </w:pPr>
          </w:p>
          <w:p w14:paraId="26A0026C" w14:textId="0945783D" w:rsidR="004E2967" w:rsidRPr="00C0008A" w:rsidRDefault="004E2967" w:rsidP="004E2967">
            <w:pPr>
              <w:jc w:val="both"/>
              <w:rPr>
                <w:sz w:val="22"/>
              </w:rPr>
            </w:pPr>
            <w:r w:rsidRPr="00C0008A">
              <w:rPr>
                <w:sz w:val="22"/>
              </w:rPr>
              <w:t xml:space="preserve">Nezbytnost navrhované právní úpravy vychází tudíž také </w:t>
            </w:r>
            <w:r w:rsidRPr="00C0008A">
              <w:rPr>
                <w:b/>
                <w:sz w:val="22"/>
              </w:rPr>
              <w:t>z nutnosti  narovnání podmínek výkonu kontroly ve stravovacích službách ze strany dozorových orgánů</w:t>
            </w:r>
            <w:r w:rsidR="002B6087" w:rsidRPr="00C0008A">
              <w:rPr>
                <w:b/>
                <w:sz w:val="22"/>
              </w:rPr>
              <w:t>, aby vůči provozovatelům, kteří spolu soutěží, byly nastaveny rovné podmínky dozoru</w:t>
            </w:r>
            <w:r w:rsidRPr="00C0008A">
              <w:rPr>
                <w:b/>
                <w:sz w:val="22"/>
              </w:rPr>
              <w:t>.</w:t>
            </w:r>
            <w:r w:rsidRPr="00C0008A">
              <w:rPr>
                <w:sz w:val="22"/>
              </w:rPr>
              <w:t xml:space="preserve"> </w:t>
            </w:r>
          </w:p>
          <w:p w14:paraId="62B02CF4" w14:textId="77777777" w:rsidR="009D3B37" w:rsidRPr="00C0008A" w:rsidRDefault="009D3B37" w:rsidP="004E2967">
            <w:pPr>
              <w:jc w:val="both"/>
              <w:rPr>
                <w:bCs/>
                <w:sz w:val="22"/>
              </w:rPr>
            </w:pPr>
          </w:p>
          <w:p w14:paraId="6389C3AC" w14:textId="00A441FE" w:rsidR="004E2967" w:rsidRPr="00B561D1" w:rsidRDefault="004E2967" w:rsidP="004E2967">
            <w:pPr>
              <w:jc w:val="both"/>
              <w:rPr>
                <w:b/>
                <w:bCs/>
                <w:sz w:val="22"/>
              </w:rPr>
            </w:pPr>
            <w:r w:rsidRPr="00C0008A">
              <w:rPr>
                <w:bCs/>
                <w:sz w:val="22"/>
              </w:rPr>
              <w:t>Přijetí návrhu vyhlášky nepředpokládá negativní dopady pro provozovatele stravovacích služeb, neboť řada ukazatelů se ověřuje již v současné době v rámci s</w:t>
            </w:r>
            <w:r w:rsidRPr="00C0008A">
              <w:rPr>
                <w:rStyle w:val="st1"/>
                <w:sz w:val="22"/>
              </w:rPr>
              <w:t xml:space="preserve">ystému analýzy rizika a stanovení kritických kontrolních bodů </w:t>
            </w:r>
            <w:r w:rsidRPr="00C0008A">
              <w:rPr>
                <w:bCs/>
                <w:sz w:val="22"/>
              </w:rPr>
              <w:t>(dále jen „HACCP“)</w:t>
            </w:r>
            <w:r w:rsidR="00E563DC" w:rsidRPr="00C0008A">
              <w:rPr>
                <w:bCs/>
                <w:sz w:val="22"/>
              </w:rPr>
              <w:t xml:space="preserve"> případně jsou do vyhlášky přebírány platné požadavky z vyhlášky č. 137/2004 Sb</w:t>
            </w:r>
            <w:r w:rsidRPr="00C0008A">
              <w:rPr>
                <w:bCs/>
                <w:sz w:val="22"/>
              </w:rPr>
              <w:t xml:space="preserve">. </w:t>
            </w:r>
            <w:r w:rsidRPr="00C0008A">
              <w:rPr>
                <w:b/>
                <w:bCs/>
                <w:sz w:val="22"/>
              </w:rPr>
              <w:t xml:space="preserve">Návrh vyhlášky </w:t>
            </w:r>
            <w:r w:rsidR="00E563DC" w:rsidRPr="00C0008A">
              <w:rPr>
                <w:b/>
                <w:bCs/>
                <w:sz w:val="22"/>
              </w:rPr>
              <w:t xml:space="preserve">tak </w:t>
            </w:r>
            <w:r w:rsidRPr="00C0008A">
              <w:rPr>
                <w:b/>
                <w:bCs/>
                <w:sz w:val="22"/>
              </w:rPr>
              <w:t>pouze</w:t>
            </w:r>
            <w:r w:rsidR="00E563DC" w:rsidRPr="00C0008A">
              <w:rPr>
                <w:b/>
                <w:bCs/>
                <w:sz w:val="22"/>
              </w:rPr>
              <w:t xml:space="preserve"> v právním řádu</w:t>
            </w:r>
            <w:r w:rsidRPr="00C0008A">
              <w:rPr>
                <w:b/>
                <w:bCs/>
                <w:sz w:val="22"/>
              </w:rPr>
              <w:t xml:space="preserve"> zakotvuje </w:t>
            </w:r>
            <w:r w:rsidR="00E563DC" w:rsidRPr="00C0008A">
              <w:rPr>
                <w:b/>
                <w:bCs/>
                <w:sz w:val="22"/>
              </w:rPr>
              <w:t>nutné</w:t>
            </w:r>
            <w:r w:rsidRPr="00C0008A">
              <w:rPr>
                <w:b/>
                <w:bCs/>
                <w:sz w:val="22"/>
              </w:rPr>
              <w:t xml:space="preserve"> po</w:t>
            </w:r>
            <w:r w:rsidR="00E563DC" w:rsidRPr="00C0008A">
              <w:rPr>
                <w:b/>
                <w:bCs/>
                <w:sz w:val="22"/>
              </w:rPr>
              <w:t>žadavky, které jsou klíčové pro zabezpečení bezpečnosti pokrmů uváděných na trh</w:t>
            </w:r>
            <w:r w:rsidRPr="00C0008A">
              <w:rPr>
                <w:b/>
                <w:bCs/>
                <w:sz w:val="22"/>
              </w:rPr>
              <w:t>.</w:t>
            </w:r>
          </w:p>
          <w:p w14:paraId="29C52B81" w14:textId="77777777" w:rsidR="004E2967" w:rsidRDefault="004E2967" w:rsidP="006F5B7B">
            <w:pPr>
              <w:ind w:right="175"/>
              <w:contextualSpacing/>
              <w:jc w:val="both"/>
              <w:rPr>
                <w:sz w:val="22"/>
              </w:rPr>
            </w:pPr>
          </w:p>
          <w:p w14:paraId="3DA5F544" w14:textId="427469E3" w:rsidR="006F5B7B" w:rsidRPr="00B561D1" w:rsidRDefault="004E2967" w:rsidP="006F5B7B">
            <w:pPr>
              <w:ind w:right="175"/>
              <w:contextualSpacing/>
              <w:jc w:val="both"/>
              <w:rPr>
                <w:sz w:val="22"/>
              </w:rPr>
            </w:pPr>
            <w:r>
              <w:rPr>
                <w:sz w:val="22"/>
              </w:rPr>
              <w:t>Stanovení mikrobiologických požadavků na pokrmy považuje</w:t>
            </w:r>
            <w:r w:rsidR="00E563DC">
              <w:rPr>
                <w:sz w:val="22"/>
              </w:rPr>
              <w:t xml:space="preserve"> MZe</w:t>
            </w:r>
            <w:r>
              <w:rPr>
                <w:sz w:val="22"/>
              </w:rPr>
              <w:t xml:space="preserve"> za nezbytné z hlediska ochrany zdraví spotřebitelů, </w:t>
            </w:r>
            <w:r w:rsidR="005D1096" w:rsidRPr="00B561D1">
              <w:rPr>
                <w:sz w:val="22"/>
              </w:rPr>
              <w:t xml:space="preserve">jelikož </w:t>
            </w:r>
            <w:r w:rsidR="00BC1A6E" w:rsidRPr="00B561D1">
              <w:rPr>
                <w:sz w:val="22"/>
              </w:rPr>
              <w:t xml:space="preserve">mikrobiologické požadavky na </w:t>
            </w:r>
            <w:r w:rsidR="005D1096" w:rsidRPr="00B561D1">
              <w:rPr>
                <w:sz w:val="22"/>
              </w:rPr>
              <w:t xml:space="preserve">pokrmy </w:t>
            </w:r>
            <w:r w:rsidR="005116D5" w:rsidRPr="00B561D1">
              <w:rPr>
                <w:sz w:val="22"/>
              </w:rPr>
              <w:t>nejsou specificky upraveny stávajícími předpisy a právem EU. Pokrmy</w:t>
            </w:r>
            <w:r w:rsidR="006F5B7B" w:rsidRPr="00B561D1">
              <w:rPr>
                <w:sz w:val="22"/>
              </w:rPr>
              <w:t xml:space="preserve"> patří svým charakterem mezi potraviny s vysokým potenciálním rizikem výskytu mikrobiologické kontaminace a tím mohou představovat i vyšší potenciální zdravotní riziko pro spotřebitele.  S ohledem na tuto skutečnost provádějí dozorové orgány kontroly podle nařízení Evropského parlamentu a Rady (EU) 2017/625, o </w:t>
            </w:r>
            <w:r w:rsidR="006F5B7B" w:rsidRPr="00B561D1">
              <w:rPr>
                <w:sz w:val="22"/>
              </w:rPr>
              <w:lastRenderedPageBreak/>
              <w:t>úředních kontrolách, zda jsou dodržována pravidla a kritéria stanovená nařízením Komise (ES) č. 2073/2005 o mikrobiologických kritériích pro potraviny</w:t>
            </w:r>
            <w:r w:rsidR="008B6856">
              <w:rPr>
                <w:sz w:val="22"/>
              </w:rPr>
              <w:t>.</w:t>
            </w:r>
            <w:r w:rsidR="006F5B7B" w:rsidRPr="00B561D1">
              <w:rPr>
                <w:sz w:val="22"/>
              </w:rPr>
              <w:t xml:space="preserve"> Provozovatel potravinářského podniku musí zajistit, aby potraviny, které vyrábí, splňovaly příslušná mikrobiologická kritéria podle Přílohy I uvedeného nařízení. V rámci této přílohy jsou taxativně vymezena kritéria pro bezpečnost potravin a pro hygienu výrobního procesu </w:t>
            </w:r>
            <w:r w:rsidR="00E563DC">
              <w:rPr>
                <w:sz w:val="22"/>
              </w:rPr>
              <w:t xml:space="preserve">pouze </w:t>
            </w:r>
            <w:r w:rsidR="006F5B7B" w:rsidRPr="00B561D1">
              <w:rPr>
                <w:sz w:val="22"/>
              </w:rPr>
              <w:t>pro vybrané druhy mikroorganismů</w:t>
            </w:r>
            <w:r w:rsidR="00336390">
              <w:rPr>
                <w:sz w:val="22"/>
              </w:rPr>
              <w:t xml:space="preserve"> a pro vybrané komodity</w:t>
            </w:r>
            <w:r w:rsidR="006F5B7B" w:rsidRPr="00B561D1">
              <w:rPr>
                <w:sz w:val="22"/>
              </w:rPr>
              <w:t xml:space="preserve">. </w:t>
            </w:r>
            <w:r w:rsidR="006F5B7B" w:rsidRPr="00B561D1">
              <w:rPr>
                <w:b/>
                <w:sz w:val="22"/>
              </w:rPr>
              <w:t>Stanovená kritéria lze z části aplikovat na oblast stravovacích služeb, nicméně rozsahem nereflektují veškerá</w:t>
            </w:r>
            <w:r w:rsidR="00FD544C">
              <w:rPr>
                <w:b/>
                <w:sz w:val="22"/>
              </w:rPr>
              <w:t xml:space="preserve"> relevantní</w:t>
            </w:r>
            <w:r w:rsidR="006F5B7B" w:rsidRPr="00B561D1">
              <w:rPr>
                <w:b/>
                <w:sz w:val="22"/>
              </w:rPr>
              <w:t xml:space="preserve"> potencionální rizika spojená s výrobou a uváděním pokrmů na trh.</w:t>
            </w:r>
            <w:r w:rsidR="006F5B7B" w:rsidRPr="00B561D1">
              <w:rPr>
                <w:sz w:val="22"/>
              </w:rPr>
              <w:t xml:space="preserve"> </w:t>
            </w:r>
            <w:r w:rsidR="006F5B7B" w:rsidRPr="00B561D1">
              <w:rPr>
                <w:b/>
                <w:sz w:val="22"/>
              </w:rPr>
              <w:t xml:space="preserve">Tím, že mikrobiologická kritéria stanovená v nařízení Komise (ES) č. 2073/2005 nereflektují pokrmy jako specifickou část potravin, </w:t>
            </w:r>
            <w:r w:rsidR="006F5B7B" w:rsidRPr="00B561D1">
              <w:rPr>
                <w:sz w:val="22"/>
              </w:rPr>
              <w:t>se zvyšuje potenciální zdravotní riziko spojené s konzumací pokrmů.</w:t>
            </w:r>
          </w:p>
          <w:p w14:paraId="05AA93C1" w14:textId="6C94024D" w:rsidR="00A56A4D" w:rsidRDefault="00E74244" w:rsidP="00CF60EC">
            <w:pPr>
              <w:jc w:val="both"/>
              <w:rPr>
                <w:sz w:val="22"/>
              </w:rPr>
            </w:pPr>
            <w:r w:rsidRPr="00B561D1">
              <w:rPr>
                <w:b/>
                <w:sz w:val="22"/>
              </w:rPr>
              <w:t>Provozovatelé stravovacích služeb v současné době plní pouze obecné požadavky vyplývající z platné evropské právní úpravy,</w:t>
            </w:r>
            <w:r w:rsidRPr="00B561D1">
              <w:rPr>
                <w:sz w:val="22"/>
              </w:rPr>
              <w:t xml:space="preserve"> například v případě mikrobiologických kritérií nařízení Komise (ES) č. 2073/2005, v případě fyzikálních a chemických vlastností olejů a tuků nařízení Evropského parlamentu a Rady (ES) č. 178/2002, respektive nařízení Komise (EU) č. 2017/2158, které svým obecným charakterem nepostihují rámec pokrmů nebo slouží pouze jako vodítka bez bližšího stanovení kritérií. </w:t>
            </w:r>
          </w:p>
          <w:p w14:paraId="74C69A30" w14:textId="42E1B7FE" w:rsidR="00A56A4D" w:rsidRDefault="00A56A4D" w:rsidP="00A56A4D">
            <w:pPr>
              <w:pStyle w:val="Bezmezer"/>
              <w:jc w:val="both"/>
              <w:rPr>
                <w:rFonts w:ascii="Arial" w:hAnsi="Arial" w:cs="Arial"/>
                <w:color w:val="000000"/>
              </w:rPr>
            </w:pPr>
            <w:r>
              <w:rPr>
                <w:rFonts w:ascii="Arial" w:hAnsi="Arial" w:cs="Arial"/>
              </w:rPr>
              <w:t>Čl</w:t>
            </w:r>
            <w:r w:rsidR="004E2967">
              <w:rPr>
                <w:rFonts w:ascii="Arial" w:hAnsi="Arial" w:cs="Arial"/>
              </w:rPr>
              <w:t xml:space="preserve">. </w:t>
            </w:r>
            <w:r>
              <w:rPr>
                <w:rFonts w:ascii="Arial" w:hAnsi="Arial" w:cs="Arial"/>
              </w:rPr>
              <w:t xml:space="preserve">1 odst. 1 nařízení Komise (ES) č. 2073/2005 </w:t>
            </w:r>
            <w:r w:rsidR="004E2967">
              <w:rPr>
                <w:rFonts w:ascii="Arial" w:hAnsi="Arial" w:cs="Arial"/>
              </w:rPr>
              <w:t>stanov</w:t>
            </w:r>
            <w:r w:rsidR="006A298D">
              <w:rPr>
                <w:rFonts w:ascii="Arial" w:hAnsi="Arial" w:cs="Arial"/>
              </w:rPr>
              <w:t>í</w:t>
            </w:r>
            <w:r w:rsidR="004E2967">
              <w:rPr>
                <w:rFonts w:ascii="Arial" w:hAnsi="Arial" w:cs="Arial"/>
              </w:rPr>
              <w:t>, že</w:t>
            </w:r>
            <w:r>
              <w:rPr>
                <w:rFonts w:ascii="Arial" w:hAnsi="Arial" w:cs="Arial"/>
              </w:rPr>
              <w:t xml:space="preserve"> </w:t>
            </w:r>
            <w:r>
              <w:rPr>
                <w:rFonts w:ascii="Arial" w:hAnsi="Arial" w:cs="Arial"/>
                <w:color w:val="000000"/>
              </w:rPr>
              <w:t>příslušn</w:t>
            </w:r>
            <w:r w:rsidR="004E2967">
              <w:rPr>
                <w:rFonts w:ascii="Arial" w:hAnsi="Arial" w:cs="Arial"/>
                <w:color w:val="000000"/>
              </w:rPr>
              <w:t>é</w:t>
            </w:r>
            <w:r>
              <w:rPr>
                <w:rFonts w:ascii="Arial" w:hAnsi="Arial" w:cs="Arial"/>
                <w:color w:val="000000"/>
              </w:rPr>
              <w:t xml:space="preserve"> orgán</w:t>
            </w:r>
            <w:r w:rsidR="004E2967">
              <w:rPr>
                <w:rFonts w:ascii="Arial" w:hAnsi="Arial" w:cs="Arial"/>
                <w:color w:val="000000"/>
              </w:rPr>
              <w:t>y</w:t>
            </w:r>
            <w:r>
              <w:rPr>
                <w:rFonts w:ascii="Arial" w:hAnsi="Arial" w:cs="Arial"/>
                <w:color w:val="000000"/>
              </w:rPr>
              <w:t xml:space="preserve"> </w:t>
            </w:r>
            <w:r w:rsidR="004E2967">
              <w:rPr>
                <w:rFonts w:ascii="Arial" w:hAnsi="Arial" w:cs="Arial"/>
                <w:color w:val="000000"/>
              </w:rPr>
              <w:t xml:space="preserve">mohou </w:t>
            </w:r>
            <w:r>
              <w:rPr>
                <w:rFonts w:ascii="Arial" w:hAnsi="Arial" w:cs="Arial"/>
                <w:color w:val="000000"/>
              </w:rPr>
              <w:t>provádět další odběry vzorků a vyšetření za účelem průkazu a měření jiných mikroorganismů, jejich toxinů či metabolitů, a to buď v rámci ověřování procesů v případě potravin, u nichž existuje podezření, že nejsou bezpečné, nebo v souvislosti s analýzou rizik.</w:t>
            </w:r>
            <w:r w:rsidR="004E2967">
              <w:rPr>
                <w:rFonts w:ascii="Arial" w:hAnsi="Arial" w:cs="Arial"/>
                <w:color w:val="000000"/>
              </w:rPr>
              <w:t xml:space="preserve"> </w:t>
            </w:r>
            <w:r w:rsidR="006F009F">
              <w:rPr>
                <w:rFonts w:ascii="Arial" w:hAnsi="Arial" w:cs="Arial"/>
                <w:color w:val="000000"/>
              </w:rPr>
              <w:t xml:space="preserve">Z této úpravy je zjevné, že předmětné nařízení není vyčerpávající úpravou celé problematiky </w:t>
            </w:r>
            <w:r w:rsidR="006F009F" w:rsidRPr="004F744E">
              <w:rPr>
                <w:rFonts w:ascii="Arial" w:hAnsi="Arial" w:cs="Arial"/>
                <w:color w:val="000000"/>
              </w:rPr>
              <w:t>mikrobiologie</w:t>
            </w:r>
            <w:r w:rsidR="00C247D0">
              <w:rPr>
                <w:rFonts w:ascii="Arial" w:hAnsi="Arial" w:cs="Arial"/>
                <w:color w:val="000000"/>
              </w:rPr>
              <w:t xml:space="preserve"> potravin</w:t>
            </w:r>
            <w:r w:rsidR="006F009F">
              <w:rPr>
                <w:rFonts w:ascii="Arial" w:hAnsi="Arial" w:cs="Arial"/>
                <w:color w:val="000000"/>
              </w:rPr>
              <w:t>.</w:t>
            </w:r>
          </w:p>
          <w:p w14:paraId="4FC5B27A" w14:textId="77777777" w:rsidR="004E2967" w:rsidRDefault="004E2967" w:rsidP="00A56A4D">
            <w:pPr>
              <w:pStyle w:val="Bezmezer"/>
              <w:jc w:val="both"/>
              <w:rPr>
                <w:rFonts w:ascii="Arial" w:hAnsi="Arial" w:cs="Arial"/>
                <w:color w:val="000000"/>
              </w:rPr>
            </w:pPr>
          </w:p>
          <w:p w14:paraId="6E5CC2CA" w14:textId="42057148" w:rsidR="004E2967" w:rsidRPr="001128B3" w:rsidRDefault="004E2967" w:rsidP="001128B3">
            <w:pPr>
              <w:jc w:val="both"/>
            </w:pPr>
            <w:r>
              <w:rPr>
                <w:sz w:val="22"/>
                <w:szCs w:val="22"/>
              </w:rPr>
              <w:t>Pr</w:t>
            </w:r>
            <w:r w:rsidRPr="00200FAC">
              <w:rPr>
                <w:sz w:val="22"/>
                <w:szCs w:val="22"/>
              </w:rPr>
              <w:t>ávní předpisy</w:t>
            </w:r>
            <w:r>
              <w:rPr>
                <w:sz w:val="22"/>
                <w:szCs w:val="22"/>
              </w:rPr>
              <w:t xml:space="preserve"> EU</w:t>
            </w:r>
            <w:r w:rsidRPr="00200FAC">
              <w:rPr>
                <w:sz w:val="22"/>
                <w:szCs w:val="22"/>
              </w:rPr>
              <w:t xml:space="preserve"> jsou především zaměřeny na harmonizaci přístupu hodnocení bezpečnosti potravin v rámci volného pohybu zboží v EU, proto jsou zaměřeny jen na vybrané mikroorganismy a komodity. Dozorové orgány MZe dle těchto právních předpisů kontrolují výrobce potravin, dovozce a tržní </w:t>
            </w:r>
            <w:r w:rsidRPr="00200FAC">
              <w:rPr>
                <w:sz w:val="22"/>
                <w:szCs w:val="22"/>
              </w:rPr>
              <w:lastRenderedPageBreak/>
              <w:t xml:space="preserve">síť. Z výsledků v systému ISIN (Informační systém infekčních nemocí) však lze sledovat výskyt alimentárních onemocnění způsobených i </w:t>
            </w:r>
            <w:r w:rsidRPr="001128B3">
              <w:rPr>
                <w:sz w:val="22"/>
                <w:szCs w:val="22"/>
              </w:rPr>
              <w:t xml:space="preserve">dalšími zoonotickými a patogenními organismy, proto byla do návrhu Akčního </w:t>
            </w:r>
            <w:r w:rsidR="00205BA1">
              <w:rPr>
                <w:sz w:val="22"/>
                <w:szCs w:val="22"/>
              </w:rPr>
              <w:t xml:space="preserve">plánu realizace Strategie bezpečnosti potravin a výživy 2030 </w:t>
            </w:r>
            <w:r w:rsidRPr="001128B3">
              <w:rPr>
                <w:sz w:val="22"/>
                <w:szCs w:val="22"/>
              </w:rPr>
              <w:t>uvedena podpora vzniku národních právních předpisů, které zajistí vysokou mikrobiologickou</w:t>
            </w:r>
            <w:r w:rsidRPr="00200FAC">
              <w:rPr>
                <w:sz w:val="22"/>
                <w:szCs w:val="22"/>
              </w:rPr>
              <w:t xml:space="preserve"> bezpečnost pokrmů v provozech stravovacích služeb.</w:t>
            </w:r>
          </w:p>
          <w:p w14:paraId="2E846E5F" w14:textId="77777777" w:rsidR="004E2967" w:rsidRDefault="004E2967" w:rsidP="00A56A4D">
            <w:pPr>
              <w:pStyle w:val="Bezmezer"/>
              <w:jc w:val="both"/>
              <w:rPr>
                <w:rFonts w:ascii="Arial" w:hAnsi="Arial" w:cs="Arial"/>
                <w:color w:val="000000"/>
              </w:rPr>
            </w:pPr>
          </w:p>
          <w:p w14:paraId="2A64289F" w14:textId="71741122" w:rsidR="004E2967" w:rsidRPr="002037FF" w:rsidRDefault="00035AC9" w:rsidP="004E2967">
            <w:pPr>
              <w:jc w:val="both"/>
              <w:rPr>
                <w:sz w:val="22"/>
                <w:szCs w:val="22"/>
              </w:rPr>
            </w:pPr>
            <w:r w:rsidRPr="002037FF">
              <w:rPr>
                <w:sz w:val="22"/>
                <w:szCs w:val="22"/>
              </w:rPr>
              <w:t>Právo EU nebrání</w:t>
            </w:r>
            <w:r w:rsidR="004E2967" w:rsidRPr="002037FF">
              <w:rPr>
                <w:sz w:val="22"/>
                <w:szCs w:val="22"/>
              </w:rPr>
              <w:t xml:space="preserve"> příslušným orgánům přijímat vhodná opatření k omezení </w:t>
            </w:r>
            <w:r w:rsidRPr="002037FF">
              <w:rPr>
                <w:sz w:val="22"/>
                <w:szCs w:val="22"/>
              </w:rPr>
              <w:t xml:space="preserve">uvádění potravin (včetně pokrmů) na trh nebo k jejich </w:t>
            </w:r>
            <w:r w:rsidR="004E2967" w:rsidRPr="002037FF">
              <w:rPr>
                <w:sz w:val="22"/>
                <w:szCs w:val="22"/>
              </w:rPr>
              <w:t>stažení z trhu, pokud existují důvody pro podezření, že navzdory</w:t>
            </w:r>
            <w:r w:rsidR="006F009F">
              <w:rPr>
                <w:sz w:val="22"/>
                <w:szCs w:val="22"/>
              </w:rPr>
              <w:t xml:space="preserve"> souladu se zvláštními předpisy EU</w:t>
            </w:r>
            <w:r w:rsidR="004E2967" w:rsidRPr="002037FF">
              <w:rPr>
                <w:sz w:val="22"/>
                <w:szCs w:val="22"/>
              </w:rPr>
              <w:t xml:space="preserve">  není potr</w:t>
            </w:r>
            <w:r w:rsidR="009542D4">
              <w:rPr>
                <w:sz w:val="22"/>
                <w:szCs w:val="22"/>
              </w:rPr>
              <w:t>avina bezpečná (viz nařízení (ES)</w:t>
            </w:r>
            <w:r w:rsidR="004E2967" w:rsidRPr="002037FF">
              <w:rPr>
                <w:sz w:val="22"/>
                <w:szCs w:val="22"/>
              </w:rPr>
              <w:t xml:space="preserve"> č. 178/2002 čl. 14 odst. 8). Pokud neexistují kritéria (limity) v nařízení </w:t>
            </w:r>
            <w:r w:rsidR="009542D4">
              <w:rPr>
                <w:sz w:val="22"/>
                <w:szCs w:val="22"/>
              </w:rPr>
              <w:br/>
            </w:r>
            <w:r w:rsidR="003B7968">
              <w:rPr>
                <w:sz w:val="22"/>
                <w:szCs w:val="22"/>
              </w:rPr>
              <w:t xml:space="preserve">č. </w:t>
            </w:r>
            <w:r w:rsidR="004E2967" w:rsidRPr="002037FF">
              <w:rPr>
                <w:sz w:val="22"/>
                <w:szCs w:val="22"/>
              </w:rPr>
              <w:t xml:space="preserve">2073/2005, žádá </w:t>
            </w:r>
            <w:r w:rsidR="006F009F">
              <w:rPr>
                <w:sz w:val="22"/>
                <w:szCs w:val="22"/>
              </w:rPr>
              <w:t xml:space="preserve">v současnosti </w:t>
            </w:r>
            <w:r w:rsidR="004E2967" w:rsidRPr="002037FF">
              <w:rPr>
                <w:sz w:val="22"/>
                <w:szCs w:val="22"/>
              </w:rPr>
              <w:t xml:space="preserve">SZPI při zjištění patogenních bakterií/ jejich toxinů popř. vysokých počtů indikátorových bakterií, pro které nejsou stanoveny limity v nařízení </w:t>
            </w:r>
            <w:r w:rsidR="003B7968">
              <w:rPr>
                <w:sz w:val="22"/>
                <w:szCs w:val="22"/>
              </w:rPr>
              <w:t xml:space="preserve">č. </w:t>
            </w:r>
            <w:r w:rsidR="004E2967" w:rsidRPr="002037FF">
              <w:rPr>
                <w:sz w:val="22"/>
                <w:szCs w:val="22"/>
              </w:rPr>
              <w:t xml:space="preserve">2073/2005, </w:t>
            </w:r>
            <w:r w:rsidR="00205BA1">
              <w:rPr>
                <w:sz w:val="22"/>
                <w:szCs w:val="22"/>
              </w:rPr>
              <w:t>o hodnocení zdravotních rizik</w:t>
            </w:r>
            <w:r w:rsidR="003B7968">
              <w:rPr>
                <w:sz w:val="22"/>
                <w:szCs w:val="22"/>
              </w:rPr>
              <w:t xml:space="preserve"> </w:t>
            </w:r>
            <w:r w:rsidR="004E2967" w:rsidRPr="002037FF">
              <w:rPr>
                <w:sz w:val="22"/>
                <w:szCs w:val="22"/>
              </w:rPr>
              <w:t xml:space="preserve">SZÚ Praha (v souhlasu s § 16a odst. 8 zákona č. 110/1997 Sb.). Tento proces hodnocení „případ od případu“ je </w:t>
            </w:r>
            <w:r w:rsidRPr="002037FF">
              <w:rPr>
                <w:sz w:val="22"/>
                <w:szCs w:val="22"/>
              </w:rPr>
              <w:t xml:space="preserve">však </w:t>
            </w:r>
            <w:r w:rsidR="004E2967" w:rsidRPr="002037FF">
              <w:rPr>
                <w:sz w:val="22"/>
                <w:szCs w:val="22"/>
              </w:rPr>
              <w:t>zdlouhavý</w:t>
            </w:r>
            <w:r w:rsidR="006F009F">
              <w:rPr>
                <w:sz w:val="22"/>
                <w:szCs w:val="22"/>
              </w:rPr>
              <w:t>, náročný na lidské zdroje na obou stranách</w:t>
            </w:r>
            <w:r w:rsidR="004E2967" w:rsidRPr="002037FF">
              <w:rPr>
                <w:sz w:val="22"/>
                <w:szCs w:val="22"/>
              </w:rPr>
              <w:t xml:space="preserve"> a </w:t>
            </w:r>
            <w:r w:rsidR="006F009F">
              <w:rPr>
                <w:sz w:val="22"/>
                <w:szCs w:val="22"/>
              </w:rPr>
              <w:t xml:space="preserve">zejména </w:t>
            </w:r>
            <w:r w:rsidR="004E2967" w:rsidRPr="002037FF">
              <w:rPr>
                <w:sz w:val="22"/>
                <w:szCs w:val="22"/>
              </w:rPr>
              <w:t>zpomaluje ochranu spotřebitele.</w:t>
            </w:r>
          </w:p>
          <w:p w14:paraId="5F772617" w14:textId="77777777" w:rsidR="004E2967" w:rsidRPr="002037FF" w:rsidRDefault="004E2967" w:rsidP="004E2967">
            <w:pPr>
              <w:jc w:val="both"/>
              <w:rPr>
                <w:sz w:val="22"/>
                <w:szCs w:val="22"/>
              </w:rPr>
            </w:pPr>
          </w:p>
          <w:p w14:paraId="31A1F543" w14:textId="02327606" w:rsidR="004E2967" w:rsidRPr="001128B3" w:rsidRDefault="004E2967" w:rsidP="002037FF">
            <w:pPr>
              <w:jc w:val="both"/>
              <w:rPr>
                <w:sz w:val="22"/>
              </w:rPr>
            </w:pPr>
            <w:r w:rsidRPr="002037FF">
              <w:rPr>
                <w:sz w:val="22"/>
                <w:szCs w:val="22"/>
              </w:rPr>
              <w:t>Vzhledem k tomu, že pro řadu mikroorganismů navržených do vyhlášky popř. pro kombinaci mikroorganismus-pokrm neexistuje zvláštní předpis EU, umožňuje čl. 14 odst. 9 nařízení</w:t>
            </w:r>
            <w:r w:rsidR="00D203CF">
              <w:rPr>
                <w:sz w:val="22"/>
                <w:szCs w:val="22"/>
              </w:rPr>
              <w:t xml:space="preserve"> (ES)</w:t>
            </w:r>
            <w:r w:rsidRPr="002037FF">
              <w:rPr>
                <w:sz w:val="22"/>
                <w:szCs w:val="22"/>
              </w:rPr>
              <w:t xml:space="preserve"> </w:t>
            </w:r>
            <w:r w:rsidR="003B7968">
              <w:rPr>
                <w:sz w:val="22"/>
                <w:szCs w:val="22"/>
              </w:rPr>
              <w:t xml:space="preserve">č. </w:t>
            </w:r>
            <w:r w:rsidRPr="002037FF">
              <w:rPr>
                <w:sz w:val="22"/>
                <w:szCs w:val="22"/>
              </w:rPr>
              <w:t>178/2002 vzít jako právní základ pro posouzení  bezpečnosti vnitrostátní předpis, který</w:t>
            </w:r>
            <w:r w:rsidR="006F009F">
              <w:rPr>
                <w:sz w:val="22"/>
                <w:szCs w:val="22"/>
              </w:rPr>
              <w:t xml:space="preserve"> MZe tímto v souladu se zmocněním v zákoně o potravinách navrhuje přijmout</w:t>
            </w:r>
            <w:r w:rsidRPr="002037FF">
              <w:rPr>
                <w:sz w:val="22"/>
                <w:szCs w:val="22"/>
              </w:rPr>
              <w:t xml:space="preserve"> (zákon </w:t>
            </w:r>
            <w:r w:rsidR="00E8625F">
              <w:rPr>
                <w:sz w:val="22"/>
                <w:szCs w:val="22"/>
              </w:rPr>
              <w:t xml:space="preserve">č. </w:t>
            </w:r>
            <w:r w:rsidRPr="002037FF">
              <w:rPr>
                <w:sz w:val="22"/>
                <w:szCs w:val="22"/>
              </w:rPr>
              <w:t>110/1997 Sb. t</w:t>
            </w:r>
            <w:r w:rsidR="00E8625F">
              <w:rPr>
                <w:sz w:val="22"/>
                <w:szCs w:val="22"/>
              </w:rPr>
              <w:t>akový postup</w:t>
            </w:r>
            <w:r w:rsidRPr="002037FF">
              <w:rPr>
                <w:sz w:val="22"/>
                <w:szCs w:val="22"/>
              </w:rPr>
              <w:t xml:space="preserve"> předpokládá). Ustanovení čl. 28 a 30 Smlouvy nejsou dotčena, protože se jedná o zdraví spotřebitelů </w:t>
            </w:r>
            <w:r w:rsidR="00AE1DBF" w:rsidRPr="002037FF">
              <w:rPr>
                <w:sz w:val="22"/>
                <w:szCs w:val="22"/>
              </w:rPr>
              <w:t>a</w:t>
            </w:r>
            <w:r w:rsidRPr="002037FF">
              <w:rPr>
                <w:sz w:val="22"/>
                <w:szCs w:val="22"/>
              </w:rPr>
              <w:t xml:space="preserve"> pokrmy jsou </w:t>
            </w:r>
            <w:r w:rsidR="00A07159">
              <w:rPr>
                <w:sz w:val="22"/>
                <w:szCs w:val="22"/>
              </w:rPr>
              <w:t>ve většině případů</w:t>
            </w:r>
            <w:r w:rsidRPr="002037FF">
              <w:rPr>
                <w:sz w:val="22"/>
                <w:szCs w:val="22"/>
              </w:rPr>
              <w:t xml:space="preserve"> uváděny na trh </w:t>
            </w:r>
            <w:r w:rsidR="00AE1DBF" w:rsidRPr="002037FF">
              <w:rPr>
                <w:sz w:val="22"/>
                <w:szCs w:val="22"/>
              </w:rPr>
              <w:t xml:space="preserve">pouze </w:t>
            </w:r>
            <w:r w:rsidR="004D528E">
              <w:rPr>
                <w:sz w:val="22"/>
                <w:szCs w:val="22"/>
              </w:rPr>
              <w:t>v rámci jednoho členského státu</w:t>
            </w:r>
            <w:r w:rsidR="00AE1DBF" w:rsidRPr="002037FF">
              <w:rPr>
                <w:sz w:val="22"/>
                <w:szCs w:val="22"/>
              </w:rPr>
              <w:t xml:space="preserve"> (nikoliv přeshraničně)</w:t>
            </w:r>
            <w:r w:rsidRPr="002037FF">
              <w:rPr>
                <w:sz w:val="22"/>
                <w:szCs w:val="22"/>
              </w:rPr>
              <w:t>.</w:t>
            </w:r>
          </w:p>
          <w:p w14:paraId="2D4AD1EC" w14:textId="77777777" w:rsidR="004E2967" w:rsidRDefault="004E2967" w:rsidP="00A56A4D">
            <w:pPr>
              <w:pStyle w:val="Bezmezer"/>
              <w:jc w:val="both"/>
              <w:rPr>
                <w:rFonts w:ascii="Arial" w:hAnsi="Arial" w:cs="Arial"/>
                <w:color w:val="000000"/>
              </w:rPr>
            </w:pPr>
          </w:p>
          <w:p w14:paraId="0F729520" w14:textId="20E06B4A" w:rsidR="00A56A4D" w:rsidRPr="00A71732" w:rsidRDefault="00A56A4D" w:rsidP="00A56A4D">
            <w:pPr>
              <w:jc w:val="both"/>
              <w:rPr>
                <w:iCs/>
                <w:sz w:val="22"/>
                <w:szCs w:val="22"/>
              </w:rPr>
            </w:pPr>
            <w:r w:rsidRPr="00A71732">
              <w:rPr>
                <w:iCs/>
                <w:sz w:val="22"/>
                <w:szCs w:val="22"/>
              </w:rPr>
              <w:t xml:space="preserve">Mezi mikroorganismy, které nejsou nařízením (ES) </w:t>
            </w:r>
            <w:r w:rsidR="009542D4">
              <w:rPr>
                <w:iCs/>
                <w:sz w:val="22"/>
                <w:szCs w:val="22"/>
              </w:rPr>
              <w:br/>
            </w:r>
            <w:r w:rsidRPr="00A71732">
              <w:rPr>
                <w:iCs/>
                <w:sz w:val="22"/>
                <w:szCs w:val="22"/>
              </w:rPr>
              <w:t>č. 2073/2005 vůbec řešeny a byly do návrhu vyhlášky navrženy, patří následující původce bakteriálního onemocnění z potravin (</w:t>
            </w:r>
            <w:r w:rsidR="00EA20EB" w:rsidRPr="00A71732">
              <w:rPr>
                <w:iCs/>
                <w:sz w:val="22"/>
                <w:szCs w:val="22"/>
              </w:rPr>
              <w:t>příloha II</w:t>
            </w:r>
            <w:r w:rsidR="00EA20EB">
              <w:rPr>
                <w:iCs/>
                <w:sz w:val="22"/>
                <w:szCs w:val="22"/>
              </w:rPr>
              <w:t>,</w:t>
            </w:r>
            <w:r w:rsidR="00EA20EB" w:rsidRPr="00A71732">
              <w:rPr>
                <w:iCs/>
                <w:sz w:val="22"/>
                <w:szCs w:val="22"/>
              </w:rPr>
              <w:t xml:space="preserve"> </w:t>
            </w:r>
            <w:r w:rsidRPr="00A71732">
              <w:rPr>
                <w:iCs/>
                <w:sz w:val="22"/>
                <w:szCs w:val="22"/>
              </w:rPr>
              <w:t>tabulka č. 1):</w:t>
            </w:r>
          </w:p>
          <w:p w14:paraId="39CFA246" w14:textId="4CEADA87" w:rsidR="00A56A4D" w:rsidRPr="004372B5" w:rsidRDefault="00A56A4D" w:rsidP="00A56A4D">
            <w:pPr>
              <w:pStyle w:val="Odstavecseseznamem"/>
              <w:numPr>
                <w:ilvl w:val="0"/>
                <w:numId w:val="32"/>
              </w:numPr>
              <w:spacing w:after="0" w:line="240" w:lineRule="auto"/>
              <w:jc w:val="both"/>
              <w:rPr>
                <w:rFonts w:ascii="Arial" w:hAnsi="Arial" w:cs="Arial"/>
              </w:rPr>
            </w:pPr>
            <w:r w:rsidRPr="00A71732">
              <w:rPr>
                <w:rFonts w:ascii="Arial" w:hAnsi="Arial" w:cs="Arial"/>
              </w:rPr>
              <w:lastRenderedPageBreak/>
              <w:t xml:space="preserve">Enteropatogenní </w:t>
            </w:r>
            <w:r w:rsidRPr="00A71732">
              <w:rPr>
                <w:rFonts w:ascii="Arial" w:hAnsi="Arial" w:cs="Arial"/>
                <w:i/>
              </w:rPr>
              <w:t>Escherichia coli</w:t>
            </w:r>
            <w:r w:rsidRPr="00A71732">
              <w:rPr>
                <w:rFonts w:ascii="Arial" w:hAnsi="Arial" w:cs="Arial"/>
              </w:rPr>
              <w:t xml:space="preserve"> (EPEC) – pro tuto patogenní bakterii není v nařízení (ES) č. 2073/2005 </w:t>
            </w:r>
            <w:r w:rsidRPr="004372B5">
              <w:rPr>
                <w:rFonts w:ascii="Arial" w:hAnsi="Arial" w:cs="Arial"/>
              </w:rPr>
              <w:t>stanoven žádný limit. Nicméně SZPI pravidelně při své dozorové činnosti tuto patogenní bakterii zjišťuje ve studeném masném pokrmu typu tatarské bifteky/carpaccio. Dle následné</w:t>
            </w:r>
            <w:r w:rsidR="005D68F2">
              <w:rPr>
                <w:rFonts w:ascii="Arial" w:hAnsi="Arial" w:cs="Arial"/>
              </w:rPr>
              <w:t>ho hodnocení zdravotního rizika</w:t>
            </w:r>
            <w:r w:rsidRPr="004372B5">
              <w:rPr>
                <w:rFonts w:ascii="Arial" w:hAnsi="Arial" w:cs="Arial"/>
              </w:rPr>
              <w:t xml:space="preserve"> provedené Státním zdravotním ústavem (SZÚ) v Praze byly pokrmy kontaminované EPEC vyhodnoceny dle čl. 14 nařízení (ES) </w:t>
            </w:r>
            <w:r w:rsidR="009542D4">
              <w:rPr>
                <w:rFonts w:ascii="Arial" w:hAnsi="Arial" w:cs="Arial"/>
              </w:rPr>
              <w:br/>
            </w:r>
            <w:r w:rsidRPr="004372B5">
              <w:rPr>
                <w:rFonts w:ascii="Arial" w:hAnsi="Arial" w:cs="Arial"/>
              </w:rPr>
              <w:t>č. 178/2002 jako potraviny škodlivé pro zdraví, neboť přítomnost EPEC v pokrmu (potravině určené k přímé spotřebě) bez tepelného ošetření představuje vysoké riziko vzniku onemocnění (vodnatý průjem, nauzea, zvracení, zvýšená teplota). Dospělí mohou být zdrojem EPEC pro děti (u dětí do 5 let může být průběh závažnější).</w:t>
            </w:r>
          </w:p>
          <w:p w14:paraId="6D91335D" w14:textId="44C362B8" w:rsidR="00A56A4D" w:rsidRPr="00AF75A2" w:rsidRDefault="00A56A4D" w:rsidP="00A56A4D">
            <w:pPr>
              <w:pStyle w:val="Odstavecseseznamem"/>
              <w:numPr>
                <w:ilvl w:val="0"/>
                <w:numId w:val="32"/>
              </w:numPr>
              <w:spacing w:after="0" w:line="240" w:lineRule="auto"/>
              <w:jc w:val="both"/>
              <w:rPr>
                <w:rFonts w:ascii="Arial" w:hAnsi="Arial" w:cs="Arial"/>
                <w:i/>
                <w:iCs/>
              </w:rPr>
            </w:pPr>
            <w:r w:rsidRPr="004372B5">
              <w:rPr>
                <w:rFonts w:ascii="Arial" w:hAnsi="Arial" w:cs="Arial"/>
                <w:iCs/>
              </w:rPr>
              <w:t xml:space="preserve">Podobně i </w:t>
            </w:r>
            <w:r w:rsidRPr="004372B5">
              <w:rPr>
                <w:rFonts w:ascii="Arial" w:hAnsi="Arial" w:cs="Arial"/>
                <w:i/>
                <w:iCs/>
              </w:rPr>
              <w:t>Yersinia enterocolitica</w:t>
            </w:r>
            <w:r w:rsidRPr="004372B5">
              <w:rPr>
                <w:rFonts w:ascii="Arial" w:hAnsi="Arial" w:cs="Arial"/>
              </w:rPr>
              <w:t xml:space="preserve"> a </w:t>
            </w:r>
            <w:r w:rsidRPr="004372B5">
              <w:rPr>
                <w:rFonts w:ascii="Arial" w:hAnsi="Arial" w:cs="Arial"/>
                <w:i/>
              </w:rPr>
              <w:t>Yersinia pseudotuberculosis</w:t>
            </w:r>
            <w:r w:rsidRPr="004372B5">
              <w:rPr>
                <w:rFonts w:ascii="Arial" w:hAnsi="Arial" w:cs="Arial"/>
              </w:rPr>
              <w:t xml:space="preserve">, které jsou nacházeny v </w:t>
            </w:r>
            <w:r w:rsidRPr="004372B5">
              <w:rPr>
                <w:rFonts w:ascii="Arial" w:hAnsi="Arial" w:cs="Arial"/>
                <w:color w:val="2F2F2F"/>
              </w:rPr>
              <w:t>syrových nebo nedostatečně tepelně opracovaných pokrmech</w:t>
            </w:r>
            <w:r w:rsidR="00336390">
              <w:rPr>
                <w:rFonts w:ascii="Arial" w:hAnsi="Arial" w:cs="Arial"/>
                <w:color w:val="2F2F2F"/>
              </w:rPr>
              <w:t>, jako</w:t>
            </w:r>
            <w:r w:rsidRPr="004372B5">
              <w:rPr>
                <w:rFonts w:ascii="Arial" w:hAnsi="Arial" w:cs="Arial"/>
                <w:color w:val="2F2F2F"/>
              </w:rPr>
              <w:t xml:space="preserve"> např. </w:t>
            </w:r>
            <w:r w:rsidRPr="004372B5">
              <w:rPr>
                <w:rFonts w:ascii="Arial" w:hAnsi="Arial" w:cs="Arial"/>
              </w:rPr>
              <w:t>zabijačkové speciality, ale i tatarské bifteky či zeleninové saláty. Mezi další mikroorganismy, které jsou v návrhu vyhlášk</w:t>
            </w:r>
            <w:r w:rsidR="00A07159">
              <w:rPr>
                <w:rFonts w:ascii="Arial" w:hAnsi="Arial" w:cs="Arial"/>
              </w:rPr>
              <w:t>y</w:t>
            </w:r>
            <w:r w:rsidRPr="004372B5">
              <w:rPr>
                <w:rFonts w:ascii="Arial" w:hAnsi="Arial" w:cs="Arial"/>
              </w:rPr>
              <w:t xml:space="preserve"> a nejsou uvedeny v nařízení (ES) č. 2073/2005</w:t>
            </w:r>
            <w:r w:rsidR="00D30569">
              <w:rPr>
                <w:rFonts w:ascii="Arial" w:hAnsi="Arial" w:cs="Arial"/>
              </w:rPr>
              <w:t>, ačkoliv mohou způsobovat zdravotní problémy,</w:t>
            </w:r>
            <w:r w:rsidRPr="004372B5">
              <w:rPr>
                <w:rFonts w:ascii="Arial" w:hAnsi="Arial" w:cs="Arial"/>
              </w:rPr>
              <w:t xml:space="preserve"> patří </w:t>
            </w:r>
            <w:r w:rsidRPr="004372B5">
              <w:rPr>
                <w:rFonts w:ascii="Arial" w:hAnsi="Arial" w:cs="Arial"/>
                <w:i/>
                <w:iCs/>
              </w:rPr>
              <w:t>Pseudomonas aeruginosa, Shigella</w:t>
            </w:r>
            <w:r w:rsidRPr="004372B5">
              <w:rPr>
                <w:rFonts w:ascii="Arial" w:hAnsi="Arial" w:cs="Arial"/>
              </w:rPr>
              <w:t xml:space="preserve"> spp. </w:t>
            </w:r>
            <w:r w:rsidR="00D30569">
              <w:rPr>
                <w:rFonts w:ascii="Arial" w:hAnsi="Arial" w:cs="Arial"/>
              </w:rPr>
              <w:t xml:space="preserve">(původce bakteriální úplavice) </w:t>
            </w:r>
            <w:r w:rsidRPr="004372B5">
              <w:rPr>
                <w:rFonts w:ascii="Arial" w:hAnsi="Arial" w:cs="Arial"/>
              </w:rPr>
              <w:t xml:space="preserve">a </w:t>
            </w:r>
            <w:r w:rsidRPr="004372B5">
              <w:rPr>
                <w:rFonts w:ascii="Arial" w:hAnsi="Arial" w:cs="Arial"/>
                <w:i/>
                <w:iCs/>
              </w:rPr>
              <w:t>Vibrio parahaemolyticus</w:t>
            </w:r>
            <w:r w:rsidR="00D30569">
              <w:rPr>
                <w:rFonts w:ascii="Arial" w:hAnsi="Arial" w:cs="Arial"/>
                <w:i/>
                <w:iCs/>
              </w:rPr>
              <w:t xml:space="preserve"> </w:t>
            </w:r>
            <w:r w:rsidR="00D30569" w:rsidRPr="00465ED5">
              <w:rPr>
                <w:rFonts w:ascii="Arial" w:hAnsi="Arial" w:cs="Arial"/>
                <w:iCs/>
              </w:rPr>
              <w:t>(nalézající se v pokrmech z tepelně neupraveného</w:t>
            </w:r>
            <w:r w:rsidR="00D30569">
              <w:rPr>
                <w:rFonts w:ascii="Arial" w:hAnsi="Arial" w:cs="Arial"/>
                <w:iCs/>
              </w:rPr>
              <w:t xml:space="preserve"> masa mořských živočichů, např. sushi)</w:t>
            </w:r>
            <w:r w:rsidR="00F03E10">
              <w:rPr>
                <w:rFonts w:ascii="Arial" w:hAnsi="Arial" w:cs="Arial"/>
                <w:iCs/>
              </w:rPr>
              <w:t>.</w:t>
            </w:r>
          </w:p>
          <w:p w14:paraId="766C721D" w14:textId="77777777" w:rsidR="00A56A4D" w:rsidRPr="00A71732" w:rsidRDefault="00A56A4D" w:rsidP="00A56A4D">
            <w:pPr>
              <w:jc w:val="both"/>
              <w:rPr>
                <w:i/>
                <w:iCs/>
                <w:sz w:val="22"/>
                <w:szCs w:val="22"/>
              </w:rPr>
            </w:pPr>
          </w:p>
          <w:p w14:paraId="3962C224" w14:textId="127B22C8" w:rsidR="00A56A4D" w:rsidRPr="00A71732" w:rsidRDefault="00A56A4D" w:rsidP="00A56A4D">
            <w:pPr>
              <w:jc w:val="both"/>
              <w:rPr>
                <w:sz w:val="22"/>
                <w:szCs w:val="22"/>
              </w:rPr>
            </w:pPr>
            <w:r w:rsidRPr="00A71732">
              <w:rPr>
                <w:iCs/>
                <w:sz w:val="22"/>
                <w:szCs w:val="22"/>
              </w:rPr>
              <w:t>Dále vyhláška (</w:t>
            </w:r>
            <w:r w:rsidR="003C1C7A" w:rsidRPr="00A71732">
              <w:rPr>
                <w:iCs/>
                <w:sz w:val="22"/>
                <w:szCs w:val="22"/>
              </w:rPr>
              <w:t>příloha II</w:t>
            </w:r>
            <w:r w:rsidR="003C1C7A">
              <w:rPr>
                <w:iCs/>
                <w:sz w:val="22"/>
                <w:szCs w:val="22"/>
              </w:rPr>
              <w:t>,</w:t>
            </w:r>
            <w:r w:rsidR="003C1C7A" w:rsidRPr="00A71732">
              <w:rPr>
                <w:iCs/>
                <w:sz w:val="22"/>
                <w:szCs w:val="22"/>
              </w:rPr>
              <w:t xml:space="preserve"> </w:t>
            </w:r>
            <w:r w:rsidR="009542D4">
              <w:rPr>
                <w:iCs/>
                <w:sz w:val="22"/>
                <w:szCs w:val="22"/>
              </w:rPr>
              <w:t>tabulka č.1</w:t>
            </w:r>
            <w:r w:rsidRPr="00A71732">
              <w:rPr>
                <w:iCs/>
                <w:sz w:val="22"/>
                <w:szCs w:val="22"/>
              </w:rPr>
              <w:t>)</w:t>
            </w:r>
            <w:r w:rsidR="009542D4">
              <w:rPr>
                <w:iCs/>
                <w:sz w:val="22"/>
                <w:szCs w:val="22"/>
              </w:rPr>
              <w:t xml:space="preserve"> </w:t>
            </w:r>
            <w:r w:rsidRPr="00A71732">
              <w:rPr>
                <w:iCs/>
                <w:sz w:val="22"/>
                <w:szCs w:val="22"/>
              </w:rPr>
              <w:t xml:space="preserve">zahrnuje mikroorganismy, které jsou </w:t>
            </w:r>
            <w:r>
              <w:rPr>
                <w:iCs/>
                <w:sz w:val="22"/>
                <w:szCs w:val="22"/>
              </w:rPr>
              <w:t xml:space="preserve">sice </w:t>
            </w:r>
            <w:r w:rsidRPr="00A71732">
              <w:rPr>
                <w:iCs/>
                <w:sz w:val="22"/>
                <w:szCs w:val="22"/>
              </w:rPr>
              <w:t xml:space="preserve">uvedeny v nařízení (ES) </w:t>
            </w:r>
            <w:r w:rsidR="009542D4">
              <w:rPr>
                <w:iCs/>
                <w:sz w:val="22"/>
                <w:szCs w:val="22"/>
              </w:rPr>
              <w:br/>
            </w:r>
            <w:r w:rsidR="00F03E10">
              <w:rPr>
                <w:iCs/>
                <w:sz w:val="22"/>
                <w:szCs w:val="22"/>
              </w:rPr>
              <w:t xml:space="preserve">č. </w:t>
            </w:r>
            <w:r w:rsidRPr="00A71732">
              <w:rPr>
                <w:iCs/>
                <w:sz w:val="22"/>
                <w:szCs w:val="22"/>
              </w:rPr>
              <w:t xml:space="preserve">2073/2005, ale pro jinou </w:t>
            </w:r>
            <w:r>
              <w:rPr>
                <w:iCs/>
                <w:sz w:val="22"/>
                <w:szCs w:val="22"/>
              </w:rPr>
              <w:t xml:space="preserve">komoditu </w:t>
            </w:r>
            <w:r w:rsidRPr="00A71732">
              <w:rPr>
                <w:iCs/>
                <w:sz w:val="22"/>
                <w:szCs w:val="22"/>
              </w:rPr>
              <w:t>než pro pokrmy (potraviny určené k přímé spotřebě)</w:t>
            </w:r>
            <w:r w:rsidR="00A07159">
              <w:rPr>
                <w:iCs/>
                <w:sz w:val="22"/>
                <w:szCs w:val="22"/>
              </w:rPr>
              <w:t xml:space="preserve"> a úprava nařízení (ES) </w:t>
            </w:r>
            <w:r w:rsidR="00EA20EB">
              <w:rPr>
                <w:iCs/>
                <w:sz w:val="22"/>
                <w:szCs w:val="22"/>
              </w:rPr>
              <w:t xml:space="preserve">č. </w:t>
            </w:r>
            <w:r w:rsidR="00A07159">
              <w:rPr>
                <w:iCs/>
                <w:sz w:val="22"/>
                <w:szCs w:val="22"/>
              </w:rPr>
              <w:t>2073/2005 je tak pro ně nepoužitelná</w:t>
            </w:r>
            <w:r w:rsidRPr="00A71732">
              <w:rPr>
                <w:iCs/>
                <w:sz w:val="22"/>
                <w:szCs w:val="22"/>
              </w:rPr>
              <w:t xml:space="preserve">, a to konkrétně: </w:t>
            </w:r>
          </w:p>
          <w:p w14:paraId="1CBE9F72" w14:textId="055D9DA8" w:rsidR="00A56A4D" w:rsidRPr="004372B5" w:rsidRDefault="00A56A4D" w:rsidP="00A56A4D">
            <w:pPr>
              <w:pStyle w:val="Odstavecseseznamem"/>
              <w:numPr>
                <w:ilvl w:val="0"/>
                <w:numId w:val="33"/>
              </w:numPr>
              <w:spacing w:after="0" w:line="240" w:lineRule="auto"/>
              <w:jc w:val="both"/>
              <w:rPr>
                <w:rFonts w:ascii="Arial" w:hAnsi="Arial" w:cs="Arial"/>
                <w:iCs/>
              </w:rPr>
            </w:pPr>
            <w:r w:rsidRPr="00A71732">
              <w:rPr>
                <w:rFonts w:ascii="Arial" w:hAnsi="Arial" w:cs="Arial"/>
                <w:i/>
                <w:iCs/>
              </w:rPr>
              <w:t xml:space="preserve">Bacillus cereus – </w:t>
            </w:r>
            <w:r w:rsidRPr="00A71732">
              <w:rPr>
                <w:rFonts w:ascii="Arial" w:hAnsi="Arial" w:cs="Arial"/>
                <w:iCs/>
              </w:rPr>
              <w:t xml:space="preserve">v nařízení 2073/2005 je stanoven limit jen pro </w:t>
            </w:r>
            <w:r w:rsidRPr="00AF75A2">
              <w:rPr>
                <w:rFonts w:ascii="Arial" w:hAnsi="Arial" w:cs="Arial"/>
                <w:iCs/>
              </w:rPr>
              <w:t xml:space="preserve">výrobu sušené počáteční kojenecké výživy, </w:t>
            </w:r>
            <w:r w:rsidRPr="004372B5">
              <w:rPr>
                <w:rFonts w:ascii="Arial" w:hAnsi="Arial" w:cs="Arial"/>
                <w:iCs/>
              </w:rPr>
              <w:t xml:space="preserve">nicméně jeho výskyt včetně toxinu </w:t>
            </w:r>
            <w:r w:rsidRPr="00AF75A2">
              <w:rPr>
                <w:rFonts w:ascii="Arial" w:hAnsi="Arial" w:cs="Arial"/>
                <w:i/>
                <w:iCs/>
              </w:rPr>
              <w:t>B.</w:t>
            </w:r>
            <w:r>
              <w:rPr>
                <w:rFonts w:ascii="Arial" w:hAnsi="Arial" w:cs="Arial"/>
                <w:i/>
                <w:iCs/>
              </w:rPr>
              <w:t> </w:t>
            </w:r>
            <w:r w:rsidRPr="00AF75A2">
              <w:rPr>
                <w:rFonts w:ascii="Arial" w:hAnsi="Arial" w:cs="Arial"/>
                <w:i/>
                <w:iCs/>
              </w:rPr>
              <w:t>cereus</w:t>
            </w:r>
            <w:r>
              <w:rPr>
                <w:rFonts w:ascii="Arial" w:hAnsi="Arial" w:cs="Arial"/>
                <w:iCs/>
              </w:rPr>
              <w:t xml:space="preserve"> </w:t>
            </w:r>
            <w:r w:rsidRPr="00AF75A2">
              <w:rPr>
                <w:rFonts w:ascii="Arial" w:hAnsi="Arial" w:cs="Arial"/>
                <w:iCs/>
              </w:rPr>
              <w:t xml:space="preserve">SZPI prokázala v pokrmech z vařené rýže. SZÚ Praha </w:t>
            </w:r>
            <w:r w:rsidRPr="004372B5">
              <w:rPr>
                <w:rFonts w:ascii="Arial" w:hAnsi="Arial" w:cs="Arial"/>
                <w:iCs/>
              </w:rPr>
              <w:t>provedl hodnocení rizika a pokrmy označil za nepřijatelné s vysokou mírou rizika ohrožení zdraví lidí.</w:t>
            </w:r>
          </w:p>
          <w:p w14:paraId="57F78D03" w14:textId="73E82564" w:rsidR="00A56A4D" w:rsidRPr="004372B5" w:rsidRDefault="00A56A4D" w:rsidP="00A56A4D">
            <w:pPr>
              <w:pStyle w:val="Odstavecseseznamem"/>
              <w:numPr>
                <w:ilvl w:val="0"/>
                <w:numId w:val="33"/>
              </w:numPr>
              <w:spacing w:after="0" w:line="240" w:lineRule="auto"/>
              <w:jc w:val="both"/>
              <w:rPr>
                <w:rFonts w:ascii="Arial" w:hAnsi="Arial" w:cs="Arial"/>
                <w:i/>
              </w:rPr>
            </w:pPr>
            <w:r w:rsidRPr="004372B5">
              <w:rPr>
                <w:rFonts w:ascii="Arial" w:hAnsi="Arial" w:cs="Arial"/>
                <w:i/>
              </w:rPr>
              <w:lastRenderedPageBreak/>
              <w:t xml:space="preserve">Campylobacter sp. – </w:t>
            </w:r>
            <w:r w:rsidRPr="004372B5">
              <w:rPr>
                <w:rFonts w:ascii="Arial" w:hAnsi="Arial" w:cs="Arial"/>
              </w:rPr>
              <w:t>v nařízení 2073/2005 je limit stanoven jen pro výrobu jatečně upravených těl brojlerů. Nicméně, SZPI detekovala kampylobaktery z tepelně upravených pokrmů např. pizza, kebab, döner, kam se dostavily pravděpodobně při křížové kontaminaci v zařízení společného stravování. SZÚ Praha tato zjištění v pokrmech určených k přímé spotřebě vyhodnotil jako vysoké riziko vzniku onemocnění u člověka a pokrmy označil za škodlivé pro zdraví.</w:t>
            </w:r>
          </w:p>
          <w:p w14:paraId="4EE9998F" w14:textId="74C4FAC3" w:rsidR="00A56A4D" w:rsidRPr="004372B5" w:rsidRDefault="00A56A4D" w:rsidP="00A56A4D">
            <w:pPr>
              <w:pStyle w:val="Odstavecseseznamem"/>
              <w:numPr>
                <w:ilvl w:val="0"/>
                <w:numId w:val="33"/>
              </w:numPr>
              <w:spacing w:after="0" w:line="240" w:lineRule="auto"/>
              <w:jc w:val="both"/>
              <w:rPr>
                <w:rFonts w:ascii="Arial" w:hAnsi="Arial" w:cs="Arial"/>
              </w:rPr>
            </w:pPr>
            <w:r w:rsidRPr="004372B5">
              <w:rPr>
                <w:rFonts w:ascii="Arial" w:hAnsi="Arial" w:cs="Arial"/>
              </w:rPr>
              <w:t>S</w:t>
            </w:r>
            <w:r w:rsidRPr="004372B5">
              <w:rPr>
                <w:rFonts w:ascii="Arial" w:hAnsi="Arial" w:cs="Arial"/>
                <w:color w:val="000000"/>
              </w:rPr>
              <w:t>higa toxin</w:t>
            </w:r>
            <w:r w:rsidRPr="004372B5">
              <w:rPr>
                <w:rFonts w:ascii="Arial" w:hAnsi="Arial" w:cs="Arial"/>
              </w:rPr>
              <w:t xml:space="preserve"> produkující </w:t>
            </w:r>
            <w:r w:rsidRPr="004372B5">
              <w:rPr>
                <w:rFonts w:ascii="Arial" w:hAnsi="Arial" w:cs="Arial"/>
                <w:i/>
                <w:iCs/>
              </w:rPr>
              <w:t xml:space="preserve">E. coli </w:t>
            </w:r>
            <w:r w:rsidRPr="004372B5">
              <w:rPr>
                <w:rFonts w:ascii="Arial" w:hAnsi="Arial" w:cs="Arial"/>
              </w:rPr>
              <w:t>(STEC) – limit v nařízení 2073/2005 je stanoven pouze pro komoditu klíčky, přestože je STEC pravidelně nacházena ve vzorcích pokrmů tatarských bifteků/carpaccio. SZÚ Praha vyhodnotil pokrmy kontaminované STEC jako škodlivé pro zdraví, neboť mohou být příčinnou váženého poškození ledvin (hemoragicko-uremický syndrom).</w:t>
            </w:r>
          </w:p>
          <w:p w14:paraId="72B4EB3F" w14:textId="77777777" w:rsidR="00A56A4D" w:rsidRPr="004372B5" w:rsidRDefault="00A56A4D" w:rsidP="00A56A4D">
            <w:pPr>
              <w:pStyle w:val="Odstavecseseznamem"/>
              <w:numPr>
                <w:ilvl w:val="0"/>
                <w:numId w:val="33"/>
              </w:numPr>
              <w:spacing w:after="0" w:line="240" w:lineRule="auto"/>
              <w:jc w:val="both"/>
              <w:rPr>
                <w:rFonts w:ascii="Arial" w:hAnsi="Arial" w:cs="Arial"/>
              </w:rPr>
            </w:pPr>
            <w:r w:rsidRPr="004372B5">
              <w:rPr>
                <w:rFonts w:ascii="Arial" w:hAnsi="Arial" w:cs="Arial"/>
                <w:i/>
                <w:iCs/>
              </w:rPr>
              <w:t>Salmonella</w:t>
            </w:r>
            <w:r w:rsidRPr="004372B5">
              <w:rPr>
                <w:rFonts w:ascii="Arial" w:hAnsi="Arial" w:cs="Arial"/>
              </w:rPr>
              <w:t xml:space="preserve"> spp. – limit v nařízení je stanoven jen pro masné výrobky především drůbežího původu, popř. pro vaječné výrobky (např. vaječná melanž). SZPI však v rámci dozorové činnosti zjišťuje salmonely v cukrářských výrobcích.</w:t>
            </w:r>
          </w:p>
          <w:p w14:paraId="21B1CA19" w14:textId="5D347008" w:rsidR="00A56A4D" w:rsidRPr="004372B5" w:rsidRDefault="00A56A4D" w:rsidP="00A56A4D">
            <w:pPr>
              <w:pStyle w:val="Odstavecseseznamem"/>
              <w:numPr>
                <w:ilvl w:val="0"/>
                <w:numId w:val="33"/>
              </w:numPr>
              <w:spacing w:after="0" w:line="240" w:lineRule="auto"/>
              <w:jc w:val="both"/>
              <w:rPr>
                <w:rFonts w:ascii="Arial" w:hAnsi="Arial" w:cs="Arial"/>
              </w:rPr>
            </w:pPr>
            <w:r w:rsidRPr="004372B5">
              <w:rPr>
                <w:rFonts w:ascii="Arial" w:hAnsi="Arial" w:cs="Arial"/>
              </w:rPr>
              <w:t>Koagulázopozitivní stafylokoky (</w:t>
            </w:r>
            <w:r w:rsidRPr="004372B5">
              <w:rPr>
                <w:rFonts w:ascii="Arial" w:hAnsi="Arial" w:cs="Arial"/>
                <w:i/>
                <w:iCs/>
              </w:rPr>
              <w:t>S.</w:t>
            </w:r>
            <w:r>
              <w:rPr>
                <w:rFonts w:ascii="Arial" w:hAnsi="Arial" w:cs="Arial"/>
                <w:i/>
                <w:iCs/>
              </w:rPr>
              <w:t> </w:t>
            </w:r>
            <w:r w:rsidRPr="00AF75A2">
              <w:rPr>
                <w:rFonts w:ascii="Arial" w:hAnsi="Arial" w:cs="Arial"/>
                <w:i/>
                <w:iCs/>
              </w:rPr>
              <w:t>aureus</w:t>
            </w:r>
            <w:r w:rsidRPr="00AF75A2">
              <w:rPr>
                <w:rFonts w:ascii="Arial" w:hAnsi="Arial" w:cs="Arial"/>
              </w:rPr>
              <w:t xml:space="preserve"> a další druhy) – limit v</w:t>
            </w:r>
            <w:r>
              <w:rPr>
                <w:rFonts w:ascii="Arial" w:hAnsi="Arial" w:cs="Arial"/>
              </w:rPr>
              <w:t> </w:t>
            </w:r>
            <w:r w:rsidRPr="00AF75A2">
              <w:rPr>
                <w:rFonts w:ascii="Arial" w:hAnsi="Arial" w:cs="Arial"/>
              </w:rPr>
              <w:t>nařízení</w:t>
            </w:r>
            <w:r>
              <w:rPr>
                <w:rFonts w:ascii="Arial" w:hAnsi="Arial" w:cs="Arial"/>
              </w:rPr>
              <w:t xml:space="preserve"> </w:t>
            </w:r>
            <w:r w:rsidR="00F03E10">
              <w:rPr>
                <w:rFonts w:ascii="Arial" w:hAnsi="Arial" w:cs="Arial"/>
              </w:rPr>
              <w:t xml:space="preserve">č. </w:t>
            </w:r>
            <w:r>
              <w:rPr>
                <w:rFonts w:ascii="Arial" w:hAnsi="Arial" w:cs="Arial"/>
              </w:rPr>
              <w:t>2073/2005</w:t>
            </w:r>
            <w:r w:rsidRPr="00AF75A2">
              <w:rPr>
                <w:rFonts w:ascii="Arial" w:hAnsi="Arial" w:cs="Arial"/>
              </w:rPr>
              <w:t xml:space="preserve"> je stanoven jen pro výrobu sušeného mléka, sušené syrovátky a výrobu sýrů. Nicméně výskyt </w:t>
            </w:r>
            <w:r w:rsidRPr="004372B5">
              <w:rPr>
                <w:rFonts w:ascii="Arial" w:hAnsi="Arial" w:cs="Arial"/>
                <w:i/>
              </w:rPr>
              <w:t xml:space="preserve">S. aureus </w:t>
            </w:r>
            <w:r w:rsidRPr="004372B5">
              <w:rPr>
                <w:rFonts w:ascii="Arial" w:hAnsi="Arial" w:cs="Arial"/>
              </w:rPr>
              <w:t>včetně jeho enterotoxinu je vázán i na cukrářské a lahůdkářské výrobky, kde je vysoký podíl ruční výroby (člověk může být zdrojem – hnisavé rány, bakteriální zánět spojivek apod.)</w:t>
            </w:r>
          </w:p>
          <w:p w14:paraId="3CA2DE73" w14:textId="77777777" w:rsidR="00A56A4D" w:rsidRPr="00A71732" w:rsidRDefault="00A56A4D" w:rsidP="00A56A4D">
            <w:pPr>
              <w:jc w:val="both"/>
              <w:rPr>
                <w:sz w:val="22"/>
                <w:szCs w:val="22"/>
              </w:rPr>
            </w:pPr>
          </w:p>
          <w:p w14:paraId="4F3CB28D" w14:textId="38670C10" w:rsidR="00A56A4D" w:rsidRPr="00A71732" w:rsidRDefault="00A56A4D" w:rsidP="00A56A4D">
            <w:pPr>
              <w:jc w:val="both"/>
              <w:rPr>
                <w:sz w:val="22"/>
                <w:szCs w:val="22"/>
                <w:u w:val="single"/>
              </w:rPr>
            </w:pPr>
            <w:r w:rsidRPr="00A71732">
              <w:rPr>
                <w:sz w:val="22"/>
                <w:szCs w:val="22"/>
                <w:u w:val="single"/>
              </w:rPr>
              <w:t xml:space="preserve">Podobná je i situace u toxických produktů mikroorganismů </w:t>
            </w:r>
            <w:r w:rsidRPr="00A71732">
              <w:rPr>
                <w:iCs/>
                <w:sz w:val="22"/>
                <w:szCs w:val="22"/>
              </w:rPr>
              <w:t>(příloha II</w:t>
            </w:r>
            <w:r w:rsidR="009542D4">
              <w:rPr>
                <w:iCs/>
                <w:sz w:val="22"/>
                <w:szCs w:val="22"/>
              </w:rPr>
              <w:t xml:space="preserve">, </w:t>
            </w:r>
            <w:r w:rsidR="009542D4" w:rsidRPr="00A71732">
              <w:rPr>
                <w:iCs/>
                <w:sz w:val="22"/>
                <w:szCs w:val="22"/>
              </w:rPr>
              <w:t>tabulka č. 3</w:t>
            </w:r>
            <w:r w:rsidRPr="00A71732">
              <w:rPr>
                <w:iCs/>
                <w:sz w:val="22"/>
                <w:szCs w:val="22"/>
              </w:rPr>
              <w:t>):</w:t>
            </w:r>
          </w:p>
          <w:p w14:paraId="669A9DB7" w14:textId="3A0AFC84" w:rsidR="00A56A4D" w:rsidRPr="00A71732" w:rsidRDefault="00A56A4D" w:rsidP="00A56A4D">
            <w:pPr>
              <w:jc w:val="both"/>
              <w:rPr>
                <w:sz w:val="22"/>
                <w:szCs w:val="22"/>
              </w:rPr>
            </w:pPr>
            <w:r w:rsidRPr="00A71732">
              <w:rPr>
                <w:sz w:val="22"/>
                <w:szCs w:val="22"/>
              </w:rPr>
              <w:t xml:space="preserve">Nad rámec nařízení </w:t>
            </w:r>
            <w:r w:rsidR="00F03E10">
              <w:rPr>
                <w:sz w:val="22"/>
                <w:szCs w:val="22"/>
              </w:rPr>
              <w:t xml:space="preserve">č. </w:t>
            </w:r>
            <w:r w:rsidRPr="00A71732">
              <w:rPr>
                <w:sz w:val="22"/>
                <w:szCs w:val="22"/>
              </w:rPr>
              <w:t xml:space="preserve">2073/2005 byly do návrhu vyhlášky zařazeny enterotoxiny </w:t>
            </w:r>
            <w:r w:rsidRPr="00A71732">
              <w:rPr>
                <w:i/>
                <w:sz w:val="22"/>
                <w:szCs w:val="22"/>
              </w:rPr>
              <w:t xml:space="preserve">B. cereus </w:t>
            </w:r>
            <w:r w:rsidRPr="00A71732">
              <w:rPr>
                <w:sz w:val="22"/>
                <w:szCs w:val="22"/>
              </w:rPr>
              <w:t xml:space="preserve">– jak již bylo uvedeno výše, SZPI prokázala tento bakteriální toxin v pokrmech z rýže, dále pak botulotoxin vyvolávající otravy z potravin, o jehož škodlivosti pro zdraví nelze pochybovat. V případě stafylokokových enterotoxinů je limit </w:t>
            </w:r>
            <w:r w:rsidR="00C247D0">
              <w:rPr>
                <w:sz w:val="22"/>
                <w:szCs w:val="22"/>
              </w:rPr>
              <w:t xml:space="preserve">stanoven pouze </w:t>
            </w:r>
            <w:r w:rsidRPr="00A71732">
              <w:rPr>
                <w:sz w:val="22"/>
                <w:szCs w:val="22"/>
              </w:rPr>
              <w:t xml:space="preserve">na </w:t>
            </w:r>
            <w:r w:rsidR="00C247D0">
              <w:rPr>
                <w:sz w:val="22"/>
                <w:szCs w:val="22"/>
              </w:rPr>
              <w:t xml:space="preserve">fázi </w:t>
            </w:r>
            <w:r w:rsidRPr="004F744E">
              <w:rPr>
                <w:sz w:val="22"/>
                <w:szCs w:val="22"/>
              </w:rPr>
              <w:t>výrob</w:t>
            </w:r>
            <w:r w:rsidR="00C247D0" w:rsidRPr="004F744E">
              <w:rPr>
                <w:sz w:val="22"/>
                <w:szCs w:val="22"/>
              </w:rPr>
              <w:t>y</w:t>
            </w:r>
            <w:r w:rsidRPr="004F744E">
              <w:rPr>
                <w:sz w:val="22"/>
                <w:szCs w:val="22"/>
              </w:rPr>
              <w:t xml:space="preserve"> sýrů, syrovátky</w:t>
            </w:r>
            <w:r w:rsidR="00C247D0">
              <w:rPr>
                <w:sz w:val="22"/>
                <w:szCs w:val="22"/>
              </w:rPr>
              <w:t>,</w:t>
            </w:r>
            <w:r w:rsidRPr="00A71732">
              <w:rPr>
                <w:sz w:val="22"/>
                <w:szCs w:val="22"/>
              </w:rPr>
              <w:t xml:space="preserve"> sušené</w:t>
            </w:r>
            <w:r w:rsidR="00C247D0">
              <w:rPr>
                <w:sz w:val="22"/>
                <w:szCs w:val="22"/>
              </w:rPr>
              <w:t>ho</w:t>
            </w:r>
            <w:r w:rsidRPr="00A71732">
              <w:rPr>
                <w:sz w:val="22"/>
                <w:szCs w:val="22"/>
              </w:rPr>
              <w:t xml:space="preserve"> mlék</w:t>
            </w:r>
            <w:r w:rsidR="00C247D0">
              <w:rPr>
                <w:sz w:val="22"/>
                <w:szCs w:val="22"/>
              </w:rPr>
              <w:t xml:space="preserve">a a fázi výroby </w:t>
            </w:r>
            <w:r w:rsidR="00C247D0">
              <w:rPr>
                <w:sz w:val="22"/>
                <w:szCs w:val="22"/>
              </w:rPr>
              <w:lastRenderedPageBreak/>
              <w:t>vybraných produktů rybolovu (</w:t>
            </w:r>
            <w:r w:rsidRPr="00A71732">
              <w:rPr>
                <w:sz w:val="22"/>
                <w:szCs w:val="22"/>
              </w:rPr>
              <w:t>krunýře</w:t>
            </w:r>
            <w:r w:rsidR="00C247D0">
              <w:rPr>
                <w:sz w:val="22"/>
                <w:szCs w:val="22"/>
              </w:rPr>
              <w:t>, výrobky z vařených korýšů a měkkýšů)</w:t>
            </w:r>
            <w:r>
              <w:rPr>
                <w:sz w:val="22"/>
                <w:szCs w:val="22"/>
              </w:rPr>
              <w:t>, nikoliv na přípravu a uvádění na trh pokrmů</w:t>
            </w:r>
            <w:r w:rsidRPr="00A71732">
              <w:rPr>
                <w:sz w:val="22"/>
                <w:szCs w:val="22"/>
              </w:rPr>
              <w:t xml:space="preserve">. </w:t>
            </w:r>
          </w:p>
          <w:p w14:paraId="54A17528" w14:textId="77777777" w:rsidR="00A56A4D" w:rsidRPr="00A71732" w:rsidRDefault="00A56A4D" w:rsidP="00A56A4D">
            <w:pPr>
              <w:jc w:val="both"/>
              <w:rPr>
                <w:sz w:val="22"/>
                <w:szCs w:val="22"/>
              </w:rPr>
            </w:pPr>
          </w:p>
          <w:p w14:paraId="51186D27" w14:textId="7D7DB325" w:rsidR="00A56A4D" w:rsidRPr="00A71732" w:rsidRDefault="00A56A4D" w:rsidP="00A56A4D">
            <w:pPr>
              <w:jc w:val="both"/>
              <w:rPr>
                <w:b/>
                <w:sz w:val="22"/>
                <w:szCs w:val="22"/>
              </w:rPr>
            </w:pPr>
            <w:r w:rsidRPr="00A71732">
              <w:rPr>
                <w:b/>
                <w:sz w:val="22"/>
                <w:szCs w:val="22"/>
              </w:rPr>
              <w:t xml:space="preserve">Z výše uvedených příkladů, vyplývá nutnost řešit zjištění patogenů </w:t>
            </w:r>
            <w:r>
              <w:rPr>
                <w:b/>
                <w:sz w:val="22"/>
                <w:szCs w:val="22"/>
              </w:rPr>
              <w:t xml:space="preserve">vč. jejich toxinů </w:t>
            </w:r>
            <w:r w:rsidRPr="00A71732">
              <w:rPr>
                <w:b/>
                <w:sz w:val="22"/>
                <w:szCs w:val="22"/>
              </w:rPr>
              <w:t xml:space="preserve">v pokrmech národní vyhláškou, neboť nařízení (ES) </w:t>
            </w:r>
            <w:r w:rsidR="00F03E10">
              <w:rPr>
                <w:b/>
                <w:sz w:val="22"/>
                <w:szCs w:val="22"/>
              </w:rPr>
              <w:t xml:space="preserve">č. </w:t>
            </w:r>
            <w:r w:rsidRPr="00A71732">
              <w:rPr>
                <w:b/>
                <w:sz w:val="22"/>
                <w:szCs w:val="22"/>
              </w:rPr>
              <w:t xml:space="preserve">2073/2005 </w:t>
            </w:r>
            <w:r>
              <w:rPr>
                <w:b/>
                <w:sz w:val="22"/>
                <w:szCs w:val="22"/>
              </w:rPr>
              <w:t xml:space="preserve">je </w:t>
            </w:r>
            <w:r w:rsidRPr="00A71732">
              <w:rPr>
                <w:b/>
                <w:sz w:val="22"/>
                <w:szCs w:val="22"/>
              </w:rPr>
              <w:t>buď vůbec nezohledňuje, nebo jen pro omezené portfolio komodit</w:t>
            </w:r>
            <w:r w:rsidR="00463188">
              <w:rPr>
                <w:b/>
                <w:sz w:val="22"/>
                <w:szCs w:val="22"/>
              </w:rPr>
              <w:t xml:space="preserve">, přičemž nezbytnost provést hodnocení rizika ze strany SZÚ v každém </w:t>
            </w:r>
            <w:r w:rsidR="00463188" w:rsidRPr="004F744E">
              <w:rPr>
                <w:b/>
                <w:sz w:val="22"/>
                <w:szCs w:val="22"/>
              </w:rPr>
              <w:t>jednotl</w:t>
            </w:r>
            <w:r w:rsidR="00B53C11" w:rsidRPr="004F744E">
              <w:rPr>
                <w:b/>
                <w:sz w:val="22"/>
                <w:szCs w:val="22"/>
              </w:rPr>
              <w:t>ivém případě snižuje rychlost, s níž je možné uložit opatření k</w:t>
            </w:r>
            <w:r w:rsidR="00E8625F" w:rsidRPr="004F744E">
              <w:rPr>
                <w:b/>
                <w:sz w:val="22"/>
                <w:szCs w:val="22"/>
              </w:rPr>
              <w:t> </w:t>
            </w:r>
            <w:r w:rsidR="00B53C11" w:rsidRPr="004F744E">
              <w:rPr>
                <w:b/>
                <w:sz w:val="22"/>
                <w:szCs w:val="22"/>
              </w:rPr>
              <w:t>nápravě</w:t>
            </w:r>
            <w:r w:rsidR="00E8625F" w:rsidRPr="004F744E">
              <w:rPr>
                <w:b/>
                <w:sz w:val="22"/>
                <w:szCs w:val="22"/>
              </w:rPr>
              <w:t>.</w:t>
            </w:r>
            <w:r w:rsidR="00A07159">
              <w:rPr>
                <w:b/>
                <w:sz w:val="22"/>
                <w:szCs w:val="22"/>
              </w:rPr>
              <w:t xml:space="preserve"> </w:t>
            </w:r>
          </w:p>
          <w:p w14:paraId="3120410B" w14:textId="77777777" w:rsidR="00A56A4D" w:rsidRPr="00A71732" w:rsidRDefault="00A56A4D" w:rsidP="00A56A4D">
            <w:pPr>
              <w:jc w:val="both"/>
              <w:rPr>
                <w:sz w:val="22"/>
                <w:szCs w:val="22"/>
              </w:rPr>
            </w:pPr>
          </w:p>
          <w:p w14:paraId="3D6C0E99" w14:textId="26180AD9" w:rsidR="00A56A4D" w:rsidRPr="00A71732" w:rsidRDefault="00A56A4D" w:rsidP="00A56A4D">
            <w:pPr>
              <w:jc w:val="both"/>
              <w:rPr>
                <w:sz w:val="22"/>
                <w:szCs w:val="22"/>
              </w:rPr>
            </w:pPr>
            <w:r w:rsidRPr="00A71732">
              <w:rPr>
                <w:sz w:val="22"/>
                <w:szCs w:val="22"/>
              </w:rPr>
              <w:t>Podobná situace platí i pro i</w:t>
            </w:r>
            <w:r w:rsidRPr="00A71732">
              <w:rPr>
                <w:color w:val="000000"/>
                <w:sz w:val="22"/>
                <w:szCs w:val="22"/>
                <w:u w:val="single"/>
              </w:rPr>
              <w:t>ndikátorové mikroorganismy (</w:t>
            </w:r>
            <w:r w:rsidR="003C1C7A">
              <w:rPr>
                <w:sz w:val="22"/>
                <w:szCs w:val="22"/>
              </w:rPr>
              <w:t>příloha</w:t>
            </w:r>
            <w:r w:rsidR="003C1C7A" w:rsidRPr="00A71732">
              <w:rPr>
                <w:sz w:val="22"/>
                <w:szCs w:val="22"/>
              </w:rPr>
              <w:t xml:space="preserve"> II</w:t>
            </w:r>
            <w:r w:rsidR="003C1C7A">
              <w:rPr>
                <w:sz w:val="22"/>
                <w:szCs w:val="22"/>
              </w:rPr>
              <w:t>,</w:t>
            </w:r>
            <w:r w:rsidR="003C1C7A" w:rsidRPr="00A71732">
              <w:rPr>
                <w:sz w:val="22"/>
                <w:szCs w:val="22"/>
              </w:rPr>
              <w:t xml:space="preserve"> </w:t>
            </w:r>
            <w:r w:rsidRPr="00A71732">
              <w:rPr>
                <w:sz w:val="22"/>
                <w:szCs w:val="22"/>
              </w:rPr>
              <w:t>tabulka č. 2):</w:t>
            </w:r>
          </w:p>
          <w:p w14:paraId="7578E7FC" w14:textId="22237B8F" w:rsidR="00A56A4D" w:rsidRPr="00A71732" w:rsidRDefault="00A07159" w:rsidP="00A56A4D">
            <w:pPr>
              <w:jc w:val="both"/>
              <w:rPr>
                <w:color w:val="000000"/>
                <w:sz w:val="22"/>
                <w:szCs w:val="22"/>
              </w:rPr>
            </w:pPr>
            <w:r>
              <w:rPr>
                <w:sz w:val="22"/>
                <w:szCs w:val="22"/>
              </w:rPr>
              <w:t>N</w:t>
            </w:r>
            <w:r w:rsidR="00A56A4D" w:rsidRPr="00A71732">
              <w:rPr>
                <w:sz w:val="22"/>
                <w:szCs w:val="22"/>
              </w:rPr>
              <w:t>ad rámec nařízení (ES)</w:t>
            </w:r>
            <w:r w:rsidR="003C1C7A">
              <w:rPr>
                <w:sz w:val="22"/>
                <w:szCs w:val="22"/>
              </w:rPr>
              <w:t xml:space="preserve"> č.</w:t>
            </w:r>
            <w:r w:rsidR="00A56A4D" w:rsidRPr="00A71732">
              <w:rPr>
                <w:sz w:val="22"/>
                <w:szCs w:val="22"/>
              </w:rPr>
              <w:t xml:space="preserve"> 2073/2005</w:t>
            </w:r>
            <w:r>
              <w:rPr>
                <w:sz w:val="22"/>
                <w:szCs w:val="22"/>
              </w:rPr>
              <w:t xml:space="preserve"> byly</w:t>
            </w:r>
            <w:r w:rsidR="00A56A4D" w:rsidRPr="00A71732">
              <w:rPr>
                <w:sz w:val="22"/>
                <w:szCs w:val="22"/>
              </w:rPr>
              <w:t xml:space="preserve"> </w:t>
            </w:r>
            <w:r w:rsidR="00A56A4D" w:rsidRPr="00A71732">
              <w:rPr>
                <w:color w:val="000000"/>
                <w:sz w:val="22"/>
                <w:szCs w:val="22"/>
              </w:rPr>
              <w:t>do návrhu vyhlášky přidány koliformní bakterie, protože o</w:t>
            </w:r>
            <w:r w:rsidR="00A56A4D" w:rsidRPr="00A71732">
              <w:rPr>
                <w:sz w:val="22"/>
                <w:szCs w:val="22"/>
              </w:rPr>
              <w:t>bsah koliformních bakterií v potravinách je indikátorem správně provedených technologických postupů při opracování, zpracovávání, skladování a sanitaci nástrojů, zařízení a ploch používaných při těchto technologických postupech.</w:t>
            </w:r>
          </w:p>
          <w:p w14:paraId="3A6897AC" w14:textId="0B68E907" w:rsidR="00A56A4D" w:rsidRPr="00A71732" w:rsidRDefault="00A56A4D" w:rsidP="00A56A4D">
            <w:pPr>
              <w:jc w:val="both"/>
              <w:rPr>
                <w:color w:val="000000"/>
                <w:sz w:val="22"/>
                <w:szCs w:val="22"/>
              </w:rPr>
            </w:pPr>
            <w:r w:rsidRPr="00A71732">
              <w:rPr>
                <w:color w:val="000000"/>
                <w:sz w:val="22"/>
                <w:szCs w:val="22"/>
              </w:rPr>
              <w:t xml:space="preserve">Pro aerobní mikroorganismy (celkový počet mikroorganismů = CPM) je limit v nařízení </w:t>
            </w:r>
            <w:r w:rsidR="00A07159">
              <w:rPr>
                <w:color w:val="000000"/>
                <w:sz w:val="22"/>
                <w:szCs w:val="22"/>
              </w:rPr>
              <w:t>(ES)</w:t>
            </w:r>
            <w:r w:rsidR="00F03E10">
              <w:rPr>
                <w:color w:val="000000"/>
                <w:sz w:val="22"/>
                <w:szCs w:val="22"/>
              </w:rPr>
              <w:t xml:space="preserve"> </w:t>
            </w:r>
            <w:r w:rsidR="003C1C7A">
              <w:rPr>
                <w:color w:val="000000"/>
                <w:sz w:val="22"/>
                <w:szCs w:val="22"/>
              </w:rPr>
              <w:t>č.</w:t>
            </w:r>
            <w:r w:rsidR="00A07159">
              <w:rPr>
                <w:color w:val="000000"/>
                <w:sz w:val="22"/>
                <w:szCs w:val="22"/>
              </w:rPr>
              <w:t xml:space="preserve"> </w:t>
            </w:r>
            <w:r w:rsidRPr="00A71732">
              <w:rPr>
                <w:color w:val="000000"/>
                <w:sz w:val="22"/>
                <w:szCs w:val="22"/>
              </w:rPr>
              <w:t xml:space="preserve">2073/2005 uveden pouze pro jatka (jatečně upravená těla hospodářských zvířat), nikoliv pro další typy výrob včetně výroby pokrmů. </w:t>
            </w:r>
            <w:r w:rsidRPr="00A71732">
              <w:rPr>
                <w:sz w:val="22"/>
                <w:szCs w:val="22"/>
              </w:rPr>
              <w:t>CPM v různých potravinách určených k přímé spotřebě mohou být využity jako součást obecného hodnocení kvality.</w:t>
            </w:r>
          </w:p>
          <w:p w14:paraId="598F7554" w14:textId="4DC2E3DF" w:rsidR="00A56A4D" w:rsidRPr="00A71732" w:rsidRDefault="00A56A4D" w:rsidP="00A56A4D">
            <w:pPr>
              <w:jc w:val="both"/>
              <w:rPr>
                <w:color w:val="000000"/>
                <w:sz w:val="22"/>
                <w:szCs w:val="22"/>
              </w:rPr>
            </w:pPr>
            <w:r w:rsidRPr="00A71732">
              <w:rPr>
                <w:color w:val="000000"/>
                <w:sz w:val="22"/>
                <w:szCs w:val="22"/>
              </w:rPr>
              <w:t xml:space="preserve">Podobně i pro </w:t>
            </w:r>
            <w:r w:rsidRPr="00A71732">
              <w:rPr>
                <w:i/>
                <w:color w:val="000000"/>
                <w:sz w:val="22"/>
                <w:szCs w:val="22"/>
              </w:rPr>
              <w:t>Escherichia coli</w:t>
            </w:r>
            <w:r w:rsidRPr="00A71732">
              <w:rPr>
                <w:color w:val="000000"/>
                <w:sz w:val="22"/>
                <w:szCs w:val="22"/>
              </w:rPr>
              <w:t xml:space="preserve"> je limit v nařízení </w:t>
            </w:r>
            <w:r w:rsidR="003C1C7A">
              <w:rPr>
                <w:color w:val="000000"/>
                <w:sz w:val="22"/>
                <w:szCs w:val="22"/>
              </w:rPr>
              <w:t xml:space="preserve">č. </w:t>
            </w:r>
            <w:r>
              <w:rPr>
                <w:color w:val="000000"/>
                <w:sz w:val="22"/>
                <w:szCs w:val="22"/>
              </w:rPr>
              <w:t xml:space="preserve">2073/2005 </w:t>
            </w:r>
            <w:r w:rsidRPr="00A71732">
              <w:rPr>
                <w:color w:val="000000"/>
                <w:sz w:val="22"/>
                <w:szCs w:val="22"/>
              </w:rPr>
              <w:t xml:space="preserve">stanoven, ale jen pro výrobu některých komodit (mletá masa, </w:t>
            </w:r>
            <w:r w:rsidRPr="004F744E">
              <w:rPr>
                <w:color w:val="000000"/>
                <w:sz w:val="22"/>
                <w:szCs w:val="22"/>
              </w:rPr>
              <w:t>st</w:t>
            </w:r>
            <w:r w:rsidR="003B1075" w:rsidRPr="004F744E">
              <w:rPr>
                <w:color w:val="000000"/>
                <w:sz w:val="22"/>
                <w:szCs w:val="22"/>
              </w:rPr>
              <w:t>rojně</w:t>
            </w:r>
            <w:r w:rsidRPr="00A71732">
              <w:rPr>
                <w:color w:val="000000"/>
                <w:sz w:val="22"/>
                <w:szCs w:val="22"/>
              </w:rPr>
              <w:t xml:space="preserve"> oddělená masa, masné polotovary, sýry, máslo, smetana, krunýře a lastury, předkrájené ovoce a zelenina, nepasterované šťávy), nikoliv však pro výrobu pokrmů tj. potravin určených k přímé spotřebě. </w:t>
            </w:r>
            <w:r w:rsidRPr="00A71732">
              <w:rPr>
                <w:color w:val="000000"/>
                <w:sz w:val="22"/>
                <w:szCs w:val="22"/>
                <w:lang w:eastAsia="en-GB"/>
              </w:rPr>
              <w:t xml:space="preserve">Zjištění </w:t>
            </w:r>
            <w:r w:rsidRPr="00A71732">
              <w:rPr>
                <w:i/>
                <w:color w:val="000000"/>
                <w:sz w:val="22"/>
                <w:szCs w:val="22"/>
                <w:lang w:eastAsia="en-GB"/>
              </w:rPr>
              <w:t>E. coli</w:t>
            </w:r>
            <w:r w:rsidRPr="00A71732">
              <w:rPr>
                <w:color w:val="000000"/>
                <w:sz w:val="22"/>
                <w:szCs w:val="22"/>
                <w:lang w:eastAsia="en-GB"/>
              </w:rPr>
              <w:t xml:space="preserve"> může </w:t>
            </w:r>
            <w:r>
              <w:rPr>
                <w:color w:val="000000"/>
                <w:sz w:val="22"/>
                <w:szCs w:val="22"/>
                <w:lang w:eastAsia="en-GB"/>
              </w:rPr>
              <w:t>před</w:t>
            </w:r>
            <w:r w:rsidRPr="00A71732">
              <w:rPr>
                <w:color w:val="000000"/>
                <w:sz w:val="22"/>
                <w:szCs w:val="22"/>
                <w:lang w:eastAsia="en-GB"/>
              </w:rPr>
              <w:t xml:space="preserve">znamenat riziko, že jsou ve výrobě přítomny </w:t>
            </w:r>
            <w:r>
              <w:rPr>
                <w:color w:val="000000"/>
                <w:sz w:val="22"/>
                <w:szCs w:val="22"/>
                <w:lang w:eastAsia="en-GB"/>
              </w:rPr>
              <w:t xml:space="preserve">patogeny </w:t>
            </w:r>
            <w:r w:rsidRPr="00A71732">
              <w:rPr>
                <w:color w:val="000000"/>
                <w:sz w:val="22"/>
                <w:szCs w:val="22"/>
                <w:lang w:eastAsia="en-GB"/>
              </w:rPr>
              <w:t>fekální</w:t>
            </w:r>
            <w:r>
              <w:rPr>
                <w:color w:val="000000"/>
                <w:sz w:val="22"/>
                <w:szCs w:val="22"/>
                <w:lang w:eastAsia="en-GB"/>
              </w:rPr>
              <w:t>ho znečištění</w:t>
            </w:r>
            <w:r w:rsidRPr="00A71732">
              <w:rPr>
                <w:color w:val="000000"/>
                <w:sz w:val="22"/>
                <w:szCs w:val="22"/>
                <w:lang w:eastAsia="en-GB"/>
              </w:rPr>
              <w:t>.</w:t>
            </w:r>
          </w:p>
          <w:p w14:paraId="6F94FB2B" w14:textId="77777777" w:rsidR="00A56A4D" w:rsidRPr="00A71732" w:rsidRDefault="00A56A4D" w:rsidP="00A56A4D">
            <w:pPr>
              <w:jc w:val="both"/>
              <w:rPr>
                <w:color w:val="000000"/>
                <w:sz w:val="22"/>
                <w:szCs w:val="22"/>
                <w:u w:val="single"/>
              </w:rPr>
            </w:pPr>
          </w:p>
          <w:p w14:paraId="181ECEAB" w14:textId="6E1BB96B" w:rsidR="00E74244" w:rsidRPr="00911746" w:rsidRDefault="00A56A4D" w:rsidP="005116D5">
            <w:pPr>
              <w:jc w:val="both"/>
              <w:rPr>
                <w:sz w:val="22"/>
                <w:szCs w:val="22"/>
              </w:rPr>
            </w:pPr>
            <w:r w:rsidRPr="00A71732">
              <w:rPr>
                <w:sz w:val="22"/>
                <w:szCs w:val="22"/>
                <w:u w:val="single"/>
              </w:rPr>
              <w:t>V případě stěrů</w:t>
            </w:r>
            <w:r w:rsidRPr="00F03E10">
              <w:rPr>
                <w:sz w:val="22"/>
                <w:szCs w:val="22"/>
              </w:rPr>
              <w:t xml:space="preserve"> byly</w:t>
            </w:r>
            <w:r w:rsidRPr="00A71732">
              <w:rPr>
                <w:sz w:val="22"/>
                <w:szCs w:val="22"/>
              </w:rPr>
              <w:t xml:space="preserve"> nad rámec nařízení </w:t>
            </w:r>
            <w:r w:rsidR="00F03E10">
              <w:rPr>
                <w:sz w:val="22"/>
                <w:szCs w:val="22"/>
              </w:rPr>
              <w:t xml:space="preserve">č. </w:t>
            </w:r>
            <w:r w:rsidRPr="00A71732">
              <w:rPr>
                <w:sz w:val="22"/>
                <w:szCs w:val="22"/>
              </w:rPr>
              <w:t>2073/2005 navrženy do vyhlášky limity pro a</w:t>
            </w:r>
            <w:r w:rsidRPr="00A71732">
              <w:rPr>
                <w:color w:val="000000"/>
                <w:sz w:val="22"/>
                <w:szCs w:val="22"/>
              </w:rPr>
              <w:t xml:space="preserve">erobní mezofilní mikroorganismy (celkový počet mikroorganismů) a také pro </w:t>
            </w:r>
            <w:r w:rsidRPr="00A71732">
              <w:rPr>
                <w:i/>
                <w:color w:val="000000"/>
                <w:sz w:val="22"/>
                <w:szCs w:val="22"/>
              </w:rPr>
              <w:t>Salmonella</w:t>
            </w:r>
            <w:r w:rsidRPr="00A71732">
              <w:rPr>
                <w:color w:val="000000"/>
                <w:sz w:val="22"/>
                <w:szCs w:val="22"/>
              </w:rPr>
              <w:t xml:space="preserve"> spp. </w:t>
            </w:r>
            <w:r w:rsidRPr="00A71732">
              <w:rPr>
                <w:sz w:val="22"/>
                <w:szCs w:val="22"/>
              </w:rPr>
              <w:t xml:space="preserve">Po skončení sanitace a dezinfekce lze jejich účinnost sledovat pomocí stěrů a kritéria pro CPM. V průběhu </w:t>
            </w:r>
            <w:r w:rsidRPr="00A71732">
              <w:rPr>
                <w:sz w:val="22"/>
                <w:szCs w:val="22"/>
              </w:rPr>
              <w:lastRenderedPageBreak/>
              <w:t xml:space="preserve">výroby pokrmů lze pak v „čistých částech“ provozů, kde se manipuluje s potravinami k přímé spotřebě (hotovými pokrmy), sledovat pomocí stěrů přítomnost salmonel a </w:t>
            </w:r>
            <w:r w:rsidRPr="00A71732">
              <w:rPr>
                <w:i/>
                <w:sz w:val="22"/>
                <w:szCs w:val="22"/>
              </w:rPr>
              <w:t xml:space="preserve">Listeria monocytogenes </w:t>
            </w:r>
            <w:r w:rsidRPr="00A71732">
              <w:rPr>
                <w:sz w:val="22"/>
                <w:szCs w:val="22"/>
              </w:rPr>
              <w:t xml:space="preserve">(požadavek sledovat </w:t>
            </w:r>
            <w:r w:rsidRPr="00A71732">
              <w:rPr>
                <w:i/>
                <w:sz w:val="22"/>
                <w:szCs w:val="22"/>
              </w:rPr>
              <w:t>L. monocytogenes</w:t>
            </w:r>
            <w:r w:rsidRPr="00A71732">
              <w:rPr>
                <w:sz w:val="22"/>
                <w:szCs w:val="22"/>
              </w:rPr>
              <w:t xml:space="preserve"> je stanoven v</w:t>
            </w:r>
            <w:r w:rsidR="003B1075">
              <w:rPr>
                <w:sz w:val="22"/>
                <w:szCs w:val="22"/>
              </w:rPr>
              <w:t> </w:t>
            </w:r>
            <w:r w:rsidRPr="00A71732">
              <w:rPr>
                <w:sz w:val="22"/>
                <w:szCs w:val="22"/>
              </w:rPr>
              <w:t>nařízení</w:t>
            </w:r>
            <w:r w:rsidR="003B1075">
              <w:rPr>
                <w:sz w:val="22"/>
                <w:szCs w:val="22"/>
              </w:rPr>
              <w:t xml:space="preserve"> (ES)</w:t>
            </w:r>
            <w:r w:rsidRPr="00A71732">
              <w:rPr>
                <w:sz w:val="22"/>
                <w:szCs w:val="22"/>
              </w:rPr>
              <w:t xml:space="preserve"> č. 2073/2005, proto nebyl zahrnut do návrhu vyhlášky)</w:t>
            </w:r>
            <w:r w:rsidRPr="00A71732">
              <w:rPr>
                <w:i/>
                <w:sz w:val="22"/>
                <w:szCs w:val="22"/>
              </w:rPr>
              <w:t>.</w:t>
            </w:r>
          </w:p>
          <w:p w14:paraId="2DB4F227" w14:textId="63C9D35C" w:rsidR="00BA27AB" w:rsidRPr="00B561D1" w:rsidRDefault="00BA27AB" w:rsidP="00CE4E5D">
            <w:pPr>
              <w:jc w:val="both"/>
              <w:rPr>
                <w:sz w:val="22"/>
                <w:szCs w:val="22"/>
              </w:rPr>
            </w:pPr>
          </w:p>
        </w:tc>
      </w:tr>
      <w:tr w:rsidR="003E57D4" w:rsidRPr="006E08DC" w14:paraId="16B26D69" w14:textId="77777777" w:rsidTr="003E57D4">
        <w:trPr>
          <w:cantSplit/>
          <w:trHeight w:val="1220"/>
        </w:trPr>
        <w:tc>
          <w:tcPr>
            <w:tcW w:w="2309" w:type="dxa"/>
            <w:tcBorders>
              <w:top w:val="single" w:sz="4" w:space="0" w:color="auto"/>
              <w:left w:val="single" w:sz="4" w:space="0" w:color="auto"/>
              <w:right w:val="single" w:sz="4" w:space="0" w:color="auto"/>
            </w:tcBorders>
          </w:tcPr>
          <w:p w14:paraId="3BEC2DD6" w14:textId="5D69AB3C" w:rsidR="003E57D4" w:rsidRPr="00FF5880" w:rsidRDefault="003E57D4" w:rsidP="006E08DC">
            <w:pPr>
              <w:contextualSpacing/>
              <w:rPr>
                <w:sz w:val="22"/>
                <w:szCs w:val="22"/>
              </w:rPr>
            </w:pPr>
          </w:p>
          <w:p w14:paraId="6EA72E66" w14:textId="77777777" w:rsidR="003E57D4" w:rsidRPr="00FF5880" w:rsidRDefault="003E57D4" w:rsidP="006E08DC">
            <w:pPr>
              <w:contextualSpacing/>
              <w:rPr>
                <w:sz w:val="22"/>
                <w:szCs w:val="22"/>
              </w:rPr>
            </w:pPr>
            <w:r w:rsidRPr="00FF5880">
              <w:rPr>
                <w:sz w:val="22"/>
                <w:szCs w:val="22"/>
              </w:rPr>
              <w:t>Ministerstvo vnitra</w:t>
            </w:r>
          </w:p>
          <w:p w14:paraId="1EAC0015" w14:textId="77777777" w:rsidR="003E57D4" w:rsidRPr="00FF5880" w:rsidRDefault="003E57D4"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478BF760" w14:textId="77777777" w:rsidR="00862CCB" w:rsidRPr="00862CCB" w:rsidRDefault="00862CCB" w:rsidP="00862CCB">
            <w:pPr>
              <w:pStyle w:val="Zkladntext"/>
              <w:ind w:left="34"/>
              <w:contextualSpacing/>
              <w:rPr>
                <w:sz w:val="22"/>
                <w:szCs w:val="22"/>
              </w:rPr>
            </w:pPr>
            <w:r w:rsidRPr="00862CCB">
              <w:rPr>
                <w:sz w:val="22"/>
                <w:szCs w:val="22"/>
              </w:rPr>
              <w:t>Zásadní připomínka:</w:t>
            </w:r>
          </w:p>
          <w:p w14:paraId="5F9DFE3B" w14:textId="77777777" w:rsidR="00862CCB" w:rsidRPr="00862CCB" w:rsidRDefault="00862CCB" w:rsidP="00862CCB">
            <w:pPr>
              <w:pStyle w:val="Zkladntext"/>
              <w:ind w:left="34"/>
              <w:contextualSpacing/>
              <w:rPr>
                <w:sz w:val="22"/>
                <w:szCs w:val="22"/>
              </w:rPr>
            </w:pPr>
          </w:p>
          <w:p w14:paraId="4B2F0DE7" w14:textId="77777777" w:rsidR="00862CCB" w:rsidRPr="00862CCB" w:rsidRDefault="00862CCB" w:rsidP="00862CCB">
            <w:pPr>
              <w:pStyle w:val="Zkladntext"/>
              <w:ind w:left="34"/>
              <w:contextualSpacing/>
              <w:rPr>
                <w:sz w:val="22"/>
                <w:szCs w:val="22"/>
              </w:rPr>
            </w:pPr>
            <w:r w:rsidRPr="00862CCB">
              <w:rPr>
                <w:sz w:val="22"/>
                <w:szCs w:val="22"/>
              </w:rPr>
              <w:t>K návrhu – obecně:</w:t>
            </w:r>
          </w:p>
          <w:p w14:paraId="6735230B" w14:textId="77777777" w:rsidR="00862CCB" w:rsidRPr="00862CCB" w:rsidRDefault="00862CCB" w:rsidP="00862CCB">
            <w:pPr>
              <w:pStyle w:val="Zkladntext"/>
              <w:ind w:left="34"/>
              <w:contextualSpacing/>
              <w:rPr>
                <w:sz w:val="22"/>
                <w:szCs w:val="22"/>
              </w:rPr>
            </w:pPr>
            <w:r w:rsidRPr="00862CCB">
              <w:rPr>
                <w:sz w:val="22"/>
                <w:szCs w:val="22"/>
              </w:rPr>
              <w:tab/>
              <w:t>Návrhem dle jeho úvodní věty dochází k provedení zákonného zmocnění obsaženého v § 18 odst. 1 písm. t) zákona o potravinách a tabákových výrobcích, nicméně v předloženém znění není dotčené ustanovení prováděno v plném rozsahu</w:t>
            </w:r>
            <w:r w:rsidRPr="00AF287D">
              <w:rPr>
                <w:sz w:val="22"/>
                <w:szCs w:val="22"/>
              </w:rPr>
              <w:t>. Absentuje například stanovení požadavků na to, jakým způsobem mají být poskytovány informace o pokrmech, chybí podmínky pro uchování a manipulaci s pokrmy či požadavky na označování pokrmů ve fázi jejich výroby, přípravy nebo uvádění na trh před jejich nabízením spotřebiteli. Požadujeme</w:t>
            </w:r>
            <w:r w:rsidRPr="00862CCB">
              <w:rPr>
                <w:sz w:val="22"/>
                <w:szCs w:val="22"/>
              </w:rPr>
              <w:t xml:space="preserve"> proto návrh přehodnotit a rozšířit i o výše uvedené oblasti, neboť se domníváme, že požadavky stanovené například vyhláškou č. 137/2004 Sb., o hygienických požadavcích na stravovací služby a o zásadách osobní a provozní hygieny při činnostech epidemiologicky závažných, nelze považovat v tomto kontextu za dostatečné.</w:t>
            </w:r>
          </w:p>
          <w:p w14:paraId="7C8E4BD0" w14:textId="77777777" w:rsidR="00AE2778" w:rsidRPr="00862CCB" w:rsidRDefault="00862CCB" w:rsidP="00862CCB">
            <w:pPr>
              <w:pStyle w:val="Zkladntext"/>
              <w:ind w:left="34"/>
              <w:contextualSpacing/>
              <w:rPr>
                <w:sz w:val="22"/>
                <w:szCs w:val="22"/>
              </w:rPr>
            </w:pPr>
            <w:r w:rsidRPr="00862CCB">
              <w:rPr>
                <w:sz w:val="22"/>
                <w:szCs w:val="22"/>
              </w:rPr>
              <w:t>Tuto připomínku považuje ministerstvo za zásadní.</w:t>
            </w:r>
          </w:p>
          <w:p w14:paraId="79FF5D33" w14:textId="77777777" w:rsidR="00862CCB" w:rsidRPr="00FF5880" w:rsidRDefault="00862CCB" w:rsidP="00862CCB">
            <w:pPr>
              <w:pStyle w:val="Zkladntext"/>
              <w:ind w:left="34"/>
              <w:contextualSpacing/>
              <w:rPr>
                <w:color w:val="0000FF"/>
                <w:sz w:val="22"/>
                <w:szCs w:val="22"/>
              </w:rPr>
            </w:pPr>
          </w:p>
        </w:tc>
        <w:tc>
          <w:tcPr>
            <w:tcW w:w="6237" w:type="dxa"/>
            <w:tcBorders>
              <w:top w:val="single" w:sz="4" w:space="0" w:color="auto"/>
              <w:left w:val="single" w:sz="4" w:space="0" w:color="auto"/>
              <w:right w:val="single" w:sz="4" w:space="0" w:color="auto"/>
            </w:tcBorders>
          </w:tcPr>
          <w:p w14:paraId="54A76A6F" w14:textId="77777777" w:rsidR="00180E42" w:rsidRPr="00AF287D" w:rsidRDefault="00180E42" w:rsidP="00180E42">
            <w:pPr>
              <w:ind w:right="175"/>
              <w:contextualSpacing/>
              <w:jc w:val="both"/>
              <w:rPr>
                <w:b/>
                <w:color w:val="000000"/>
                <w:sz w:val="22"/>
                <w:szCs w:val="22"/>
              </w:rPr>
            </w:pPr>
            <w:r w:rsidRPr="00AF287D">
              <w:rPr>
                <w:b/>
                <w:color w:val="000000"/>
                <w:sz w:val="22"/>
                <w:szCs w:val="22"/>
              </w:rPr>
              <w:t>Vysvětleno.</w:t>
            </w:r>
          </w:p>
          <w:p w14:paraId="35AAF65F" w14:textId="77777777" w:rsidR="00180E42" w:rsidRPr="00AA02B9" w:rsidRDefault="00180E42" w:rsidP="00180E42">
            <w:pPr>
              <w:ind w:right="175"/>
              <w:contextualSpacing/>
              <w:jc w:val="both"/>
              <w:rPr>
                <w:sz w:val="22"/>
                <w:szCs w:val="22"/>
              </w:rPr>
            </w:pPr>
            <w:r w:rsidRPr="00AF287D">
              <w:rPr>
                <w:color w:val="000000"/>
                <w:sz w:val="22"/>
                <w:szCs w:val="22"/>
              </w:rPr>
              <w:t xml:space="preserve">Daná vyhláška neprovádí požadavky týkající se označování pokrmů, tyto požadavky provádí vyhláška č. 417/2016, která stanovuje způsob označování potravin, včetně pokrmů, </w:t>
            </w:r>
            <w:r w:rsidRPr="00AF287D">
              <w:rPr>
                <w:sz w:val="22"/>
                <w:szCs w:val="22"/>
              </w:rPr>
              <w:t>konkrétně § 7 Způsob poskytování informací o pokrmech.</w:t>
            </w:r>
          </w:p>
          <w:p w14:paraId="7ABA7060" w14:textId="77777777" w:rsidR="00AA02B9" w:rsidRPr="00AA02B9" w:rsidRDefault="00AA02B9" w:rsidP="00AA02B9">
            <w:pPr>
              <w:ind w:right="175"/>
              <w:contextualSpacing/>
              <w:jc w:val="both"/>
              <w:rPr>
                <w:bCs/>
                <w:iCs/>
                <w:sz w:val="22"/>
                <w:szCs w:val="22"/>
              </w:rPr>
            </w:pPr>
            <w:r w:rsidRPr="00AA02B9">
              <w:rPr>
                <w:bCs/>
                <w:iCs/>
                <w:sz w:val="22"/>
                <w:szCs w:val="22"/>
              </w:rPr>
              <w:t>Požadavky pro uchování a manipulaci s pokrmy jsou zahrnuty pod § 3 Způsob uvádění pokrmů na trh připravované vyhlášky.</w:t>
            </w:r>
          </w:p>
          <w:p w14:paraId="5D761938" w14:textId="26E19555" w:rsidR="00980021" w:rsidRPr="00980021" w:rsidRDefault="00720DC8" w:rsidP="00194735">
            <w:pPr>
              <w:ind w:right="175"/>
              <w:contextualSpacing/>
              <w:jc w:val="both"/>
              <w:rPr>
                <w:color w:val="000000"/>
                <w:sz w:val="22"/>
                <w:szCs w:val="22"/>
                <w:highlight w:val="yellow"/>
              </w:rPr>
            </w:pPr>
            <w:r w:rsidRPr="00720DC8">
              <w:rPr>
                <w:color w:val="000000"/>
                <w:sz w:val="22"/>
                <w:szCs w:val="22"/>
              </w:rPr>
              <w:t>V roce 2022 bude započata novelizace vyhlášky č. 417/2016 Sb. s cílem upřesnit požadavky na způsob označování pokrmů pro konečného spotřebitele a dále stanovit požadavky na označování pokrmů ve fázi jejich výroby, přípravy nebo uvádění na trh před jejich nabízením spotřebiteli.</w:t>
            </w:r>
          </w:p>
        </w:tc>
      </w:tr>
      <w:tr w:rsidR="00AB568B" w:rsidRPr="006E08DC" w14:paraId="185B6919" w14:textId="77777777" w:rsidTr="003E57D4">
        <w:trPr>
          <w:cantSplit/>
          <w:trHeight w:val="1220"/>
        </w:trPr>
        <w:tc>
          <w:tcPr>
            <w:tcW w:w="2309" w:type="dxa"/>
            <w:tcBorders>
              <w:top w:val="single" w:sz="4" w:space="0" w:color="auto"/>
              <w:left w:val="single" w:sz="4" w:space="0" w:color="auto"/>
              <w:right w:val="single" w:sz="4" w:space="0" w:color="auto"/>
            </w:tcBorders>
          </w:tcPr>
          <w:p w14:paraId="561C167B" w14:textId="77777777" w:rsidR="00AB568B" w:rsidRPr="00FF5880" w:rsidRDefault="00AB568B"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0E975583" w14:textId="77777777" w:rsidR="00862CCB" w:rsidRPr="00862CCB" w:rsidRDefault="00862CCB" w:rsidP="00862CCB">
            <w:pPr>
              <w:pStyle w:val="Zkladntext"/>
              <w:ind w:left="34"/>
              <w:contextualSpacing/>
              <w:rPr>
                <w:sz w:val="22"/>
                <w:szCs w:val="22"/>
              </w:rPr>
            </w:pPr>
            <w:r w:rsidRPr="00862CCB">
              <w:rPr>
                <w:sz w:val="22"/>
                <w:szCs w:val="22"/>
              </w:rPr>
              <w:t>Připomínky legislativně technické a formálního charakteru:</w:t>
            </w:r>
          </w:p>
          <w:p w14:paraId="5EB83A7C" w14:textId="77777777" w:rsidR="00862CCB" w:rsidRPr="00862CCB" w:rsidRDefault="00862CCB" w:rsidP="00862CCB">
            <w:pPr>
              <w:pStyle w:val="Zkladntext"/>
              <w:ind w:left="34"/>
              <w:contextualSpacing/>
              <w:rPr>
                <w:sz w:val="22"/>
                <w:szCs w:val="22"/>
              </w:rPr>
            </w:pPr>
          </w:p>
          <w:p w14:paraId="5CA89437" w14:textId="77777777" w:rsidR="00862CCB" w:rsidRPr="00862CCB" w:rsidRDefault="00862CCB" w:rsidP="00862CCB">
            <w:pPr>
              <w:pStyle w:val="Zkladntext"/>
              <w:ind w:left="34"/>
              <w:contextualSpacing/>
              <w:rPr>
                <w:sz w:val="22"/>
                <w:szCs w:val="22"/>
              </w:rPr>
            </w:pPr>
            <w:r w:rsidRPr="00862CCB">
              <w:rPr>
                <w:sz w:val="22"/>
                <w:szCs w:val="22"/>
              </w:rPr>
              <w:t>K poznámce pod čarou č. 1:</w:t>
            </w:r>
          </w:p>
          <w:p w14:paraId="4A4AF4C5" w14:textId="77777777" w:rsidR="00AE2778" w:rsidRDefault="00862CCB" w:rsidP="00862CCB">
            <w:pPr>
              <w:pStyle w:val="Zkladntext"/>
              <w:ind w:left="34"/>
              <w:contextualSpacing/>
              <w:rPr>
                <w:sz w:val="22"/>
                <w:szCs w:val="22"/>
              </w:rPr>
            </w:pPr>
            <w:r w:rsidRPr="00862CCB">
              <w:rPr>
                <w:sz w:val="22"/>
                <w:szCs w:val="22"/>
              </w:rPr>
              <w:tab/>
              <w:t>Doporučujeme název unijního předpisu uvést v podobě, v jaké byl publikován v Úředním věstníku Evropské unie, tedy čárku před slovy „o hygieně potravin“ pro nadbytečnost odstranit.</w:t>
            </w:r>
          </w:p>
          <w:p w14:paraId="389D0DE5" w14:textId="77777777" w:rsidR="00862CCB" w:rsidRPr="00AB568B" w:rsidRDefault="00862CCB" w:rsidP="00862CCB">
            <w:pPr>
              <w:pStyle w:val="Zkladntext"/>
              <w:ind w:left="34"/>
              <w:contextualSpacing/>
              <w:rPr>
                <w:sz w:val="22"/>
                <w:szCs w:val="22"/>
              </w:rPr>
            </w:pPr>
          </w:p>
        </w:tc>
        <w:tc>
          <w:tcPr>
            <w:tcW w:w="6237" w:type="dxa"/>
            <w:tcBorders>
              <w:top w:val="single" w:sz="4" w:space="0" w:color="auto"/>
              <w:left w:val="single" w:sz="4" w:space="0" w:color="auto"/>
              <w:right w:val="single" w:sz="4" w:space="0" w:color="auto"/>
            </w:tcBorders>
          </w:tcPr>
          <w:p w14:paraId="7C2AEC58" w14:textId="77777777" w:rsidR="00862CCB" w:rsidRDefault="00862CCB" w:rsidP="00862CCB">
            <w:pPr>
              <w:ind w:right="175"/>
              <w:contextualSpacing/>
              <w:jc w:val="both"/>
              <w:rPr>
                <w:b/>
                <w:color w:val="000000"/>
                <w:sz w:val="22"/>
                <w:szCs w:val="22"/>
              </w:rPr>
            </w:pPr>
            <w:r>
              <w:rPr>
                <w:b/>
                <w:color w:val="000000"/>
                <w:sz w:val="22"/>
                <w:szCs w:val="22"/>
              </w:rPr>
              <w:t>Akceptováno.</w:t>
            </w:r>
          </w:p>
          <w:p w14:paraId="15B9EA3A" w14:textId="77777777" w:rsidR="00AB568B" w:rsidRPr="00ED0E23" w:rsidRDefault="00862CCB" w:rsidP="00862CCB">
            <w:pPr>
              <w:ind w:right="175"/>
              <w:contextualSpacing/>
              <w:jc w:val="both"/>
              <w:rPr>
                <w:color w:val="000000"/>
                <w:sz w:val="22"/>
                <w:szCs w:val="22"/>
                <w:highlight w:val="yellow"/>
              </w:rPr>
            </w:pPr>
            <w:r>
              <w:rPr>
                <w:color w:val="000000"/>
                <w:sz w:val="22"/>
                <w:szCs w:val="22"/>
              </w:rPr>
              <w:t>Text byl upraven.</w:t>
            </w:r>
          </w:p>
        </w:tc>
      </w:tr>
      <w:tr w:rsidR="00AB568B" w:rsidRPr="006E08DC" w14:paraId="350EE7C0" w14:textId="77777777" w:rsidTr="003E57D4">
        <w:trPr>
          <w:cantSplit/>
          <w:trHeight w:val="1220"/>
        </w:trPr>
        <w:tc>
          <w:tcPr>
            <w:tcW w:w="2309" w:type="dxa"/>
            <w:tcBorders>
              <w:top w:val="single" w:sz="4" w:space="0" w:color="auto"/>
              <w:left w:val="single" w:sz="4" w:space="0" w:color="auto"/>
              <w:right w:val="single" w:sz="4" w:space="0" w:color="auto"/>
            </w:tcBorders>
          </w:tcPr>
          <w:p w14:paraId="05DB9623" w14:textId="77777777" w:rsidR="00AB568B" w:rsidRPr="00FF5880" w:rsidRDefault="00AB568B"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541B7D14" w14:textId="77777777" w:rsidR="00862CCB" w:rsidRPr="00862CCB" w:rsidRDefault="00862CCB" w:rsidP="00862CCB">
            <w:pPr>
              <w:pStyle w:val="Zkladntext"/>
              <w:ind w:left="34"/>
              <w:contextualSpacing/>
              <w:rPr>
                <w:sz w:val="22"/>
                <w:szCs w:val="22"/>
              </w:rPr>
            </w:pPr>
            <w:r w:rsidRPr="00862CCB">
              <w:rPr>
                <w:sz w:val="22"/>
                <w:szCs w:val="22"/>
              </w:rPr>
              <w:t>K § 3 odst. 2:</w:t>
            </w:r>
          </w:p>
          <w:p w14:paraId="3D9A433B" w14:textId="77777777" w:rsidR="00862CCB" w:rsidRPr="00862CCB" w:rsidRDefault="00862CCB" w:rsidP="00862CCB">
            <w:pPr>
              <w:pStyle w:val="Zkladntext"/>
              <w:ind w:left="34"/>
              <w:contextualSpacing/>
              <w:rPr>
                <w:sz w:val="22"/>
                <w:szCs w:val="22"/>
              </w:rPr>
            </w:pPr>
            <w:r w:rsidRPr="00862CCB">
              <w:rPr>
                <w:sz w:val="22"/>
                <w:szCs w:val="22"/>
              </w:rPr>
              <w:t>1.</w:t>
            </w:r>
            <w:r w:rsidRPr="00862CCB">
              <w:rPr>
                <w:sz w:val="22"/>
                <w:szCs w:val="22"/>
              </w:rPr>
              <w:tab/>
              <w:t>Upozorňujeme na nadbytečně se opakující slovo „musí“, proto jej navrhujeme odstranit před slovy „vzorky odebrané z míst“.</w:t>
            </w:r>
          </w:p>
          <w:p w14:paraId="6211F58A" w14:textId="77777777" w:rsidR="00AB568B" w:rsidRDefault="00862CCB" w:rsidP="00862CCB">
            <w:pPr>
              <w:pStyle w:val="Zkladntext"/>
              <w:ind w:left="34"/>
              <w:contextualSpacing/>
              <w:rPr>
                <w:sz w:val="22"/>
                <w:szCs w:val="22"/>
              </w:rPr>
            </w:pPr>
            <w:r w:rsidRPr="00862CCB">
              <w:rPr>
                <w:sz w:val="22"/>
                <w:szCs w:val="22"/>
              </w:rPr>
              <w:t>2.</w:t>
            </w:r>
            <w:r w:rsidRPr="00862CCB">
              <w:rPr>
                <w:sz w:val="22"/>
                <w:szCs w:val="22"/>
              </w:rPr>
              <w:tab/>
              <w:t>Obecně lze pak doporučit reformulaci celého § 3 do uživatelsky přívětivější podoby.</w:t>
            </w:r>
          </w:p>
          <w:p w14:paraId="6605976E" w14:textId="77777777" w:rsidR="00862CCB" w:rsidRPr="00AB568B" w:rsidRDefault="00862CCB" w:rsidP="00862CCB">
            <w:pPr>
              <w:pStyle w:val="Zkladntext"/>
              <w:ind w:left="34"/>
              <w:contextualSpacing/>
              <w:rPr>
                <w:sz w:val="22"/>
                <w:szCs w:val="22"/>
              </w:rPr>
            </w:pPr>
          </w:p>
        </w:tc>
        <w:tc>
          <w:tcPr>
            <w:tcW w:w="6237" w:type="dxa"/>
            <w:tcBorders>
              <w:top w:val="single" w:sz="4" w:space="0" w:color="auto"/>
              <w:left w:val="single" w:sz="4" w:space="0" w:color="auto"/>
              <w:right w:val="single" w:sz="4" w:space="0" w:color="auto"/>
            </w:tcBorders>
          </w:tcPr>
          <w:p w14:paraId="7F8F512A" w14:textId="77777777" w:rsidR="00862CCB" w:rsidRDefault="00862CCB" w:rsidP="00862CCB">
            <w:pPr>
              <w:ind w:right="175"/>
              <w:contextualSpacing/>
              <w:jc w:val="both"/>
              <w:rPr>
                <w:b/>
                <w:color w:val="000000"/>
                <w:sz w:val="22"/>
                <w:szCs w:val="22"/>
              </w:rPr>
            </w:pPr>
            <w:r>
              <w:rPr>
                <w:b/>
                <w:color w:val="000000"/>
                <w:sz w:val="22"/>
                <w:szCs w:val="22"/>
              </w:rPr>
              <w:t>Akceptováno.</w:t>
            </w:r>
          </w:p>
          <w:p w14:paraId="3829C247" w14:textId="77777777" w:rsidR="00AB568B" w:rsidRPr="00ED0E23" w:rsidRDefault="00862CCB" w:rsidP="00862CCB">
            <w:pPr>
              <w:ind w:right="175"/>
              <w:contextualSpacing/>
              <w:jc w:val="both"/>
              <w:rPr>
                <w:color w:val="000000"/>
                <w:sz w:val="22"/>
                <w:szCs w:val="22"/>
                <w:highlight w:val="yellow"/>
              </w:rPr>
            </w:pPr>
            <w:r>
              <w:rPr>
                <w:color w:val="000000"/>
                <w:sz w:val="22"/>
                <w:szCs w:val="22"/>
              </w:rPr>
              <w:t>Text byl upraven.</w:t>
            </w:r>
          </w:p>
        </w:tc>
      </w:tr>
      <w:tr w:rsidR="003E57D4" w:rsidRPr="006E08DC" w14:paraId="525897D2" w14:textId="77777777" w:rsidTr="002D6463">
        <w:trPr>
          <w:trHeight w:val="1012"/>
        </w:trPr>
        <w:tc>
          <w:tcPr>
            <w:tcW w:w="2309" w:type="dxa"/>
            <w:tcBorders>
              <w:left w:val="single" w:sz="4" w:space="0" w:color="auto"/>
              <w:right w:val="single" w:sz="4" w:space="0" w:color="auto"/>
            </w:tcBorders>
          </w:tcPr>
          <w:p w14:paraId="17DD6EF1" w14:textId="77777777" w:rsidR="003E57D4" w:rsidRPr="006E08DC" w:rsidRDefault="003E57D4" w:rsidP="006E08DC">
            <w:pPr>
              <w:contextualSpacing/>
              <w:rPr>
                <w:sz w:val="22"/>
                <w:szCs w:val="22"/>
              </w:rPr>
            </w:pPr>
          </w:p>
          <w:p w14:paraId="24F5E440" w14:textId="77777777" w:rsidR="003E57D4" w:rsidRPr="006E08DC" w:rsidRDefault="003E57D4" w:rsidP="006E08DC">
            <w:pPr>
              <w:contextualSpacing/>
              <w:rPr>
                <w:sz w:val="22"/>
                <w:szCs w:val="22"/>
              </w:rPr>
            </w:pPr>
            <w:r w:rsidRPr="006E08DC">
              <w:rPr>
                <w:sz w:val="22"/>
                <w:szCs w:val="22"/>
              </w:rPr>
              <w:t>Ministerstvo průmyslu a obchodu</w:t>
            </w:r>
          </w:p>
          <w:p w14:paraId="084236C8" w14:textId="77777777" w:rsidR="003E57D4" w:rsidRPr="006E08DC" w:rsidRDefault="003E57D4"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6F3C4DBA" w14:textId="77777777" w:rsidR="00F27D4A" w:rsidRDefault="00E201EA" w:rsidP="009C216E">
            <w:pPr>
              <w:pStyle w:val="Zkladntext"/>
              <w:ind w:left="34"/>
              <w:contextualSpacing/>
              <w:rPr>
                <w:sz w:val="22"/>
                <w:szCs w:val="22"/>
              </w:rPr>
            </w:pPr>
            <w:r w:rsidRPr="00E201EA">
              <w:rPr>
                <w:sz w:val="22"/>
                <w:szCs w:val="22"/>
              </w:rPr>
              <w:t>1.</w:t>
            </w:r>
            <w:r w:rsidRPr="00E201EA">
              <w:rPr>
                <w:sz w:val="22"/>
                <w:szCs w:val="22"/>
              </w:rPr>
              <w:tab/>
              <w:t>Obecná připomínka k citacím právních předpisů EU v poznámkách pod čarou: z citací doporučujeme vypustit dovětek „v platném znění“ a nahradit dovětkem „ve znění pozdějších předpisů“, neboť původní znění předpisů jsou stále platná, jen byla novelizována pozdějšími předpisy.</w:t>
            </w:r>
          </w:p>
          <w:p w14:paraId="777EC5D0" w14:textId="77777777" w:rsidR="00E201EA" w:rsidRPr="006E08DC" w:rsidRDefault="00E201EA" w:rsidP="009C216E">
            <w:pPr>
              <w:pStyle w:val="Zkladntext"/>
              <w:ind w:left="34"/>
              <w:contextualSpacing/>
              <w:rPr>
                <w:sz w:val="22"/>
                <w:szCs w:val="22"/>
              </w:rPr>
            </w:pPr>
          </w:p>
        </w:tc>
        <w:tc>
          <w:tcPr>
            <w:tcW w:w="6237" w:type="dxa"/>
            <w:tcBorders>
              <w:top w:val="single" w:sz="4" w:space="0" w:color="auto"/>
              <w:left w:val="single" w:sz="4" w:space="0" w:color="auto"/>
              <w:right w:val="single" w:sz="4" w:space="0" w:color="auto"/>
            </w:tcBorders>
          </w:tcPr>
          <w:p w14:paraId="5577B678" w14:textId="77777777" w:rsidR="00194735" w:rsidRDefault="006B1AB0" w:rsidP="009C216E">
            <w:pPr>
              <w:ind w:right="175"/>
              <w:contextualSpacing/>
              <w:jc w:val="both"/>
              <w:rPr>
                <w:b/>
                <w:color w:val="000000"/>
                <w:sz w:val="22"/>
                <w:szCs w:val="22"/>
              </w:rPr>
            </w:pPr>
            <w:r>
              <w:rPr>
                <w:b/>
                <w:color w:val="000000"/>
                <w:sz w:val="22"/>
                <w:szCs w:val="22"/>
              </w:rPr>
              <w:t>Vysvětleno.</w:t>
            </w:r>
          </w:p>
          <w:p w14:paraId="6CA007D0" w14:textId="77777777" w:rsidR="006B1AB0" w:rsidRPr="006B1AB0" w:rsidRDefault="006B1AB0" w:rsidP="009C216E">
            <w:pPr>
              <w:ind w:right="175"/>
              <w:contextualSpacing/>
              <w:jc w:val="both"/>
              <w:rPr>
                <w:color w:val="000000"/>
                <w:sz w:val="22"/>
                <w:szCs w:val="22"/>
              </w:rPr>
            </w:pPr>
            <w:r>
              <w:rPr>
                <w:color w:val="000000"/>
                <w:sz w:val="22"/>
                <w:szCs w:val="22"/>
              </w:rPr>
              <w:t>Jedná se o standardní způsob citace předpisů Evropské unie.</w:t>
            </w:r>
          </w:p>
        </w:tc>
      </w:tr>
      <w:tr w:rsidR="00F27D4A" w:rsidRPr="006E08DC" w14:paraId="7D34D6D5" w14:textId="77777777" w:rsidTr="002D6463">
        <w:trPr>
          <w:trHeight w:val="1012"/>
        </w:trPr>
        <w:tc>
          <w:tcPr>
            <w:tcW w:w="2309" w:type="dxa"/>
            <w:tcBorders>
              <w:left w:val="single" w:sz="4" w:space="0" w:color="auto"/>
              <w:right w:val="single" w:sz="4" w:space="0" w:color="auto"/>
            </w:tcBorders>
          </w:tcPr>
          <w:p w14:paraId="2BC52470" w14:textId="77777777" w:rsidR="00F27D4A" w:rsidRPr="006E08DC" w:rsidRDefault="00F27D4A"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4513ABA9" w14:textId="77777777" w:rsidR="00F27D4A" w:rsidRPr="00F27D4A" w:rsidRDefault="00E201EA" w:rsidP="009C216E">
            <w:pPr>
              <w:pStyle w:val="Zkladntext"/>
              <w:ind w:left="34"/>
              <w:contextualSpacing/>
              <w:rPr>
                <w:sz w:val="22"/>
                <w:szCs w:val="22"/>
              </w:rPr>
            </w:pPr>
            <w:r w:rsidRPr="00E201EA">
              <w:rPr>
                <w:sz w:val="22"/>
                <w:szCs w:val="22"/>
              </w:rPr>
              <w:t>2.</w:t>
            </w:r>
            <w:r w:rsidRPr="00E201EA">
              <w:rPr>
                <w:sz w:val="22"/>
                <w:szCs w:val="22"/>
              </w:rPr>
              <w:tab/>
              <w:t>K § 5, odst. 1: spojení „nelze použít při výrobě a uvádění na trh pokrmů“ doporučujeme přeformulovat na „nelze použít při výrobě pokrmů a jejich uvádění na trh“.</w:t>
            </w:r>
          </w:p>
        </w:tc>
        <w:tc>
          <w:tcPr>
            <w:tcW w:w="6237" w:type="dxa"/>
            <w:tcBorders>
              <w:top w:val="single" w:sz="4" w:space="0" w:color="auto"/>
              <w:left w:val="single" w:sz="4" w:space="0" w:color="auto"/>
              <w:right w:val="single" w:sz="4" w:space="0" w:color="auto"/>
            </w:tcBorders>
          </w:tcPr>
          <w:p w14:paraId="1EAD5D78" w14:textId="77777777" w:rsidR="004A74DA" w:rsidRDefault="004A74DA" w:rsidP="004A74DA">
            <w:pPr>
              <w:ind w:right="175"/>
              <w:contextualSpacing/>
              <w:jc w:val="both"/>
              <w:rPr>
                <w:b/>
                <w:color w:val="000000"/>
                <w:sz w:val="22"/>
                <w:szCs w:val="22"/>
              </w:rPr>
            </w:pPr>
            <w:r>
              <w:rPr>
                <w:b/>
                <w:color w:val="000000"/>
                <w:sz w:val="22"/>
                <w:szCs w:val="22"/>
              </w:rPr>
              <w:t>Akceptováno.</w:t>
            </w:r>
          </w:p>
          <w:p w14:paraId="228A22B8" w14:textId="77777777" w:rsidR="000A55AB" w:rsidRDefault="000A55AB" w:rsidP="000A55AB">
            <w:pPr>
              <w:ind w:right="175"/>
              <w:contextualSpacing/>
              <w:jc w:val="both"/>
              <w:rPr>
                <w:color w:val="000000"/>
                <w:sz w:val="22"/>
                <w:szCs w:val="22"/>
              </w:rPr>
            </w:pPr>
            <w:r w:rsidRPr="00D43011">
              <w:rPr>
                <w:sz w:val="22"/>
                <w:szCs w:val="22"/>
              </w:rPr>
              <w:t>V II. návrhu</w:t>
            </w:r>
            <w:r>
              <w:rPr>
                <w:sz w:val="22"/>
                <w:szCs w:val="22"/>
              </w:rPr>
              <w:t xml:space="preserve"> vyhlášky nově přesunuto pod § 4</w:t>
            </w:r>
            <w:r w:rsidRPr="00D43011">
              <w:rPr>
                <w:sz w:val="22"/>
                <w:szCs w:val="22"/>
              </w:rPr>
              <w:t>.</w:t>
            </w:r>
          </w:p>
          <w:p w14:paraId="7BE78DB8" w14:textId="77777777" w:rsidR="00F27D4A" w:rsidRPr="004F1A8A" w:rsidRDefault="004A74DA" w:rsidP="004A74DA">
            <w:pPr>
              <w:ind w:right="175"/>
              <w:contextualSpacing/>
              <w:jc w:val="both"/>
              <w:rPr>
                <w:color w:val="000000"/>
                <w:sz w:val="22"/>
                <w:szCs w:val="22"/>
              </w:rPr>
            </w:pPr>
            <w:r>
              <w:rPr>
                <w:color w:val="000000"/>
                <w:sz w:val="22"/>
                <w:szCs w:val="22"/>
              </w:rPr>
              <w:t>Text byl upraven.</w:t>
            </w:r>
          </w:p>
        </w:tc>
      </w:tr>
      <w:tr w:rsidR="00F27D4A" w:rsidRPr="006E08DC" w14:paraId="7AF6E01A" w14:textId="77777777" w:rsidTr="002D6463">
        <w:trPr>
          <w:trHeight w:val="1012"/>
        </w:trPr>
        <w:tc>
          <w:tcPr>
            <w:tcW w:w="2309" w:type="dxa"/>
            <w:tcBorders>
              <w:left w:val="single" w:sz="4" w:space="0" w:color="auto"/>
              <w:right w:val="single" w:sz="4" w:space="0" w:color="auto"/>
            </w:tcBorders>
          </w:tcPr>
          <w:p w14:paraId="6F22A77B" w14:textId="77777777" w:rsidR="00F27D4A" w:rsidRPr="006E08DC" w:rsidRDefault="00F27D4A"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1F800E80" w14:textId="77777777" w:rsidR="00F27D4A" w:rsidRPr="00F27D4A" w:rsidRDefault="00E201EA" w:rsidP="009C216E">
            <w:pPr>
              <w:pStyle w:val="Zkladntext"/>
              <w:ind w:left="34"/>
              <w:contextualSpacing/>
              <w:rPr>
                <w:sz w:val="22"/>
                <w:szCs w:val="22"/>
              </w:rPr>
            </w:pPr>
            <w:r w:rsidRPr="00E201EA">
              <w:rPr>
                <w:sz w:val="22"/>
                <w:szCs w:val="22"/>
              </w:rPr>
              <w:t>3.</w:t>
            </w:r>
            <w:r w:rsidRPr="00E201EA">
              <w:rPr>
                <w:sz w:val="22"/>
                <w:szCs w:val="22"/>
              </w:rPr>
              <w:tab/>
              <w:t>K příloze č. 2, k senzorickým ukazatelům tepelného rozkladu: první ukazatel doporučujeme přeformulovat na „hnědá až černá barva oleje/</w:t>
            </w:r>
            <w:r w:rsidRPr="00171D23">
              <w:rPr>
                <w:b/>
                <w:sz w:val="22"/>
                <w:szCs w:val="22"/>
              </w:rPr>
              <w:t>tuku</w:t>
            </w:r>
            <w:r w:rsidRPr="00E201EA">
              <w:rPr>
                <w:sz w:val="22"/>
                <w:szCs w:val="22"/>
              </w:rPr>
              <w:t xml:space="preserve">“ a druhý ukazatel na „nedostatky ve vůni - nepříjemný zápach typický pro přepálený </w:t>
            </w:r>
            <w:r w:rsidRPr="00171D23">
              <w:rPr>
                <w:b/>
                <w:strike/>
                <w:sz w:val="22"/>
                <w:szCs w:val="22"/>
              </w:rPr>
              <w:t>tuk</w:t>
            </w:r>
            <w:r w:rsidRPr="00E201EA">
              <w:rPr>
                <w:sz w:val="22"/>
                <w:szCs w:val="22"/>
              </w:rPr>
              <w:t xml:space="preserve"> olej/</w:t>
            </w:r>
            <w:r w:rsidRPr="00171D23">
              <w:rPr>
                <w:b/>
                <w:sz w:val="22"/>
                <w:szCs w:val="22"/>
              </w:rPr>
              <w:t>tuk</w:t>
            </w:r>
            <w:r w:rsidRPr="00E201EA">
              <w:rPr>
                <w:sz w:val="22"/>
                <w:szCs w:val="22"/>
              </w:rPr>
              <w:t>“, a to za účelem postižení obou dvou látek a ve stejné podobě jako třetí ukazatel.</w:t>
            </w:r>
          </w:p>
        </w:tc>
        <w:tc>
          <w:tcPr>
            <w:tcW w:w="6237" w:type="dxa"/>
            <w:tcBorders>
              <w:top w:val="single" w:sz="4" w:space="0" w:color="auto"/>
              <w:left w:val="single" w:sz="4" w:space="0" w:color="auto"/>
              <w:right w:val="single" w:sz="4" w:space="0" w:color="auto"/>
            </w:tcBorders>
          </w:tcPr>
          <w:p w14:paraId="0EB8FEDF" w14:textId="77777777" w:rsidR="004A74DA" w:rsidRDefault="004A74DA" w:rsidP="004A74DA">
            <w:pPr>
              <w:ind w:right="175"/>
              <w:contextualSpacing/>
              <w:jc w:val="both"/>
              <w:rPr>
                <w:b/>
                <w:color w:val="000000"/>
                <w:sz w:val="22"/>
                <w:szCs w:val="22"/>
              </w:rPr>
            </w:pPr>
            <w:r>
              <w:rPr>
                <w:b/>
                <w:color w:val="000000"/>
                <w:sz w:val="22"/>
                <w:szCs w:val="22"/>
              </w:rPr>
              <w:t>Akceptováno.</w:t>
            </w:r>
          </w:p>
          <w:p w14:paraId="109A0F25" w14:textId="77777777" w:rsidR="000A55AB" w:rsidRPr="00D43011" w:rsidRDefault="000A55AB" w:rsidP="000A55AB">
            <w:pPr>
              <w:contextualSpacing/>
              <w:jc w:val="both"/>
              <w:rPr>
                <w:sz w:val="22"/>
                <w:szCs w:val="22"/>
              </w:rPr>
            </w:pPr>
            <w:r w:rsidRPr="00D43011">
              <w:rPr>
                <w:sz w:val="22"/>
                <w:szCs w:val="22"/>
              </w:rPr>
              <w:t>V II. návrhu vyhlášky nově přesunuto pod Přílohu č.</w:t>
            </w:r>
            <w:r>
              <w:rPr>
                <w:sz w:val="22"/>
                <w:szCs w:val="22"/>
              </w:rPr>
              <w:t xml:space="preserve"> 1</w:t>
            </w:r>
            <w:r w:rsidRPr="00D43011">
              <w:rPr>
                <w:sz w:val="22"/>
                <w:szCs w:val="22"/>
              </w:rPr>
              <w:t>.</w:t>
            </w:r>
          </w:p>
          <w:p w14:paraId="6A167798" w14:textId="77777777" w:rsidR="00F27D4A" w:rsidRPr="004F1A8A" w:rsidRDefault="004A74DA" w:rsidP="004A74DA">
            <w:pPr>
              <w:ind w:right="175"/>
              <w:contextualSpacing/>
              <w:jc w:val="both"/>
              <w:rPr>
                <w:color w:val="000000"/>
                <w:sz w:val="22"/>
                <w:szCs w:val="22"/>
              </w:rPr>
            </w:pPr>
            <w:r>
              <w:rPr>
                <w:color w:val="000000"/>
                <w:sz w:val="22"/>
                <w:szCs w:val="22"/>
              </w:rPr>
              <w:t>Text byl upraven.</w:t>
            </w:r>
          </w:p>
        </w:tc>
      </w:tr>
      <w:tr w:rsidR="00F27D4A" w:rsidRPr="006E08DC" w14:paraId="02328E42" w14:textId="77777777" w:rsidTr="002D6463">
        <w:trPr>
          <w:trHeight w:val="1012"/>
        </w:trPr>
        <w:tc>
          <w:tcPr>
            <w:tcW w:w="2309" w:type="dxa"/>
            <w:tcBorders>
              <w:left w:val="single" w:sz="4" w:space="0" w:color="auto"/>
              <w:right w:val="single" w:sz="4" w:space="0" w:color="auto"/>
            </w:tcBorders>
          </w:tcPr>
          <w:p w14:paraId="6C003623" w14:textId="77777777" w:rsidR="00F27D4A" w:rsidRPr="006E08DC" w:rsidRDefault="00F27D4A"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5F29BDBF" w14:textId="77777777" w:rsidR="00F27D4A" w:rsidRDefault="00171D23" w:rsidP="00F27D4A">
            <w:pPr>
              <w:pStyle w:val="Zkladntext"/>
              <w:ind w:left="34"/>
              <w:contextualSpacing/>
              <w:rPr>
                <w:sz w:val="22"/>
                <w:szCs w:val="22"/>
              </w:rPr>
            </w:pPr>
            <w:r w:rsidRPr="00171D23">
              <w:rPr>
                <w:sz w:val="22"/>
                <w:szCs w:val="22"/>
              </w:rPr>
              <w:t>4.</w:t>
            </w:r>
            <w:r w:rsidRPr="00171D23">
              <w:rPr>
                <w:sz w:val="22"/>
                <w:szCs w:val="22"/>
              </w:rPr>
              <w:tab/>
              <w:t xml:space="preserve">K obecné části důvodové zprávy, kapitole „Vysvětlení nezbytnosti navrhované právní úpravy, …“: ve druhém odstavci doporučujeme druhou větu upravit následovně či jiným podobným způsobem, neboť aktuální formulace je ve vztahu k předcházející větě tautologická: „Stravovací </w:t>
            </w:r>
            <w:r w:rsidRPr="00171D23">
              <w:rPr>
                <w:strike/>
                <w:sz w:val="22"/>
                <w:szCs w:val="22"/>
              </w:rPr>
              <w:t>službou jsou potravinářské podniky, kde je na trh uváděna specifická</w:t>
            </w:r>
            <w:r w:rsidRPr="00171D23">
              <w:rPr>
                <w:sz w:val="22"/>
                <w:szCs w:val="22"/>
              </w:rPr>
              <w:t xml:space="preserve"> služba spočívá v uvádění pokrmů na trh </w:t>
            </w:r>
            <w:r w:rsidRPr="00171D23">
              <w:rPr>
                <w:strike/>
                <w:sz w:val="22"/>
                <w:szCs w:val="22"/>
              </w:rPr>
              <w:t>kategorie potravin – pokrmy</w:t>
            </w:r>
            <w:r w:rsidRPr="00171D23">
              <w:rPr>
                <w:sz w:val="22"/>
                <w:szCs w:val="22"/>
              </w:rPr>
              <w:t>.“</w:t>
            </w:r>
          </w:p>
          <w:p w14:paraId="5F612AEA" w14:textId="77777777" w:rsidR="00171D23" w:rsidRPr="00F27D4A" w:rsidRDefault="00171D23" w:rsidP="00F27D4A">
            <w:pPr>
              <w:pStyle w:val="Zkladntext"/>
              <w:ind w:left="34"/>
              <w:contextualSpacing/>
              <w:rPr>
                <w:sz w:val="22"/>
                <w:szCs w:val="22"/>
              </w:rPr>
            </w:pPr>
          </w:p>
        </w:tc>
        <w:tc>
          <w:tcPr>
            <w:tcW w:w="6237" w:type="dxa"/>
            <w:tcBorders>
              <w:top w:val="single" w:sz="4" w:space="0" w:color="auto"/>
              <w:left w:val="single" w:sz="4" w:space="0" w:color="auto"/>
              <w:right w:val="single" w:sz="4" w:space="0" w:color="auto"/>
            </w:tcBorders>
          </w:tcPr>
          <w:p w14:paraId="2DB84DBE" w14:textId="77777777" w:rsidR="004A74DA" w:rsidRDefault="004A74DA" w:rsidP="004A74DA">
            <w:pPr>
              <w:ind w:right="175"/>
              <w:contextualSpacing/>
              <w:jc w:val="both"/>
              <w:rPr>
                <w:b/>
                <w:color w:val="000000"/>
                <w:sz w:val="22"/>
                <w:szCs w:val="22"/>
              </w:rPr>
            </w:pPr>
            <w:r>
              <w:rPr>
                <w:b/>
                <w:color w:val="000000"/>
                <w:sz w:val="22"/>
                <w:szCs w:val="22"/>
              </w:rPr>
              <w:t>Akceptováno.</w:t>
            </w:r>
          </w:p>
          <w:p w14:paraId="128B39BC" w14:textId="77777777" w:rsidR="00194735" w:rsidRPr="00194735" w:rsidRDefault="004A74DA" w:rsidP="004A74DA">
            <w:pPr>
              <w:ind w:right="175"/>
              <w:contextualSpacing/>
              <w:jc w:val="both"/>
              <w:rPr>
                <w:color w:val="000000"/>
                <w:sz w:val="22"/>
                <w:szCs w:val="22"/>
              </w:rPr>
            </w:pPr>
            <w:r>
              <w:rPr>
                <w:color w:val="000000"/>
                <w:sz w:val="22"/>
                <w:szCs w:val="22"/>
              </w:rPr>
              <w:t>Text odůvodnění byl upraven.</w:t>
            </w:r>
          </w:p>
        </w:tc>
      </w:tr>
      <w:tr w:rsidR="00F27D4A" w:rsidRPr="006E08DC" w14:paraId="2EF95065" w14:textId="77777777" w:rsidTr="002D6463">
        <w:trPr>
          <w:trHeight w:val="1012"/>
        </w:trPr>
        <w:tc>
          <w:tcPr>
            <w:tcW w:w="2309" w:type="dxa"/>
            <w:tcBorders>
              <w:left w:val="single" w:sz="4" w:space="0" w:color="auto"/>
              <w:right w:val="single" w:sz="4" w:space="0" w:color="auto"/>
            </w:tcBorders>
          </w:tcPr>
          <w:p w14:paraId="68882CDA" w14:textId="77777777" w:rsidR="00F27D4A" w:rsidRPr="006E08DC" w:rsidRDefault="00F27D4A"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4B2D8DD9" w14:textId="77777777" w:rsidR="00F27D4A" w:rsidRPr="00047252" w:rsidRDefault="00171D23" w:rsidP="009C216E">
            <w:pPr>
              <w:pStyle w:val="Zkladntext"/>
              <w:ind w:left="34"/>
              <w:contextualSpacing/>
              <w:rPr>
                <w:sz w:val="22"/>
                <w:szCs w:val="22"/>
              </w:rPr>
            </w:pPr>
            <w:r w:rsidRPr="00047252">
              <w:rPr>
                <w:sz w:val="22"/>
                <w:szCs w:val="22"/>
              </w:rPr>
              <w:t>5.</w:t>
            </w:r>
            <w:r w:rsidRPr="00047252">
              <w:rPr>
                <w:sz w:val="22"/>
                <w:szCs w:val="22"/>
              </w:rPr>
              <w:tab/>
              <w:t>K obecné části důvodové zprávy, kapitole „Zhodnocení souladu navrhované právní úpravy s předpisy Evropské unie, …“: doporučujeme vyjasnit vztah navrhované vyhlášky k uvedeným právním předpisům EU. Konkrétně doporučujeme konstatovat, že se nejedná o vztah implementační a u jednotlivých předpisů alespoň rámcově přiblížit vztah tak, jak vyplývá zejm. z § 2 odst. 1 a § 3 odst. 1 a 2.</w:t>
            </w:r>
          </w:p>
          <w:p w14:paraId="2DA7A8D5" w14:textId="77777777" w:rsidR="00171D23" w:rsidRPr="00047252" w:rsidRDefault="00171D23" w:rsidP="009C216E">
            <w:pPr>
              <w:pStyle w:val="Zkladntext"/>
              <w:ind w:left="34"/>
              <w:contextualSpacing/>
              <w:rPr>
                <w:sz w:val="22"/>
                <w:szCs w:val="22"/>
              </w:rPr>
            </w:pPr>
          </w:p>
        </w:tc>
        <w:tc>
          <w:tcPr>
            <w:tcW w:w="6237" w:type="dxa"/>
            <w:tcBorders>
              <w:top w:val="single" w:sz="4" w:space="0" w:color="auto"/>
              <w:left w:val="single" w:sz="4" w:space="0" w:color="auto"/>
              <w:right w:val="single" w:sz="4" w:space="0" w:color="auto"/>
            </w:tcBorders>
          </w:tcPr>
          <w:p w14:paraId="1404B58B" w14:textId="77777777" w:rsidR="00194735" w:rsidRPr="00047252" w:rsidRDefault="005A7921" w:rsidP="009C216E">
            <w:pPr>
              <w:ind w:right="175"/>
              <w:contextualSpacing/>
              <w:jc w:val="both"/>
              <w:rPr>
                <w:b/>
                <w:color w:val="000000"/>
                <w:sz w:val="22"/>
                <w:szCs w:val="22"/>
              </w:rPr>
            </w:pPr>
            <w:r w:rsidRPr="00047252">
              <w:rPr>
                <w:b/>
                <w:color w:val="000000"/>
                <w:sz w:val="22"/>
                <w:szCs w:val="22"/>
              </w:rPr>
              <w:lastRenderedPageBreak/>
              <w:t>Vysvětleno.</w:t>
            </w:r>
          </w:p>
          <w:p w14:paraId="544CB1D0" w14:textId="77777777" w:rsidR="009542D4" w:rsidRDefault="00E22433" w:rsidP="005A7921">
            <w:pPr>
              <w:contextualSpacing/>
              <w:jc w:val="both"/>
              <w:rPr>
                <w:sz w:val="22"/>
                <w:szCs w:val="22"/>
              </w:rPr>
            </w:pPr>
            <w:r w:rsidRPr="00047252">
              <w:rPr>
                <w:color w:val="000000"/>
                <w:sz w:val="22"/>
                <w:szCs w:val="22"/>
              </w:rPr>
              <w:t>V</w:t>
            </w:r>
            <w:r w:rsidR="00702991" w:rsidRPr="00047252">
              <w:rPr>
                <w:color w:val="000000"/>
                <w:sz w:val="22"/>
                <w:szCs w:val="22"/>
              </w:rPr>
              <w:t xml:space="preserve"> II. </w:t>
            </w:r>
            <w:r w:rsidRPr="00047252">
              <w:rPr>
                <w:color w:val="000000"/>
                <w:sz w:val="22"/>
                <w:szCs w:val="22"/>
              </w:rPr>
              <w:t xml:space="preserve">návrhu vyhlášky nově přesunuto </w:t>
            </w:r>
            <w:r w:rsidR="005A7921" w:rsidRPr="00047252">
              <w:rPr>
                <w:color w:val="000000"/>
                <w:sz w:val="22"/>
                <w:szCs w:val="22"/>
              </w:rPr>
              <w:t>pod §</w:t>
            </w:r>
            <w:r w:rsidR="00B32297">
              <w:rPr>
                <w:color w:val="000000"/>
                <w:sz w:val="22"/>
                <w:szCs w:val="22"/>
              </w:rPr>
              <w:t xml:space="preserve"> </w:t>
            </w:r>
            <w:r w:rsidR="005A7921" w:rsidRPr="00047252">
              <w:rPr>
                <w:sz w:val="22"/>
                <w:szCs w:val="22"/>
              </w:rPr>
              <w:t>3 odst. 1 a § 5 odst. 1 a 2.</w:t>
            </w:r>
            <w:r w:rsidRPr="00047252">
              <w:rPr>
                <w:sz w:val="22"/>
                <w:szCs w:val="22"/>
              </w:rPr>
              <w:t xml:space="preserve"> </w:t>
            </w:r>
          </w:p>
          <w:p w14:paraId="13B557E3" w14:textId="7DCA4882" w:rsidR="005A7921" w:rsidRPr="00047252" w:rsidRDefault="005A7921" w:rsidP="005A7921">
            <w:pPr>
              <w:contextualSpacing/>
              <w:jc w:val="both"/>
              <w:rPr>
                <w:sz w:val="22"/>
                <w:szCs w:val="22"/>
              </w:rPr>
            </w:pPr>
            <w:r w:rsidRPr="00047252">
              <w:rPr>
                <w:sz w:val="22"/>
                <w:szCs w:val="22"/>
              </w:rPr>
              <w:t xml:space="preserve">Nejedná se o vztah implementační, daná vyhláška pouze doplňuje stávající evropskou legislativu, jelikož mikrobiologická kritéria stanovená v nařízení Komise (ES) </w:t>
            </w:r>
            <w:r w:rsidRPr="00047252">
              <w:rPr>
                <w:sz w:val="22"/>
                <w:szCs w:val="22"/>
              </w:rPr>
              <w:br/>
              <w:t>č. 2073/2005 nereflektují pokrmy jako specifickou část potravin.</w:t>
            </w:r>
          </w:p>
        </w:tc>
      </w:tr>
      <w:tr w:rsidR="00F27D4A" w:rsidRPr="006E08DC" w14:paraId="20036C88" w14:textId="77777777" w:rsidTr="002D6463">
        <w:trPr>
          <w:trHeight w:val="1012"/>
        </w:trPr>
        <w:tc>
          <w:tcPr>
            <w:tcW w:w="2309" w:type="dxa"/>
            <w:tcBorders>
              <w:left w:val="single" w:sz="4" w:space="0" w:color="auto"/>
              <w:right w:val="single" w:sz="4" w:space="0" w:color="auto"/>
            </w:tcBorders>
          </w:tcPr>
          <w:p w14:paraId="2D8DFD9F" w14:textId="77777777" w:rsidR="00F27D4A" w:rsidRPr="006E08DC" w:rsidRDefault="00F27D4A"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3B4788D1" w14:textId="77777777" w:rsidR="00F27D4A" w:rsidRDefault="00171D23" w:rsidP="009C216E">
            <w:pPr>
              <w:pStyle w:val="Zkladntext"/>
              <w:ind w:left="34"/>
              <w:contextualSpacing/>
              <w:rPr>
                <w:sz w:val="22"/>
                <w:szCs w:val="22"/>
              </w:rPr>
            </w:pPr>
            <w:r w:rsidRPr="00171D23">
              <w:rPr>
                <w:sz w:val="22"/>
                <w:szCs w:val="22"/>
              </w:rPr>
              <w:t>6.</w:t>
            </w:r>
            <w:r w:rsidRPr="00171D23">
              <w:rPr>
                <w:sz w:val="22"/>
                <w:szCs w:val="22"/>
              </w:rPr>
              <w:tab/>
              <w:t xml:space="preserve">K obecné části důvodové zprávy, kapitole „Předpokládaný hospodářský a finanční dopad navrhované právní úpravy na státní rozpočet, …“: konstatování, že se nepředpokládá negativní dopad na státní rozpočet a </w:t>
            </w:r>
            <w:r w:rsidRPr="00AF287D">
              <w:rPr>
                <w:sz w:val="22"/>
                <w:szCs w:val="22"/>
              </w:rPr>
              <w:t>ostatní veřejné rozpočty doporučujeme odůvodnit, a to zejména s ohledem na skutečnost, že dodržování navrhované regulace bude kontrolováno ze strany inspekčních orgánů, v důsledku čehož lze z laického pohledu očekávat nárůst kontrolní agendy a tím pádem i riziko navýšení personálních nákladů.</w:t>
            </w:r>
          </w:p>
          <w:p w14:paraId="42587B6A" w14:textId="77777777" w:rsidR="00171D23" w:rsidRPr="00F27D4A" w:rsidRDefault="00171D23" w:rsidP="009C216E">
            <w:pPr>
              <w:pStyle w:val="Zkladntext"/>
              <w:ind w:left="34"/>
              <w:contextualSpacing/>
              <w:rPr>
                <w:sz w:val="22"/>
                <w:szCs w:val="22"/>
              </w:rPr>
            </w:pPr>
          </w:p>
        </w:tc>
        <w:tc>
          <w:tcPr>
            <w:tcW w:w="6237" w:type="dxa"/>
            <w:tcBorders>
              <w:top w:val="single" w:sz="4" w:space="0" w:color="auto"/>
              <w:left w:val="single" w:sz="4" w:space="0" w:color="auto"/>
              <w:right w:val="single" w:sz="4" w:space="0" w:color="auto"/>
            </w:tcBorders>
          </w:tcPr>
          <w:p w14:paraId="578361E8" w14:textId="77777777" w:rsidR="00F27D4A" w:rsidRPr="00AF287D" w:rsidRDefault="009055C7" w:rsidP="009C216E">
            <w:pPr>
              <w:ind w:right="175"/>
              <w:contextualSpacing/>
              <w:jc w:val="both"/>
              <w:rPr>
                <w:b/>
                <w:color w:val="000000"/>
                <w:sz w:val="22"/>
                <w:szCs w:val="22"/>
              </w:rPr>
            </w:pPr>
            <w:r w:rsidRPr="00AF287D">
              <w:rPr>
                <w:b/>
                <w:color w:val="000000"/>
                <w:sz w:val="22"/>
                <w:szCs w:val="22"/>
              </w:rPr>
              <w:t>Vysvětleno.</w:t>
            </w:r>
          </w:p>
          <w:p w14:paraId="664FD74C" w14:textId="77777777" w:rsidR="009055C7" w:rsidRPr="004F1A8A" w:rsidRDefault="009055C7" w:rsidP="00383BC0">
            <w:pPr>
              <w:ind w:right="175"/>
              <w:contextualSpacing/>
              <w:jc w:val="both"/>
              <w:rPr>
                <w:color w:val="000000"/>
                <w:sz w:val="22"/>
                <w:szCs w:val="22"/>
              </w:rPr>
            </w:pPr>
            <w:r w:rsidRPr="00B32297">
              <w:rPr>
                <w:color w:val="000000"/>
                <w:sz w:val="22"/>
                <w:szCs w:val="22"/>
              </w:rPr>
              <w:t xml:space="preserve">Dozorové orgány </w:t>
            </w:r>
            <w:r w:rsidR="0014661E" w:rsidRPr="00B32297">
              <w:rPr>
                <w:color w:val="000000"/>
                <w:sz w:val="22"/>
                <w:szCs w:val="22"/>
              </w:rPr>
              <w:t xml:space="preserve">v gesci Ministerstva zemědělství </w:t>
            </w:r>
            <w:r w:rsidRPr="00B32297">
              <w:rPr>
                <w:color w:val="000000"/>
                <w:sz w:val="22"/>
                <w:szCs w:val="22"/>
              </w:rPr>
              <w:t>jsou schopny</w:t>
            </w:r>
            <w:r w:rsidR="00383BC0" w:rsidRPr="00B32297">
              <w:rPr>
                <w:color w:val="000000"/>
                <w:sz w:val="22"/>
                <w:szCs w:val="22"/>
              </w:rPr>
              <w:t xml:space="preserve"> požadavky vyplývající z navrhované regulace</w:t>
            </w:r>
            <w:r w:rsidRPr="00B32297">
              <w:rPr>
                <w:color w:val="000000"/>
                <w:sz w:val="22"/>
                <w:szCs w:val="22"/>
              </w:rPr>
              <w:t xml:space="preserve"> pokrýt</w:t>
            </w:r>
            <w:r w:rsidR="00AF287D" w:rsidRPr="00B32297">
              <w:rPr>
                <w:color w:val="000000"/>
                <w:sz w:val="22"/>
                <w:szCs w:val="22"/>
              </w:rPr>
              <w:t xml:space="preserve"> ze stávajících zdrojů.</w:t>
            </w:r>
          </w:p>
        </w:tc>
      </w:tr>
      <w:tr w:rsidR="003E57D4" w:rsidRPr="006E08DC" w14:paraId="55A429F3" w14:textId="77777777" w:rsidTr="003E57D4">
        <w:trPr>
          <w:cantSplit/>
          <w:trHeight w:val="990"/>
        </w:trPr>
        <w:tc>
          <w:tcPr>
            <w:tcW w:w="2309" w:type="dxa"/>
            <w:tcBorders>
              <w:top w:val="single" w:sz="4" w:space="0" w:color="auto"/>
              <w:left w:val="single" w:sz="4" w:space="0" w:color="auto"/>
              <w:right w:val="single" w:sz="4" w:space="0" w:color="auto"/>
            </w:tcBorders>
          </w:tcPr>
          <w:p w14:paraId="6164F09D" w14:textId="77777777" w:rsidR="009542D4" w:rsidRDefault="009542D4" w:rsidP="006E08DC">
            <w:pPr>
              <w:contextualSpacing/>
              <w:rPr>
                <w:sz w:val="22"/>
                <w:szCs w:val="22"/>
              </w:rPr>
            </w:pPr>
          </w:p>
          <w:p w14:paraId="1F45C0DE" w14:textId="0B65F497" w:rsidR="003E57D4" w:rsidRPr="006E08DC" w:rsidRDefault="003E57D4" w:rsidP="006E08DC">
            <w:pPr>
              <w:contextualSpacing/>
              <w:rPr>
                <w:sz w:val="22"/>
                <w:szCs w:val="22"/>
              </w:rPr>
            </w:pPr>
            <w:r w:rsidRPr="006E08DC">
              <w:rPr>
                <w:sz w:val="22"/>
                <w:szCs w:val="22"/>
              </w:rPr>
              <w:t>Ministerstvo financí</w:t>
            </w:r>
          </w:p>
          <w:p w14:paraId="5204C430" w14:textId="77777777" w:rsidR="003E57D4" w:rsidRPr="006E08DC" w:rsidRDefault="003E57D4"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1BE7407A" w14:textId="77777777" w:rsidR="00E201EA" w:rsidRPr="00E201EA" w:rsidRDefault="00E201EA" w:rsidP="00E201EA">
            <w:pPr>
              <w:pStyle w:val="Zkladntext"/>
              <w:ind w:left="34"/>
              <w:contextualSpacing/>
              <w:rPr>
                <w:sz w:val="22"/>
                <w:szCs w:val="22"/>
              </w:rPr>
            </w:pPr>
            <w:r w:rsidRPr="00E201EA">
              <w:rPr>
                <w:sz w:val="22"/>
                <w:szCs w:val="22"/>
              </w:rPr>
              <w:t>1.</w:t>
            </w:r>
            <w:r w:rsidRPr="00E201EA">
              <w:rPr>
                <w:sz w:val="22"/>
                <w:szCs w:val="22"/>
              </w:rPr>
              <w:tab/>
              <w:t xml:space="preserve">K § 1: Doporučujeme text ustanovení upravit podle znění ve zmocňovacím ustanovení § 18 odst. 1 písm. t) zákona č. 110/1197 Sb. tak, aby předmět úpravy byl vymezen shodně se zněním uvedeného ustanovení, tj. takto: „Tato vyhláška upravuje technologické požadavky na výrobu pokrmů, způsob uvádění pokrmů na trh, smyslové, fyzikální, chemické a mikrobiologické požadavky na bezpečnost pokrmů.“ </w:t>
            </w:r>
          </w:p>
          <w:p w14:paraId="11A15666" w14:textId="77777777" w:rsidR="00E201EA" w:rsidRPr="00E201EA" w:rsidRDefault="00E201EA" w:rsidP="00E201EA">
            <w:pPr>
              <w:pStyle w:val="Zkladntext"/>
              <w:ind w:left="34"/>
              <w:contextualSpacing/>
              <w:rPr>
                <w:sz w:val="22"/>
                <w:szCs w:val="22"/>
              </w:rPr>
            </w:pPr>
            <w:r w:rsidRPr="00E201EA">
              <w:rPr>
                <w:sz w:val="22"/>
                <w:szCs w:val="22"/>
              </w:rPr>
              <w:t>V návaznosti na výše uvedené pak doporučujeme přeskupit jednotlivé paragrafy následně:</w:t>
            </w:r>
          </w:p>
          <w:p w14:paraId="757C44DE" w14:textId="77777777" w:rsidR="00E201EA" w:rsidRPr="00E201EA" w:rsidRDefault="00E201EA" w:rsidP="00E201EA">
            <w:pPr>
              <w:pStyle w:val="Zkladntext"/>
              <w:ind w:left="34"/>
              <w:contextualSpacing/>
              <w:rPr>
                <w:sz w:val="22"/>
                <w:szCs w:val="22"/>
              </w:rPr>
            </w:pPr>
            <w:r w:rsidRPr="00E201EA">
              <w:rPr>
                <w:sz w:val="22"/>
                <w:szCs w:val="22"/>
              </w:rPr>
              <w:t>§ 2 Technologické požadavky na výrobu pokrmů</w:t>
            </w:r>
          </w:p>
          <w:p w14:paraId="3B6AF33B" w14:textId="77777777" w:rsidR="00E201EA" w:rsidRPr="00E201EA" w:rsidRDefault="00E201EA" w:rsidP="00E201EA">
            <w:pPr>
              <w:pStyle w:val="Zkladntext"/>
              <w:ind w:left="34"/>
              <w:contextualSpacing/>
              <w:rPr>
                <w:sz w:val="22"/>
                <w:szCs w:val="22"/>
              </w:rPr>
            </w:pPr>
            <w:r w:rsidRPr="00E201EA">
              <w:rPr>
                <w:sz w:val="22"/>
                <w:szCs w:val="22"/>
              </w:rPr>
              <w:t>§ 3 Způsob uvádění pokrmů na trh</w:t>
            </w:r>
          </w:p>
          <w:p w14:paraId="1101FE92" w14:textId="77777777" w:rsidR="00E201EA" w:rsidRPr="00E201EA" w:rsidRDefault="00E201EA" w:rsidP="00E201EA">
            <w:pPr>
              <w:pStyle w:val="Zkladntext"/>
              <w:ind w:left="34"/>
              <w:contextualSpacing/>
              <w:rPr>
                <w:sz w:val="22"/>
                <w:szCs w:val="22"/>
              </w:rPr>
            </w:pPr>
            <w:r w:rsidRPr="00E201EA">
              <w:rPr>
                <w:sz w:val="22"/>
                <w:szCs w:val="22"/>
              </w:rPr>
              <w:t>§ 4 Smyslové, fyzikální, chemické požadavky na bezpečnost pokrmů</w:t>
            </w:r>
          </w:p>
          <w:p w14:paraId="148FDC3E" w14:textId="77777777" w:rsidR="00D318FF" w:rsidRDefault="00E201EA" w:rsidP="00E201EA">
            <w:pPr>
              <w:pStyle w:val="Zkladntext"/>
              <w:ind w:left="34"/>
              <w:contextualSpacing/>
              <w:rPr>
                <w:sz w:val="22"/>
                <w:szCs w:val="22"/>
              </w:rPr>
            </w:pPr>
            <w:r w:rsidRPr="00E201EA">
              <w:rPr>
                <w:sz w:val="22"/>
                <w:szCs w:val="22"/>
              </w:rPr>
              <w:t>§ 5 Mikrobiologické požadavky na bezpečnost pokrmů</w:t>
            </w:r>
          </w:p>
          <w:p w14:paraId="6E00E8A6" w14:textId="77777777" w:rsidR="00E201EA" w:rsidRPr="006E08DC" w:rsidRDefault="00E201EA" w:rsidP="00E201EA">
            <w:pPr>
              <w:pStyle w:val="Zkladntext"/>
              <w:ind w:left="34"/>
              <w:contextualSpacing/>
              <w:rPr>
                <w:color w:val="0000FF"/>
                <w:sz w:val="22"/>
                <w:szCs w:val="22"/>
              </w:rPr>
            </w:pPr>
          </w:p>
        </w:tc>
        <w:tc>
          <w:tcPr>
            <w:tcW w:w="6237" w:type="dxa"/>
            <w:tcBorders>
              <w:top w:val="single" w:sz="4" w:space="0" w:color="auto"/>
              <w:left w:val="single" w:sz="4" w:space="0" w:color="auto"/>
              <w:right w:val="single" w:sz="4" w:space="0" w:color="auto"/>
            </w:tcBorders>
          </w:tcPr>
          <w:p w14:paraId="33EA1600" w14:textId="77777777" w:rsidR="00E201EA" w:rsidRDefault="00E201EA" w:rsidP="00E201EA">
            <w:pPr>
              <w:ind w:right="175"/>
              <w:contextualSpacing/>
              <w:jc w:val="both"/>
              <w:rPr>
                <w:b/>
                <w:color w:val="000000"/>
                <w:sz w:val="22"/>
                <w:szCs w:val="22"/>
              </w:rPr>
            </w:pPr>
            <w:r>
              <w:rPr>
                <w:b/>
                <w:color w:val="000000"/>
                <w:sz w:val="22"/>
                <w:szCs w:val="22"/>
              </w:rPr>
              <w:t>Akceptováno.</w:t>
            </w:r>
          </w:p>
          <w:p w14:paraId="365AD4D8" w14:textId="77777777" w:rsidR="003E57D4" w:rsidRPr="00997273" w:rsidRDefault="00E201EA" w:rsidP="00E201EA">
            <w:pPr>
              <w:ind w:right="175"/>
              <w:contextualSpacing/>
              <w:jc w:val="both"/>
              <w:rPr>
                <w:color w:val="000000"/>
                <w:sz w:val="22"/>
                <w:szCs w:val="22"/>
              </w:rPr>
            </w:pPr>
            <w:r>
              <w:rPr>
                <w:color w:val="000000"/>
                <w:sz w:val="22"/>
                <w:szCs w:val="22"/>
              </w:rPr>
              <w:t>Text byl upraven.</w:t>
            </w:r>
          </w:p>
        </w:tc>
      </w:tr>
      <w:tr w:rsidR="00D318FF" w:rsidRPr="006E08DC" w14:paraId="0585C611" w14:textId="77777777" w:rsidTr="003E57D4">
        <w:trPr>
          <w:cantSplit/>
          <w:trHeight w:val="990"/>
        </w:trPr>
        <w:tc>
          <w:tcPr>
            <w:tcW w:w="2309" w:type="dxa"/>
            <w:tcBorders>
              <w:top w:val="single" w:sz="4" w:space="0" w:color="auto"/>
              <w:left w:val="single" w:sz="4" w:space="0" w:color="auto"/>
              <w:right w:val="single" w:sz="4" w:space="0" w:color="auto"/>
            </w:tcBorders>
          </w:tcPr>
          <w:p w14:paraId="15EA340F" w14:textId="77777777" w:rsidR="00D318FF" w:rsidRPr="006E08DC" w:rsidRDefault="00D318FF"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54DBE2B0" w14:textId="77777777" w:rsidR="00D318FF" w:rsidRPr="00D318FF" w:rsidRDefault="00E201EA" w:rsidP="00D37D7E">
            <w:pPr>
              <w:pStyle w:val="Zkladntext"/>
              <w:ind w:left="34"/>
              <w:contextualSpacing/>
              <w:rPr>
                <w:sz w:val="22"/>
                <w:szCs w:val="22"/>
              </w:rPr>
            </w:pPr>
            <w:r w:rsidRPr="00E201EA">
              <w:rPr>
                <w:sz w:val="22"/>
                <w:szCs w:val="22"/>
              </w:rPr>
              <w:t>2.</w:t>
            </w:r>
            <w:r w:rsidRPr="00E201EA">
              <w:rPr>
                <w:sz w:val="22"/>
                <w:szCs w:val="22"/>
              </w:rPr>
              <w:tab/>
              <w:t>K § 3 odst. 2: Doporučujeme za slovy „na trh“ vypustit slovo „musí“.</w:t>
            </w:r>
          </w:p>
        </w:tc>
        <w:tc>
          <w:tcPr>
            <w:tcW w:w="6237" w:type="dxa"/>
            <w:tcBorders>
              <w:top w:val="single" w:sz="4" w:space="0" w:color="auto"/>
              <w:left w:val="single" w:sz="4" w:space="0" w:color="auto"/>
              <w:right w:val="single" w:sz="4" w:space="0" w:color="auto"/>
            </w:tcBorders>
          </w:tcPr>
          <w:p w14:paraId="12945F78" w14:textId="77777777" w:rsidR="006B1AB0" w:rsidRDefault="006B1AB0" w:rsidP="006B1AB0">
            <w:pPr>
              <w:ind w:right="175"/>
              <w:contextualSpacing/>
              <w:jc w:val="both"/>
              <w:rPr>
                <w:b/>
                <w:color w:val="000000"/>
                <w:sz w:val="22"/>
                <w:szCs w:val="22"/>
              </w:rPr>
            </w:pPr>
            <w:r>
              <w:rPr>
                <w:b/>
                <w:color w:val="000000"/>
                <w:sz w:val="22"/>
                <w:szCs w:val="22"/>
              </w:rPr>
              <w:t>Akceptováno.</w:t>
            </w:r>
          </w:p>
          <w:p w14:paraId="611F36CA" w14:textId="77777777" w:rsidR="00D318FF" w:rsidRPr="00997273" w:rsidRDefault="006B1AB0" w:rsidP="006B1AB0">
            <w:pPr>
              <w:ind w:right="175"/>
              <w:contextualSpacing/>
              <w:jc w:val="both"/>
              <w:rPr>
                <w:color w:val="000000"/>
                <w:sz w:val="22"/>
                <w:szCs w:val="22"/>
              </w:rPr>
            </w:pPr>
            <w:r>
              <w:rPr>
                <w:color w:val="000000"/>
                <w:sz w:val="22"/>
                <w:szCs w:val="22"/>
              </w:rPr>
              <w:t>Text byl upraven.</w:t>
            </w:r>
          </w:p>
        </w:tc>
      </w:tr>
      <w:tr w:rsidR="00BA27AB" w:rsidRPr="006E08DC" w14:paraId="70A7D660" w14:textId="77777777" w:rsidTr="00192F7C">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780C361E" w14:textId="77777777" w:rsidR="00BA27AB" w:rsidRDefault="00BA27AB" w:rsidP="006E08DC">
            <w:pPr>
              <w:contextualSpacing/>
              <w:rPr>
                <w:sz w:val="22"/>
                <w:szCs w:val="22"/>
              </w:rPr>
            </w:pPr>
          </w:p>
          <w:p w14:paraId="078502BB" w14:textId="77777777" w:rsidR="00192F7C" w:rsidRPr="00894D87" w:rsidRDefault="00192F7C" w:rsidP="00192F7C">
            <w:pPr>
              <w:rPr>
                <w:sz w:val="22"/>
                <w:szCs w:val="22"/>
              </w:rPr>
            </w:pPr>
            <w:r w:rsidRPr="00894D87">
              <w:rPr>
                <w:sz w:val="22"/>
                <w:szCs w:val="22"/>
              </w:rPr>
              <w:t>Ministerstvo životního prostředí</w:t>
            </w:r>
          </w:p>
          <w:p w14:paraId="14C66DB8" w14:textId="77777777" w:rsidR="00192F7C" w:rsidRPr="006E08DC" w:rsidRDefault="00192F7C"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1B6BDEA6" w14:textId="77777777" w:rsidR="00644E08" w:rsidRDefault="00644E08" w:rsidP="006A2587">
            <w:pPr>
              <w:ind w:left="34"/>
              <w:contextualSpacing/>
              <w:jc w:val="both"/>
              <w:rPr>
                <w:sz w:val="22"/>
                <w:szCs w:val="22"/>
              </w:rPr>
            </w:pPr>
          </w:p>
          <w:p w14:paraId="14493FA1" w14:textId="77777777" w:rsidR="00BD0192" w:rsidRPr="006E08DC" w:rsidRDefault="00644E08" w:rsidP="006A2587">
            <w:pPr>
              <w:ind w:left="34"/>
              <w:contextualSpacing/>
              <w:jc w:val="both"/>
              <w:rPr>
                <w:sz w:val="22"/>
                <w:szCs w:val="22"/>
              </w:rPr>
            </w:pPr>
            <w:r w:rsidRPr="00894D87">
              <w:rPr>
                <w:sz w:val="22"/>
                <w:szCs w:val="22"/>
              </w:rPr>
              <w:t>Bez připomínek.</w:t>
            </w:r>
          </w:p>
        </w:tc>
        <w:tc>
          <w:tcPr>
            <w:tcW w:w="6237" w:type="dxa"/>
            <w:tcBorders>
              <w:top w:val="single" w:sz="4" w:space="0" w:color="auto"/>
              <w:left w:val="single" w:sz="4" w:space="0" w:color="auto"/>
              <w:bottom w:val="single" w:sz="4" w:space="0" w:color="auto"/>
              <w:right w:val="single" w:sz="4" w:space="0" w:color="auto"/>
            </w:tcBorders>
          </w:tcPr>
          <w:p w14:paraId="591AB53D" w14:textId="77777777" w:rsidR="00EF253F" w:rsidRPr="006E08DC" w:rsidRDefault="00EF253F" w:rsidP="00257A48">
            <w:pPr>
              <w:ind w:right="175"/>
              <w:contextualSpacing/>
              <w:jc w:val="both"/>
              <w:rPr>
                <w:color w:val="000000"/>
                <w:sz w:val="22"/>
                <w:szCs w:val="22"/>
              </w:rPr>
            </w:pPr>
          </w:p>
        </w:tc>
      </w:tr>
      <w:tr w:rsidR="00192F7C" w:rsidRPr="006E08DC" w14:paraId="6E2BF598" w14:textId="77777777" w:rsidTr="00192F7C">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71D80C52" w14:textId="77777777" w:rsidR="00192F7C" w:rsidRDefault="00192F7C" w:rsidP="006E08DC">
            <w:pPr>
              <w:contextualSpacing/>
              <w:rPr>
                <w:sz w:val="22"/>
                <w:szCs w:val="22"/>
              </w:rPr>
            </w:pPr>
          </w:p>
          <w:p w14:paraId="085D91EA" w14:textId="77777777" w:rsidR="00192F7C" w:rsidRPr="00894D87" w:rsidRDefault="00192F7C" w:rsidP="00192F7C">
            <w:pPr>
              <w:rPr>
                <w:sz w:val="22"/>
                <w:szCs w:val="22"/>
              </w:rPr>
            </w:pPr>
            <w:r w:rsidRPr="00894D87">
              <w:rPr>
                <w:sz w:val="22"/>
                <w:szCs w:val="22"/>
              </w:rPr>
              <w:t>Správa státních hmotných rezerv</w:t>
            </w:r>
          </w:p>
          <w:p w14:paraId="08B375AF" w14:textId="77777777" w:rsidR="00192F7C" w:rsidRDefault="00192F7C"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67B66C79" w14:textId="77777777" w:rsidR="00192F7C" w:rsidRDefault="00192F7C" w:rsidP="006A2587">
            <w:pPr>
              <w:ind w:left="34"/>
              <w:contextualSpacing/>
              <w:jc w:val="both"/>
              <w:rPr>
                <w:sz w:val="22"/>
                <w:szCs w:val="22"/>
              </w:rPr>
            </w:pPr>
          </w:p>
          <w:p w14:paraId="5C6C5D1C" w14:textId="77777777" w:rsidR="00C40075" w:rsidRPr="006E08DC" w:rsidRDefault="00AA1A49" w:rsidP="006A2587">
            <w:pPr>
              <w:ind w:left="34"/>
              <w:contextualSpacing/>
              <w:jc w:val="both"/>
              <w:rPr>
                <w:sz w:val="22"/>
                <w:szCs w:val="22"/>
              </w:rPr>
            </w:pPr>
            <w:r>
              <w:rPr>
                <w:sz w:val="22"/>
                <w:szCs w:val="22"/>
              </w:rPr>
              <w:t>Bez vyjádření</w:t>
            </w:r>
            <w:r w:rsidR="00C40075" w:rsidRPr="00894D87">
              <w:rPr>
                <w:sz w:val="22"/>
                <w:szCs w:val="22"/>
              </w:rPr>
              <w:t>.</w:t>
            </w:r>
          </w:p>
        </w:tc>
        <w:tc>
          <w:tcPr>
            <w:tcW w:w="6237" w:type="dxa"/>
            <w:tcBorders>
              <w:top w:val="single" w:sz="4" w:space="0" w:color="auto"/>
              <w:left w:val="single" w:sz="4" w:space="0" w:color="auto"/>
              <w:bottom w:val="single" w:sz="4" w:space="0" w:color="auto"/>
              <w:right w:val="single" w:sz="4" w:space="0" w:color="auto"/>
            </w:tcBorders>
          </w:tcPr>
          <w:p w14:paraId="443CDE61" w14:textId="77777777" w:rsidR="00192F7C" w:rsidRPr="006E08DC" w:rsidRDefault="00192F7C" w:rsidP="00257A48">
            <w:pPr>
              <w:ind w:right="175"/>
              <w:contextualSpacing/>
              <w:jc w:val="both"/>
              <w:rPr>
                <w:color w:val="000000"/>
                <w:sz w:val="22"/>
                <w:szCs w:val="22"/>
              </w:rPr>
            </w:pPr>
          </w:p>
        </w:tc>
      </w:tr>
      <w:tr w:rsidR="00192F7C" w:rsidRPr="006E08DC" w14:paraId="7B8447AF" w14:textId="77777777" w:rsidTr="00192F7C">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2779B790" w14:textId="77777777" w:rsidR="00192F7C" w:rsidRDefault="00192F7C" w:rsidP="006E08DC">
            <w:pPr>
              <w:contextualSpacing/>
              <w:rPr>
                <w:sz w:val="22"/>
                <w:szCs w:val="22"/>
              </w:rPr>
            </w:pPr>
          </w:p>
          <w:p w14:paraId="0383E629" w14:textId="77777777" w:rsidR="00192F7C" w:rsidRPr="00894D87" w:rsidRDefault="00192F7C" w:rsidP="00192F7C">
            <w:pPr>
              <w:rPr>
                <w:sz w:val="22"/>
                <w:szCs w:val="22"/>
              </w:rPr>
            </w:pPr>
            <w:r w:rsidRPr="00894D87">
              <w:rPr>
                <w:sz w:val="22"/>
                <w:szCs w:val="22"/>
              </w:rPr>
              <w:t>Český báňský úřad</w:t>
            </w:r>
          </w:p>
          <w:p w14:paraId="76215403" w14:textId="77777777" w:rsidR="00192F7C" w:rsidRDefault="00192F7C"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77A0DBDE" w14:textId="77777777" w:rsidR="00192F7C" w:rsidRDefault="00192F7C" w:rsidP="006A2587">
            <w:pPr>
              <w:ind w:left="34"/>
              <w:contextualSpacing/>
              <w:jc w:val="both"/>
              <w:rPr>
                <w:sz w:val="22"/>
                <w:szCs w:val="22"/>
              </w:rPr>
            </w:pPr>
          </w:p>
          <w:p w14:paraId="711FB953" w14:textId="77777777" w:rsidR="00C40075" w:rsidRPr="006E08DC" w:rsidRDefault="00C40075" w:rsidP="006A2587">
            <w:pPr>
              <w:ind w:left="34"/>
              <w:contextualSpacing/>
              <w:jc w:val="both"/>
              <w:rPr>
                <w:sz w:val="22"/>
                <w:szCs w:val="22"/>
              </w:rPr>
            </w:pPr>
            <w:r w:rsidRPr="00894D87">
              <w:rPr>
                <w:sz w:val="22"/>
                <w:szCs w:val="22"/>
              </w:rPr>
              <w:t>Bez připomínek.</w:t>
            </w:r>
          </w:p>
        </w:tc>
        <w:tc>
          <w:tcPr>
            <w:tcW w:w="6237" w:type="dxa"/>
            <w:tcBorders>
              <w:top w:val="single" w:sz="4" w:space="0" w:color="auto"/>
              <w:left w:val="single" w:sz="4" w:space="0" w:color="auto"/>
              <w:bottom w:val="single" w:sz="4" w:space="0" w:color="auto"/>
              <w:right w:val="single" w:sz="4" w:space="0" w:color="auto"/>
            </w:tcBorders>
          </w:tcPr>
          <w:p w14:paraId="691591B9" w14:textId="77777777" w:rsidR="00192F7C" w:rsidRPr="006E08DC" w:rsidRDefault="00192F7C" w:rsidP="00257A48">
            <w:pPr>
              <w:ind w:right="175"/>
              <w:contextualSpacing/>
              <w:jc w:val="both"/>
              <w:rPr>
                <w:color w:val="000000"/>
                <w:sz w:val="22"/>
                <w:szCs w:val="22"/>
              </w:rPr>
            </w:pPr>
          </w:p>
        </w:tc>
      </w:tr>
      <w:tr w:rsidR="003E57D4" w:rsidRPr="006E08DC" w14:paraId="60C76667" w14:textId="77777777" w:rsidTr="00216FEF">
        <w:trPr>
          <w:trHeight w:val="1446"/>
        </w:trPr>
        <w:tc>
          <w:tcPr>
            <w:tcW w:w="2309" w:type="dxa"/>
            <w:tcBorders>
              <w:top w:val="single" w:sz="4" w:space="0" w:color="auto"/>
              <w:left w:val="single" w:sz="4" w:space="0" w:color="auto"/>
              <w:right w:val="single" w:sz="4" w:space="0" w:color="auto"/>
            </w:tcBorders>
          </w:tcPr>
          <w:p w14:paraId="1CBF10D8" w14:textId="77777777" w:rsidR="003E57D4" w:rsidRDefault="003E57D4" w:rsidP="006E08DC">
            <w:pPr>
              <w:contextualSpacing/>
              <w:rPr>
                <w:sz w:val="22"/>
                <w:szCs w:val="22"/>
              </w:rPr>
            </w:pPr>
          </w:p>
          <w:p w14:paraId="68F5E324" w14:textId="77777777" w:rsidR="003E57D4" w:rsidRPr="00894D87" w:rsidRDefault="003E57D4" w:rsidP="00192F7C">
            <w:pPr>
              <w:rPr>
                <w:sz w:val="22"/>
                <w:szCs w:val="22"/>
              </w:rPr>
            </w:pPr>
            <w:r w:rsidRPr="00894D87">
              <w:rPr>
                <w:sz w:val="22"/>
                <w:szCs w:val="22"/>
              </w:rPr>
              <w:t>Úřad vlády</w:t>
            </w:r>
            <w:r>
              <w:rPr>
                <w:sz w:val="22"/>
                <w:szCs w:val="22"/>
              </w:rPr>
              <w:t xml:space="preserve"> ČR -</w:t>
            </w:r>
          </w:p>
          <w:p w14:paraId="3C17D084" w14:textId="77777777" w:rsidR="003E57D4" w:rsidRPr="00894D87" w:rsidRDefault="003E57D4" w:rsidP="00192F7C">
            <w:pPr>
              <w:rPr>
                <w:sz w:val="22"/>
                <w:szCs w:val="22"/>
              </w:rPr>
            </w:pPr>
            <w:r w:rsidRPr="00894D87">
              <w:rPr>
                <w:sz w:val="22"/>
                <w:szCs w:val="22"/>
              </w:rPr>
              <w:t>Odbor kompatibility s právem EU</w:t>
            </w:r>
          </w:p>
          <w:p w14:paraId="78A73C21" w14:textId="77777777" w:rsidR="003E57D4" w:rsidRDefault="003E57D4"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42BAB892" w14:textId="77777777" w:rsidR="00862CCB" w:rsidRPr="00047252" w:rsidRDefault="00862CCB" w:rsidP="00862CCB">
            <w:pPr>
              <w:pStyle w:val="Zkladntext"/>
              <w:ind w:left="34"/>
              <w:contextualSpacing/>
              <w:rPr>
                <w:bCs/>
                <w:sz w:val="22"/>
                <w:szCs w:val="22"/>
              </w:rPr>
            </w:pPr>
            <w:r w:rsidRPr="00047252">
              <w:rPr>
                <w:bCs/>
                <w:sz w:val="22"/>
                <w:szCs w:val="22"/>
              </w:rPr>
              <w:t>K § 3 a příloha č. 1 návrhu</w:t>
            </w:r>
          </w:p>
          <w:p w14:paraId="1047992D" w14:textId="77777777" w:rsidR="00216FEF" w:rsidRPr="00047252" w:rsidRDefault="00862CCB" w:rsidP="00862CCB">
            <w:pPr>
              <w:pStyle w:val="Zkladntext"/>
              <w:ind w:left="34"/>
              <w:contextualSpacing/>
              <w:rPr>
                <w:bCs/>
                <w:sz w:val="22"/>
                <w:szCs w:val="22"/>
              </w:rPr>
            </w:pPr>
            <w:r w:rsidRPr="00047252">
              <w:rPr>
                <w:bCs/>
                <w:sz w:val="22"/>
                <w:szCs w:val="22"/>
              </w:rPr>
              <w:t>Požadujeme vyjasnit, na základě čeho dovozuje předkladatel možnost stanovit mikrobiologické požadavky nad rámec nařízení Komise (ES) č. 2073/2005.</w:t>
            </w:r>
          </w:p>
        </w:tc>
        <w:tc>
          <w:tcPr>
            <w:tcW w:w="6237" w:type="dxa"/>
            <w:tcBorders>
              <w:top w:val="single" w:sz="4" w:space="0" w:color="auto"/>
              <w:left w:val="single" w:sz="4" w:space="0" w:color="auto"/>
              <w:right w:val="single" w:sz="4" w:space="0" w:color="auto"/>
            </w:tcBorders>
          </w:tcPr>
          <w:p w14:paraId="25CC088C" w14:textId="77777777" w:rsidR="00357BAA" w:rsidRPr="005F2E07" w:rsidRDefault="00357BAA" w:rsidP="00357BAA">
            <w:pPr>
              <w:jc w:val="both"/>
              <w:rPr>
                <w:b/>
                <w:sz w:val="22"/>
              </w:rPr>
            </w:pPr>
            <w:r w:rsidRPr="005F2E07">
              <w:rPr>
                <w:b/>
                <w:sz w:val="22"/>
              </w:rPr>
              <w:t>Vysvětleno.</w:t>
            </w:r>
          </w:p>
          <w:p w14:paraId="1F70BB5A" w14:textId="77777777" w:rsidR="00D43011" w:rsidRDefault="00D43011" w:rsidP="004F3085">
            <w:pPr>
              <w:jc w:val="both"/>
              <w:rPr>
                <w:sz w:val="22"/>
              </w:rPr>
            </w:pPr>
            <w:r w:rsidRPr="00D43011">
              <w:rPr>
                <w:sz w:val="22"/>
              </w:rPr>
              <w:t>V II. návrhu vyhlášky nově přesunuto pod § 5.</w:t>
            </w:r>
          </w:p>
          <w:p w14:paraId="1BB97086" w14:textId="77777777" w:rsidR="009D3B37" w:rsidRDefault="009D3B37" w:rsidP="004538A7">
            <w:pPr>
              <w:pStyle w:val="Bezmezer"/>
              <w:jc w:val="both"/>
              <w:rPr>
                <w:rFonts w:ascii="Arial" w:hAnsi="Arial" w:cs="Arial"/>
              </w:rPr>
            </w:pPr>
          </w:p>
          <w:p w14:paraId="0AEA8840" w14:textId="33C2A35A" w:rsidR="009D3B37" w:rsidRDefault="009D3B37" w:rsidP="009D3B37">
            <w:pPr>
              <w:jc w:val="both"/>
              <w:rPr>
                <w:sz w:val="22"/>
                <w:szCs w:val="22"/>
              </w:rPr>
            </w:pPr>
            <w:r w:rsidRPr="00913E45">
              <w:t>N</w:t>
            </w:r>
            <w:r w:rsidR="00357BAA" w:rsidRPr="00913E45">
              <w:t xml:space="preserve">ařízení Komise (ES) č. 2073/2005 </w:t>
            </w:r>
            <w:r w:rsidR="003B1075" w:rsidRPr="00913E45">
              <w:t>stanoví</w:t>
            </w:r>
            <w:r w:rsidR="003B1075" w:rsidRPr="0076581F">
              <w:t xml:space="preserve"> kritéria pro bezpečnost potravin a pro hygienu výrobního procesu pro vybrané druhy mikroorganismů a pro vybrané komodity. Stanovená kritéria lze z části aplikovat na oblast stravovacích služeb, </w:t>
            </w:r>
            <w:r w:rsidR="003B1075" w:rsidRPr="0076581F">
              <w:rPr>
                <w:b/>
              </w:rPr>
              <w:t>nicméně rozsahem nepokrývá</w:t>
            </w:r>
            <w:r w:rsidR="003B1075">
              <w:rPr>
                <w:b/>
              </w:rPr>
              <w:t xml:space="preserve"> relevantní</w:t>
            </w:r>
            <w:r w:rsidR="003B1075" w:rsidRPr="0076581F">
              <w:rPr>
                <w:b/>
              </w:rPr>
              <w:t xml:space="preserve"> potencionální rizika spojená s výrobou a uváděním pokrmů na trh.</w:t>
            </w:r>
            <w:r w:rsidR="003B1075" w:rsidRPr="009D3B37">
              <w:t xml:space="preserve"> </w:t>
            </w:r>
            <w:r w:rsidR="004538A7">
              <w:t xml:space="preserve">Článek 1 </w:t>
            </w:r>
            <w:r w:rsidR="00003645">
              <w:t>odst. 1</w:t>
            </w:r>
            <w:r w:rsidR="004538A7">
              <w:t xml:space="preserve"> nařízení Komise (ES) č. 2073/2005 umožňuje </w:t>
            </w:r>
            <w:r w:rsidR="004538A7">
              <w:rPr>
                <w:color w:val="000000"/>
              </w:rPr>
              <w:t>příslušným orgánům provádět další odběry vzorků a vyšetření za účelem průkazu a měření jiných mikroorganismů, jejich toxinů či metabolitů, a to buď v rámci ověřování procesů v případě potravin, u nichž existuje podezření, že nejsou bezpečné, nebo v souvislosti s</w:t>
            </w:r>
            <w:r w:rsidR="00205BA1">
              <w:rPr>
                <w:color w:val="000000"/>
              </w:rPr>
              <w:t> hodnocením zdravotních rizik</w:t>
            </w:r>
            <w:r w:rsidR="004538A7">
              <w:rPr>
                <w:color w:val="000000"/>
              </w:rPr>
              <w:t>.</w:t>
            </w:r>
            <w:r w:rsidR="00D203CF">
              <w:rPr>
                <w:color w:val="000000"/>
              </w:rPr>
              <w:t xml:space="preserve"> Z této úpravy je zjevné, že předmětné nařízení není vyčerpávající úpravou celé problematiky </w:t>
            </w:r>
            <w:r w:rsidR="00D203CF" w:rsidRPr="004F744E">
              <w:rPr>
                <w:color w:val="000000"/>
              </w:rPr>
              <w:t>mikrobiologie</w:t>
            </w:r>
            <w:r w:rsidR="009E4E25">
              <w:rPr>
                <w:color w:val="000000"/>
              </w:rPr>
              <w:t xml:space="preserve"> potravin</w:t>
            </w:r>
            <w:r w:rsidR="00D203CF">
              <w:rPr>
                <w:color w:val="000000"/>
              </w:rPr>
              <w:t>.</w:t>
            </w:r>
            <w:r w:rsidR="00913E45">
              <w:rPr>
                <w:color w:val="000000"/>
              </w:rPr>
              <w:t xml:space="preserve"> Níže jsou uvedeny příklady, které dokládají nedostatečnost evropské úpravy na příkladech jednotlivých mikroorganismů.</w:t>
            </w:r>
          </w:p>
          <w:p w14:paraId="72C1901E" w14:textId="24750C15" w:rsidR="009D3B37" w:rsidRPr="00A71732" w:rsidRDefault="009D3B37" w:rsidP="009D3B37">
            <w:pPr>
              <w:jc w:val="both"/>
              <w:rPr>
                <w:b/>
                <w:sz w:val="22"/>
                <w:szCs w:val="22"/>
              </w:rPr>
            </w:pPr>
            <w:r>
              <w:rPr>
                <w:b/>
                <w:sz w:val="22"/>
                <w:szCs w:val="22"/>
              </w:rPr>
              <w:t xml:space="preserve">Pokud existují důvody pro podezření, že potravina (pokrm) není </w:t>
            </w:r>
            <w:r w:rsidRPr="00A71732">
              <w:rPr>
                <w:b/>
                <w:sz w:val="22"/>
                <w:szCs w:val="22"/>
              </w:rPr>
              <w:t xml:space="preserve">bezpečná (viz </w:t>
            </w:r>
            <w:r w:rsidR="0076581F">
              <w:rPr>
                <w:b/>
                <w:sz w:val="22"/>
                <w:szCs w:val="22"/>
              </w:rPr>
              <w:t xml:space="preserve">čl. 14 odst. 8 </w:t>
            </w:r>
            <w:r w:rsidRPr="00A71732">
              <w:rPr>
                <w:b/>
                <w:sz w:val="22"/>
                <w:szCs w:val="22"/>
              </w:rPr>
              <w:t xml:space="preserve">nařízení </w:t>
            </w:r>
            <w:r w:rsidR="0076581F">
              <w:rPr>
                <w:b/>
                <w:sz w:val="22"/>
                <w:szCs w:val="22"/>
              </w:rPr>
              <w:t>ES č. </w:t>
            </w:r>
            <w:r>
              <w:rPr>
                <w:b/>
                <w:sz w:val="22"/>
                <w:szCs w:val="22"/>
              </w:rPr>
              <w:t>178/2002), příslušné orgány mohou</w:t>
            </w:r>
            <w:r w:rsidRPr="00A71732">
              <w:rPr>
                <w:b/>
                <w:sz w:val="22"/>
                <w:szCs w:val="22"/>
              </w:rPr>
              <w:t xml:space="preserve"> přijímat vhodná opatření k omezení jejího uvádění na tr</w:t>
            </w:r>
            <w:r>
              <w:rPr>
                <w:b/>
                <w:sz w:val="22"/>
                <w:szCs w:val="22"/>
              </w:rPr>
              <w:t>h nebo k jejímu stažení z</w:t>
            </w:r>
            <w:r w:rsidR="00D203CF">
              <w:rPr>
                <w:b/>
                <w:sz w:val="22"/>
                <w:szCs w:val="22"/>
              </w:rPr>
              <w:t> </w:t>
            </w:r>
            <w:r>
              <w:rPr>
                <w:b/>
                <w:sz w:val="22"/>
                <w:szCs w:val="22"/>
              </w:rPr>
              <w:t>trhu</w:t>
            </w:r>
            <w:r w:rsidR="00D203CF">
              <w:rPr>
                <w:b/>
                <w:sz w:val="22"/>
                <w:szCs w:val="22"/>
              </w:rPr>
              <w:t xml:space="preserve"> i pokud vyhovují zvláštním předpisům EU (jako je nařízení (ES) </w:t>
            </w:r>
            <w:r w:rsidR="009542D4">
              <w:rPr>
                <w:b/>
                <w:sz w:val="22"/>
                <w:szCs w:val="22"/>
              </w:rPr>
              <w:t xml:space="preserve">č. </w:t>
            </w:r>
            <w:r w:rsidR="00D203CF" w:rsidRPr="00A71732">
              <w:rPr>
                <w:b/>
                <w:sz w:val="22"/>
                <w:szCs w:val="22"/>
              </w:rPr>
              <w:t>2073/2005</w:t>
            </w:r>
            <w:r w:rsidR="00D203CF">
              <w:rPr>
                <w:b/>
                <w:sz w:val="22"/>
                <w:szCs w:val="22"/>
              </w:rPr>
              <w:t xml:space="preserve"> – vyhovění je dáno z důvodu neúplnosti právní úpravy)</w:t>
            </w:r>
            <w:r>
              <w:rPr>
                <w:b/>
                <w:sz w:val="22"/>
                <w:szCs w:val="22"/>
              </w:rPr>
              <w:t xml:space="preserve">. </w:t>
            </w:r>
            <w:r w:rsidRPr="00A71732">
              <w:rPr>
                <w:b/>
                <w:sz w:val="22"/>
                <w:szCs w:val="22"/>
              </w:rPr>
              <w:t>Pokud</w:t>
            </w:r>
            <w:r>
              <w:rPr>
                <w:b/>
                <w:sz w:val="22"/>
                <w:szCs w:val="22"/>
              </w:rPr>
              <w:t xml:space="preserve"> </w:t>
            </w:r>
            <w:r w:rsidRPr="00A71732">
              <w:rPr>
                <w:b/>
                <w:sz w:val="22"/>
                <w:szCs w:val="22"/>
              </w:rPr>
              <w:t>neexistují kritéria (limity) v nař</w:t>
            </w:r>
            <w:r>
              <w:rPr>
                <w:b/>
                <w:sz w:val="22"/>
                <w:szCs w:val="22"/>
              </w:rPr>
              <w:t>ízení</w:t>
            </w:r>
            <w:r w:rsidRPr="00A71732">
              <w:rPr>
                <w:b/>
                <w:sz w:val="22"/>
                <w:szCs w:val="22"/>
              </w:rPr>
              <w:t xml:space="preserve"> 2073/2005</w:t>
            </w:r>
            <w:r>
              <w:rPr>
                <w:b/>
                <w:sz w:val="22"/>
                <w:szCs w:val="22"/>
              </w:rPr>
              <w:t>,</w:t>
            </w:r>
            <w:r w:rsidRPr="00A71732">
              <w:rPr>
                <w:b/>
                <w:sz w:val="22"/>
                <w:szCs w:val="22"/>
              </w:rPr>
              <w:t xml:space="preserve"> žádá </w:t>
            </w:r>
            <w:r w:rsidR="00D203CF">
              <w:rPr>
                <w:b/>
                <w:sz w:val="22"/>
                <w:szCs w:val="22"/>
              </w:rPr>
              <w:t xml:space="preserve">v současnosti </w:t>
            </w:r>
            <w:r w:rsidRPr="00AF75A2">
              <w:rPr>
                <w:b/>
                <w:sz w:val="22"/>
                <w:szCs w:val="22"/>
              </w:rPr>
              <w:lastRenderedPageBreak/>
              <w:t>SZPI při zjištění patogenních bakterií</w:t>
            </w:r>
            <w:r>
              <w:rPr>
                <w:b/>
                <w:sz w:val="22"/>
                <w:szCs w:val="22"/>
              </w:rPr>
              <w:t>/ jejich toxinů</w:t>
            </w:r>
            <w:r w:rsidRPr="00AF75A2">
              <w:rPr>
                <w:b/>
                <w:sz w:val="22"/>
                <w:szCs w:val="22"/>
              </w:rPr>
              <w:t xml:space="preserve"> popř. vysokých počtů indikátorových bakterií</w:t>
            </w:r>
            <w:r w:rsidRPr="00A71732">
              <w:rPr>
                <w:b/>
                <w:sz w:val="22"/>
                <w:szCs w:val="22"/>
              </w:rPr>
              <w:t xml:space="preserve">, pro které nejsou stanoveny limity v nařízení 2073/2005, o </w:t>
            </w:r>
            <w:r w:rsidR="00205BA1">
              <w:rPr>
                <w:b/>
                <w:sz w:val="22"/>
                <w:szCs w:val="22"/>
              </w:rPr>
              <w:t xml:space="preserve">hodnocení zdravotního </w:t>
            </w:r>
            <w:r w:rsidRPr="00A71732">
              <w:rPr>
                <w:b/>
                <w:sz w:val="22"/>
                <w:szCs w:val="22"/>
              </w:rPr>
              <w:t xml:space="preserve"> rizika SZÚ Praha (v souhlasu s § 16a odst. 8 zákona č. 110/1997 Sb.). Tento proces hodnocení „případ od případu“ je zdlouhavý</w:t>
            </w:r>
            <w:r w:rsidR="00D203CF">
              <w:rPr>
                <w:b/>
                <w:sz w:val="22"/>
                <w:szCs w:val="22"/>
              </w:rPr>
              <w:t xml:space="preserve">, náročný na personální zdroje </w:t>
            </w:r>
            <w:r w:rsidRPr="00A71732">
              <w:rPr>
                <w:b/>
                <w:sz w:val="22"/>
                <w:szCs w:val="22"/>
              </w:rPr>
              <w:t xml:space="preserve">a </w:t>
            </w:r>
            <w:r w:rsidR="00913E45">
              <w:rPr>
                <w:b/>
                <w:sz w:val="22"/>
                <w:szCs w:val="22"/>
              </w:rPr>
              <w:t xml:space="preserve">výrazně </w:t>
            </w:r>
            <w:r w:rsidRPr="00A71732">
              <w:rPr>
                <w:b/>
                <w:sz w:val="22"/>
                <w:szCs w:val="22"/>
              </w:rPr>
              <w:t>zpomaluje ochranu</w:t>
            </w:r>
            <w:r w:rsidR="00913E45">
              <w:rPr>
                <w:b/>
                <w:sz w:val="22"/>
                <w:szCs w:val="22"/>
              </w:rPr>
              <w:t xml:space="preserve"> zdraví</w:t>
            </w:r>
            <w:r w:rsidRPr="00A71732">
              <w:rPr>
                <w:b/>
                <w:sz w:val="22"/>
                <w:szCs w:val="22"/>
              </w:rPr>
              <w:t xml:space="preserve"> spotřebitele.</w:t>
            </w:r>
          </w:p>
          <w:p w14:paraId="06C2C584" w14:textId="77777777" w:rsidR="009D3B37" w:rsidRPr="00A71732" w:rsidRDefault="009D3B37" w:rsidP="009D3B37">
            <w:pPr>
              <w:jc w:val="both"/>
              <w:rPr>
                <w:b/>
                <w:sz w:val="22"/>
                <w:szCs w:val="22"/>
              </w:rPr>
            </w:pPr>
          </w:p>
          <w:p w14:paraId="75AD8A97" w14:textId="32EB5A4F" w:rsidR="00D203CF" w:rsidRPr="00037BAF" w:rsidRDefault="00D203CF" w:rsidP="00D203CF">
            <w:pPr>
              <w:jc w:val="both"/>
              <w:rPr>
                <w:sz w:val="22"/>
              </w:rPr>
            </w:pPr>
            <w:r w:rsidRPr="002037FF">
              <w:rPr>
                <w:sz w:val="22"/>
                <w:szCs w:val="22"/>
              </w:rPr>
              <w:t>Vzhledem k tomu, že pro řadu mikroorganismů navržených do vyhlášky popř. pro kombinaci mikroorganismus-pokrm neexistuje zvláštní předpis EU, umožňuje čl. 14 odst. 9 nařízení</w:t>
            </w:r>
            <w:r>
              <w:rPr>
                <w:sz w:val="22"/>
                <w:szCs w:val="22"/>
              </w:rPr>
              <w:t xml:space="preserve"> (ES)</w:t>
            </w:r>
            <w:r w:rsidRPr="002037FF">
              <w:rPr>
                <w:sz w:val="22"/>
                <w:szCs w:val="22"/>
              </w:rPr>
              <w:t xml:space="preserve"> 178/2002</w:t>
            </w:r>
            <w:r>
              <w:rPr>
                <w:sz w:val="22"/>
                <w:szCs w:val="22"/>
              </w:rPr>
              <w:t xml:space="preserve"> (obecné potravinové právo)</w:t>
            </w:r>
            <w:r w:rsidRPr="002037FF">
              <w:rPr>
                <w:sz w:val="22"/>
                <w:szCs w:val="22"/>
              </w:rPr>
              <w:t xml:space="preserve"> vzít jako právní základ pro posouzení  b</w:t>
            </w:r>
            <w:r>
              <w:rPr>
                <w:sz w:val="22"/>
                <w:szCs w:val="22"/>
              </w:rPr>
              <w:t>ezpečnosti vnitrostátní předpis</w:t>
            </w:r>
            <w:r w:rsidRPr="002037FF">
              <w:rPr>
                <w:sz w:val="22"/>
                <w:szCs w:val="22"/>
              </w:rPr>
              <w:t>, který</w:t>
            </w:r>
            <w:r>
              <w:rPr>
                <w:sz w:val="22"/>
                <w:szCs w:val="22"/>
              </w:rPr>
              <w:t xml:space="preserve"> MZe tímto v souladu se zmocněním v zákoně o potravinách navrhuje přijmout</w:t>
            </w:r>
            <w:r w:rsidRPr="002037FF">
              <w:rPr>
                <w:sz w:val="22"/>
                <w:szCs w:val="22"/>
              </w:rPr>
              <w:t xml:space="preserve"> (zákon </w:t>
            </w:r>
            <w:r>
              <w:rPr>
                <w:sz w:val="22"/>
                <w:szCs w:val="22"/>
              </w:rPr>
              <w:t xml:space="preserve">č. </w:t>
            </w:r>
            <w:r w:rsidRPr="002037FF">
              <w:rPr>
                <w:sz w:val="22"/>
                <w:szCs w:val="22"/>
              </w:rPr>
              <w:t>110/1997 Sb. t</w:t>
            </w:r>
            <w:r>
              <w:rPr>
                <w:sz w:val="22"/>
                <w:szCs w:val="22"/>
              </w:rPr>
              <w:t>akový postup</w:t>
            </w:r>
            <w:r w:rsidRPr="002037FF">
              <w:rPr>
                <w:sz w:val="22"/>
                <w:szCs w:val="22"/>
              </w:rPr>
              <w:t xml:space="preserve"> předpokládá). Ustanovení čl. 28 a 30 Smlouvy nejsou dotčena, protože se jedná o zdraví spotřebitelů a pokrmy jsou </w:t>
            </w:r>
            <w:r>
              <w:rPr>
                <w:sz w:val="22"/>
                <w:szCs w:val="22"/>
              </w:rPr>
              <w:t>ve většině případů</w:t>
            </w:r>
            <w:r w:rsidRPr="002037FF">
              <w:rPr>
                <w:sz w:val="22"/>
                <w:szCs w:val="22"/>
              </w:rPr>
              <w:t xml:space="preserve"> uváděny na trh pouze v rámci jednoho </w:t>
            </w:r>
            <w:r w:rsidR="00205BA1">
              <w:rPr>
                <w:sz w:val="22"/>
                <w:szCs w:val="22"/>
              </w:rPr>
              <w:t>členského státu</w:t>
            </w:r>
            <w:r w:rsidRPr="002037FF">
              <w:rPr>
                <w:sz w:val="22"/>
                <w:szCs w:val="22"/>
              </w:rPr>
              <w:t xml:space="preserve"> (nikoliv přeshraničně).</w:t>
            </w:r>
          </w:p>
          <w:p w14:paraId="5AE34827" w14:textId="77777777" w:rsidR="009D3B37" w:rsidRPr="005F2E07" w:rsidRDefault="009D3B37" w:rsidP="009D3B37">
            <w:pPr>
              <w:jc w:val="both"/>
              <w:rPr>
                <w:sz w:val="22"/>
              </w:rPr>
            </w:pPr>
          </w:p>
          <w:p w14:paraId="5C53E731" w14:textId="77777777" w:rsidR="009D3B37" w:rsidRPr="00850F89" w:rsidRDefault="009D3B37" w:rsidP="009D3B37">
            <w:pPr>
              <w:jc w:val="both"/>
              <w:rPr>
                <w:bCs/>
                <w:iCs/>
                <w:sz w:val="22"/>
              </w:rPr>
            </w:pPr>
            <w:r>
              <w:rPr>
                <w:bCs/>
                <w:iCs/>
                <w:sz w:val="22"/>
              </w:rPr>
              <w:t>Z</w:t>
            </w:r>
            <w:r w:rsidRPr="00850F89">
              <w:rPr>
                <w:bCs/>
                <w:iCs/>
                <w:sz w:val="22"/>
              </w:rPr>
              <w:t>ákon č. 110/1997 Sb. stanovuje v § 9a mimo jiné povinnost, aby v rámci stravovacích služeb byly dodržovány mikrobiologické požadavky na uvádění pokrmů na trh. Na tuto povinnost navazuje zmocnění uvedené v ustanovení § 18 odst. 1 písm. t) zákona, podle kterého ministerstvo stanoví vyhláškou „způsob poskytování informací o pokrmech, technologické požadavky na jejich výrobu nebo přípravu, požadavky na způsob uvádění pokrmů na trh, podmínky uchovávání a manipulace s pokrmy, smyslové, fyzikální, chemické a mikrobiologické požadavky na bezpečnost pokrmů a požadavky na označování pokrmů ve fázi jejich výroby, přípravy nebo uvádění na trh před jejich nabízením spotřebiteli.“.</w:t>
            </w:r>
          </w:p>
          <w:p w14:paraId="38A12AD0" w14:textId="55AE4B55" w:rsidR="00D203CF" w:rsidRPr="00037BAF" w:rsidRDefault="009D3B37" w:rsidP="00D203CF">
            <w:pPr>
              <w:jc w:val="both"/>
            </w:pPr>
            <w:r w:rsidRPr="00082334">
              <w:rPr>
                <w:b/>
                <w:bCs/>
                <w:iCs/>
                <w:sz w:val="22"/>
                <w:u w:val="single"/>
              </w:rPr>
              <w:t xml:space="preserve">Tyto požadavky doposud prováděcím právním předpisem provedeny nebyly, a proto jsou obsaženy v navrhované </w:t>
            </w:r>
            <w:r w:rsidRPr="0085132D">
              <w:rPr>
                <w:b/>
                <w:bCs/>
                <w:iCs/>
                <w:sz w:val="22"/>
              </w:rPr>
              <w:t>právní úpravě</w:t>
            </w:r>
            <w:r w:rsidRPr="00850F89">
              <w:rPr>
                <w:bCs/>
                <w:iCs/>
                <w:sz w:val="22"/>
              </w:rPr>
              <w:t xml:space="preserve"> s cílem umožnění jejich aplikace </w:t>
            </w:r>
            <w:r w:rsidR="00D203CF">
              <w:rPr>
                <w:bCs/>
                <w:iCs/>
                <w:sz w:val="22"/>
              </w:rPr>
              <w:t xml:space="preserve">všemi </w:t>
            </w:r>
            <w:r w:rsidRPr="00850F89">
              <w:rPr>
                <w:bCs/>
                <w:iCs/>
                <w:sz w:val="22"/>
              </w:rPr>
              <w:t>dozorovými orgány</w:t>
            </w:r>
            <w:r w:rsidR="00D203CF">
              <w:rPr>
                <w:bCs/>
                <w:iCs/>
                <w:sz w:val="22"/>
              </w:rPr>
              <w:t xml:space="preserve"> příslušnými ke kontrole pokrmů v ČR</w:t>
            </w:r>
            <w:r w:rsidRPr="00850F89">
              <w:rPr>
                <w:bCs/>
                <w:iCs/>
                <w:sz w:val="22"/>
              </w:rPr>
              <w:t>.</w:t>
            </w:r>
            <w:r>
              <w:rPr>
                <w:bCs/>
                <w:iCs/>
                <w:sz w:val="22"/>
              </w:rPr>
              <w:t xml:space="preserve"> </w:t>
            </w:r>
            <w:r w:rsidR="00D203CF" w:rsidRPr="00200FAC">
              <w:rPr>
                <w:sz w:val="22"/>
                <w:szCs w:val="22"/>
              </w:rPr>
              <w:t>Z výsledků v systému ISIN (Informačn</w:t>
            </w:r>
            <w:r w:rsidR="00D203CF">
              <w:rPr>
                <w:sz w:val="22"/>
                <w:szCs w:val="22"/>
              </w:rPr>
              <w:t>í systém infekčních nemocí)</w:t>
            </w:r>
            <w:r w:rsidR="00D203CF" w:rsidRPr="00200FAC">
              <w:rPr>
                <w:sz w:val="22"/>
                <w:szCs w:val="22"/>
              </w:rPr>
              <w:t xml:space="preserve"> lze sledovat výskyt alimentárních onemocnění způsobených i </w:t>
            </w:r>
            <w:r w:rsidR="00D203CF" w:rsidRPr="00037BAF">
              <w:rPr>
                <w:sz w:val="22"/>
                <w:szCs w:val="22"/>
              </w:rPr>
              <w:t xml:space="preserve">dalšími zoonotickými a patogenními organismy, </w:t>
            </w:r>
            <w:r w:rsidR="00D203CF" w:rsidRPr="00037BAF">
              <w:rPr>
                <w:sz w:val="22"/>
                <w:szCs w:val="22"/>
              </w:rPr>
              <w:lastRenderedPageBreak/>
              <w:t xml:space="preserve">proto byla do návrhu Akčního plánu </w:t>
            </w:r>
            <w:r w:rsidR="00205BA1">
              <w:rPr>
                <w:sz w:val="22"/>
                <w:szCs w:val="22"/>
              </w:rPr>
              <w:t>realizace Strategie bezpečnosti potravin a výživy 2030</w:t>
            </w:r>
            <w:r w:rsidR="00D203CF">
              <w:rPr>
                <w:sz w:val="22"/>
                <w:szCs w:val="22"/>
              </w:rPr>
              <w:t>, který je v současnosti projednáván v MPŘ,</w:t>
            </w:r>
            <w:r w:rsidR="00D203CF" w:rsidRPr="00037BAF">
              <w:rPr>
                <w:sz w:val="22"/>
                <w:szCs w:val="22"/>
              </w:rPr>
              <w:t xml:space="preserve"> uvedena podpora vzniku národních právních předpisů, které zajistí vysokou mikrobiologickou</w:t>
            </w:r>
            <w:r w:rsidR="00D203CF" w:rsidRPr="00200FAC">
              <w:rPr>
                <w:sz w:val="22"/>
                <w:szCs w:val="22"/>
              </w:rPr>
              <w:t xml:space="preserve"> bezpečnost pokrmů v provozech stravovacích služeb.</w:t>
            </w:r>
          </w:p>
          <w:p w14:paraId="2283DA1E" w14:textId="77777777" w:rsidR="00A71732" w:rsidRDefault="00A71732" w:rsidP="00A71732">
            <w:pPr>
              <w:jc w:val="both"/>
              <w:rPr>
                <w:sz w:val="22"/>
              </w:rPr>
            </w:pPr>
          </w:p>
          <w:p w14:paraId="52D68F66" w14:textId="3081ED3F" w:rsidR="00A71732" w:rsidRPr="00EA20EB" w:rsidRDefault="00A71732" w:rsidP="00A71732">
            <w:pPr>
              <w:jc w:val="both"/>
              <w:rPr>
                <w:iCs/>
                <w:sz w:val="22"/>
                <w:szCs w:val="22"/>
              </w:rPr>
            </w:pPr>
            <w:r w:rsidRPr="00EA20EB">
              <w:rPr>
                <w:iCs/>
                <w:sz w:val="22"/>
                <w:szCs w:val="22"/>
              </w:rPr>
              <w:t>Mezi mikroorganismy, které nejsou nařízením (ES) č.</w:t>
            </w:r>
            <w:r w:rsidR="0065785C" w:rsidRPr="004F744E">
              <w:rPr>
                <w:iCs/>
                <w:sz w:val="22"/>
                <w:szCs w:val="22"/>
              </w:rPr>
              <w:t> </w:t>
            </w:r>
            <w:r w:rsidRPr="00EA20EB">
              <w:rPr>
                <w:iCs/>
                <w:sz w:val="22"/>
                <w:szCs w:val="22"/>
              </w:rPr>
              <w:t xml:space="preserve">2073/2005 vůbec řešeny a byly do návrhu vyhlášky navrženy, patří následující původce bakteriálního onemocnění z potravin </w:t>
            </w:r>
            <w:r w:rsidR="008F609D">
              <w:rPr>
                <w:iCs/>
                <w:sz w:val="22"/>
                <w:szCs w:val="22"/>
              </w:rPr>
              <w:t>(</w:t>
            </w:r>
            <w:r w:rsidR="008F609D" w:rsidRPr="00EA20EB">
              <w:rPr>
                <w:iCs/>
                <w:sz w:val="22"/>
                <w:szCs w:val="22"/>
              </w:rPr>
              <w:t>příloha II</w:t>
            </w:r>
            <w:r w:rsidR="008F609D">
              <w:rPr>
                <w:iCs/>
                <w:sz w:val="22"/>
                <w:szCs w:val="22"/>
              </w:rPr>
              <w:t xml:space="preserve">, </w:t>
            </w:r>
            <w:r w:rsidRPr="00EA20EB">
              <w:rPr>
                <w:iCs/>
                <w:sz w:val="22"/>
                <w:szCs w:val="22"/>
              </w:rPr>
              <w:t>tabulka č. 1):</w:t>
            </w:r>
          </w:p>
          <w:p w14:paraId="0C482615" w14:textId="18E2A742" w:rsidR="00A71732" w:rsidRPr="00EA20EB" w:rsidRDefault="00A71732" w:rsidP="00A71732">
            <w:pPr>
              <w:pStyle w:val="Odstavecseseznamem"/>
              <w:numPr>
                <w:ilvl w:val="0"/>
                <w:numId w:val="32"/>
              </w:numPr>
              <w:spacing w:after="0" w:line="240" w:lineRule="auto"/>
              <w:jc w:val="both"/>
              <w:rPr>
                <w:rFonts w:ascii="Arial" w:hAnsi="Arial" w:cs="Arial"/>
              </w:rPr>
            </w:pPr>
            <w:r w:rsidRPr="00EA20EB">
              <w:rPr>
                <w:rFonts w:ascii="Arial" w:hAnsi="Arial" w:cs="Arial"/>
              </w:rPr>
              <w:t xml:space="preserve">Enteropatogenní </w:t>
            </w:r>
            <w:r w:rsidRPr="00EA20EB">
              <w:rPr>
                <w:rFonts w:ascii="Arial" w:hAnsi="Arial" w:cs="Arial"/>
                <w:i/>
              </w:rPr>
              <w:t>Escherichia coli</w:t>
            </w:r>
            <w:r w:rsidRPr="00EA20EB">
              <w:rPr>
                <w:rFonts w:ascii="Arial" w:hAnsi="Arial" w:cs="Arial"/>
              </w:rPr>
              <w:t xml:space="preserve"> (EPEC) – pro tuto patogenní bakterii není v nařízení (ES) č. 2073/2005 stanoven žádný limit. Nicméně SZPI pravidelně při své dozorové činnosti tuto patogenní bakterii zjišťuje ve studeném masném pokrmu typu tatarské bifteky/carpaccio. Dle následné</w:t>
            </w:r>
            <w:r w:rsidR="005D68F2">
              <w:rPr>
                <w:rFonts w:ascii="Arial" w:hAnsi="Arial" w:cs="Arial"/>
              </w:rPr>
              <w:t>ho</w:t>
            </w:r>
            <w:r w:rsidRPr="00EA20EB">
              <w:rPr>
                <w:rFonts w:ascii="Arial" w:hAnsi="Arial" w:cs="Arial"/>
              </w:rPr>
              <w:t xml:space="preserve"> </w:t>
            </w:r>
            <w:r w:rsidR="005D68F2">
              <w:rPr>
                <w:rFonts w:ascii="Arial" w:hAnsi="Arial" w:cs="Arial"/>
              </w:rPr>
              <w:t xml:space="preserve">hodnocení rizik </w:t>
            </w:r>
            <w:r w:rsidRPr="00EA20EB">
              <w:rPr>
                <w:rFonts w:ascii="Arial" w:hAnsi="Arial" w:cs="Arial"/>
              </w:rPr>
              <w:t>provedené Státním zdravotním ústavem (SZÚ) v Praze byly pokrmy kontaminované EPEC vyhodnoceny dle čl. 14 nařízení (ES) č. 178/2002 jako potraviny škodlivé pro zdraví, neboť přítomnost EPEC v pokrmu (potravině určené k přímé spotřebě) bez tepelného ošetření představuje vysoké riziko vzniku onemocnění (vodnatý průjem, nauzea, zvracení, zvýšená teplota). Dospělí mohou být zdrojem EPEC pro děti (u dětí do 5 let může být průběh závažnější).</w:t>
            </w:r>
          </w:p>
          <w:p w14:paraId="46E9A7EE" w14:textId="26EB0142" w:rsidR="00A71732" w:rsidRPr="004F744E" w:rsidRDefault="00A71732" w:rsidP="00A71732">
            <w:pPr>
              <w:pStyle w:val="Odstavecseseznamem"/>
              <w:numPr>
                <w:ilvl w:val="0"/>
                <w:numId w:val="32"/>
              </w:numPr>
              <w:spacing w:after="0" w:line="240" w:lineRule="auto"/>
              <w:jc w:val="both"/>
              <w:rPr>
                <w:rFonts w:ascii="Arial" w:hAnsi="Arial" w:cs="Arial"/>
                <w:i/>
                <w:iCs/>
              </w:rPr>
            </w:pPr>
            <w:r w:rsidRPr="00EA20EB">
              <w:rPr>
                <w:rFonts w:ascii="Arial" w:hAnsi="Arial" w:cs="Arial"/>
                <w:iCs/>
              </w:rPr>
              <w:t xml:space="preserve">Podobně i </w:t>
            </w:r>
            <w:r w:rsidRPr="00EA20EB">
              <w:rPr>
                <w:rFonts w:ascii="Arial" w:hAnsi="Arial" w:cs="Arial"/>
                <w:i/>
                <w:iCs/>
              </w:rPr>
              <w:t>Yersinia enterocolitica</w:t>
            </w:r>
            <w:r w:rsidRPr="00EA20EB">
              <w:rPr>
                <w:rFonts w:ascii="Arial" w:hAnsi="Arial" w:cs="Arial"/>
              </w:rPr>
              <w:t xml:space="preserve"> a </w:t>
            </w:r>
            <w:r w:rsidRPr="00EA20EB">
              <w:rPr>
                <w:rFonts w:ascii="Arial" w:hAnsi="Arial" w:cs="Arial"/>
                <w:i/>
              </w:rPr>
              <w:t>Yersinia pseudotuberculosis</w:t>
            </w:r>
            <w:r w:rsidRPr="00EA20EB">
              <w:rPr>
                <w:rFonts w:ascii="Arial" w:hAnsi="Arial" w:cs="Arial"/>
              </w:rPr>
              <w:t xml:space="preserve">, které jsou nacházeny v </w:t>
            </w:r>
            <w:r w:rsidRPr="00EA20EB">
              <w:rPr>
                <w:rFonts w:ascii="Arial" w:hAnsi="Arial" w:cs="Arial"/>
                <w:color w:val="2F2F2F"/>
              </w:rPr>
              <w:t xml:space="preserve">syrových nebo nedostatečně tepelně opracovaných pokrmech např. </w:t>
            </w:r>
            <w:r w:rsidRPr="00EA20EB">
              <w:rPr>
                <w:rFonts w:ascii="Arial" w:hAnsi="Arial" w:cs="Arial"/>
              </w:rPr>
              <w:t xml:space="preserve">zabijačkové speciality, ale i tatarské bifteky či zeleninové saláty. Mezi další mikroorganismy, které jsou v návrhu </w:t>
            </w:r>
            <w:r w:rsidRPr="008F609D">
              <w:rPr>
                <w:rFonts w:ascii="Arial" w:hAnsi="Arial" w:cs="Arial"/>
              </w:rPr>
              <w:t>vyhlášk</w:t>
            </w:r>
            <w:r w:rsidR="0076581F" w:rsidRPr="004F744E">
              <w:rPr>
                <w:rFonts w:ascii="Arial" w:hAnsi="Arial" w:cs="Arial"/>
              </w:rPr>
              <w:t>y</w:t>
            </w:r>
            <w:r w:rsidRPr="004F744E">
              <w:rPr>
                <w:rFonts w:ascii="Arial" w:hAnsi="Arial" w:cs="Arial"/>
              </w:rPr>
              <w:t xml:space="preserve"> a nejsou uvedeny v nařízení (ES) č. 2073/2005</w:t>
            </w:r>
            <w:r w:rsidR="0085132D" w:rsidRPr="004F744E">
              <w:rPr>
                <w:rFonts w:ascii="Arial" w:hAnsi="Arial" w:cs="Arial"/>
              </w:rPr>
              <w:t>,</w:t>
            </w:r>
            <w:r w:rsidRPr="004F744E">
              <w:rPr>
                <w:rFonts w:ascii="Arial" w:hAnsi="Arial" w:cs="Arial"/>
              </w:rPr>
              <w:t xml:space="preserve"> </w:t>
            </w:r>
            <w:r w:rsidR="0085132D" w:rsidRPr="004F744E">
              <w:rPr>
                <w:rFonts w:ascii="Arial" w:hAnsi="Arial" w:cs="Arial"/>
              </w:rPr>
              <w:t xml:space="preserve">ačkoliv mohou způsobovat zdravotní problémy, patří </w:t>
            </w:r>
            <w:r w:rsidR="0085132D" w:rsidRPr="004F744E">
              <w:rPr>
                <w:rFonts w:ascii="Arial" w:hAnsi="Arial" w:cs="Arial"/>
                <w:i/>
                <w:iCs/>
              </w:rPr>
              <w:t>Pseudomonas aeruginosa, Shigella</w:t>
            </w:r>
            <w:r w:rsidR="0085132D" w:rsidRPr="004F744E">
              <w:rPr>
                <w:rFonts w:ascii="Arial" w:hAnsi="Arial" w:cs="Arial"/>
              </w:rPr>
              <w:t xml:space="preserve"> spp. (původce bakteriální úplavice) a </w:t>
            </w:r>
            <w:r w:rsidR="0085132D" w:rsidRPr="004F744E">
              <w:rPr>
                <w:rFonts w:ascii="Arial" w:hAnsi="Arial" w:cs="Arial"/>
                <w:i/>
                <w:iCs/>
              </w:rPr>
              <w:t xml:space="preserve">Vibrio parahaemolyticus </w:t>
            </w:r>
            <w:r w:rsidR="0085132D" w:rsidRPr="004F744E">
              <w:rPr>
                <w:rFonts w:ascii="Arial" w:hAnsi="Arial" w:cs="Arial"/>
                <w:iCs/>
              </w:rPr>
              <w:t>(nalézající se v pokrmech z tepelně neupraveného masa mořských živočichů, např. sushi)</w:t>
            </w:r>
            <w:r w:rsidR="00AF75A2" w:rsidRPr="004F744E">
              <w:rPr>
                <w:rFonts w:ascii="Arial" w:hAnsi="Arial" w:cs="Arial"/>
                <w:i/>
                <w:iCs/>
              </w:rPr>
              <w:t>.</w:t>
            </w:r>
          </w:p>
          <w:p w14:paraId="0CDC2710" w14:textId="77777777" w:rsidR="00A71732" w:rsidRPr="004F744E" w:rsidRDefault="00A71732" w:rsidP="00A71732">
            <w:pPr>
              <w:jc w:val="both"/>
              <w:rPr>
                <w:i/>
                <w:iCs/>
                <w:sz w:val="22"/>
                <w:szCs w:val="22"/>
              </w:rPr>
            </w:pPr>
          </w:p>
          <w:p w14:paraId="74D33CDE" w14:textId="02CBC023" w:rsidR="00A71732" w:rsidRPr="004F744E" w:rsidRDefault="00A71732" w:rsidP="00A71732">
            <w:pPr>
              <w:jc w:val="both"/>
              <w:rPr>
                <w:sz w:val="22"/>
                <w:szCs w:val="22"/>
              </w:rPr>
            </w:pPr>
            <w:r w:rsidRPr="004F744E">
              <w:rPr>
                <w:iCs/>
                <w:sz w:val="22"/>
                <w:szCs w:val="22"/>
              </w:rPr>
              <w:t xml:space="preserve">Dále </w:t>
            </w:r>
            <w:r w:rsidR="00A95373" w:rsidRPr="004F744E">
              <w:rPr>
                <w:iCs/>
                <w:sz w:val="22"/>
                <w:szCs w:val="22"/>
              </w:rPr>
              <w:t xml:space="preserve">návrh </w:t>
            </w:r>
            <w:r w:rsidRPr="004F744E">
              <w:rPr>
                <w:iCs/>
                <w:sz w:val="22"/>
                <w:szCs w:val="22"/>
              </w:rPr>
              <w:t>vyhlášk</w:t>
            </w:r>
            <w:r w:rsidR="00A95373" w:rsidRPr="004F744E">
              <w:rPr>
                <w:iCs/>
                <w:sz w:val="22"/>
                <w:szCs w:val="22"/>
              </w:rPr>
              <w:t>y</w:t>
            </w:r>
            <w:r w:rsidRPr="004F744E">
              <w:rPr>
                <w:iCs/>
                <w:sz w:val="22"/>
                <w:szCs w:val="22"/>
              </w:rPr>
              <w:t xml:space="preserve"> (</w:t>
            </w:r>
            <w:r w:rsidR="00A95373" w:rsidRPr="004F744E">
              <w:rPr>
                <w:iCs/>
                <w:sz w:val="22"/>
                <w:szCs w:val="22"/>
              </w:rPr>
              <w:t xml:space="preserve">Příloha II, </w:t>
            </w:r>
            <w:r w:rsidRPr="004F744E">
              <w:rPr>
                <w:iCs/>
                <w:sz w:val="22"/>
                <w:szCs w:val="22"/>
              </w:rPr>
              <w:t xml:space="preserve">tabulka č. 1) zahrnuje mikroorganismy, které jsou </w:t>
            </w:r>
            <w:r w:rsidR="00AF75A2" w:rsidRPr="004F744E">
              <w:rPr>
                <w:iCs/>
                <w:sz w:val="22"/>
                <w:szCs w:val="22"/>
              </w:rPr>
              <w:t xml:space="preserve">sice </w:t>
            </w:r>
            <w:r w:rsidRPr="004F744E">
              <w:rPr>
                <w:iCs/>
                <w:sz w:val="22"/>
                <w:szCs w:val="22"/>
              </w:rPr>
              <w:t xml:space="preserve">uvedeny v nařízení (ES) </w:t>
            </w:r>
            <w:r w:rsidR="009542D4">
              <w:rPr>
                <w:iCs/>
                <w:sz w:val="22"/>
                <w:szCs w:val="22"/>
              </w:rPr>
              <w:br/>
            </w:r>
            <w:r w:rsidR="0076581F" w:rsidRPr="004F744E">
              <w:rPr>
                <w:iCs/>
                <w:sz w:val="22"/>
                <w:szCs w:val="22"/>
              </w:rPr>
              <w:lastRenderedPageBreak/>
              <w:t xml:space="preserve">č. </w:t>
            </w:r>
            <w:r w:rsidRPr="004F744E">
              <w:rPr>
                <w:iCs/>
                <w:sz w:val="22"/>
                <w:szCs w:val="22"/>
              </w:rPr>
              <w:t xml:space="preserve">2073/2005, ale pro jinou </w:t>
            </w:r>
            <w:r w:rsidR="00AF75A2" w:rsidRPr="004F744E">
              <w:rPr>
                <w:iCs/>
                <w:sz w:val="22"/>
                <w:szCs w:val="22"/>
              </w:rPr>
              <w:t xml:space="preserve">komoditu </w:t>
            </w:r>
            <w:r w:rsidRPr="004F744E">
              <w:rPr>
                <w:iCs/>
                <w:sz w:val="22"/>
                <w:szCs w:val="22"/>
              </w:rPr>
              <w:t xml:space="preserve">než pro pokrmy (potraviny určené k přímé spotřebě), a to konkrétně: </w:t>
            </w:r>
          </w:p>
          <w:p w14:paraId="66D3095B" w14:textId="1744411D" w:rsidR="00A71732" w:rsidRPr="004F744E" w:rsidRDefault="00A71732" w:rsidP="00A71732">
            <w:pPr>
              <w:pStyle w:val="Odstavecseseznamem"/>
              <w:numPr>
                <w:ilvl w:val="0"/>
                <w:numId w:val="33"/>
              </w:numPr>
              <w:spacing w:after="0" w:line="240" w:lineRule="auto"/>
              <w:jc w:val="both"/>
              <w:rPr>
                <w:rFonts w:ascii="Arial" w:hAnsi="Arial" w:cs="Arial"/>
                <w:iCs/>
              </w:rPr>
            </w:pPr>
            <w:r w:rsidRPr="004F744E">
              <w:rPr>
                <w:rFonts w:ascii="Arial" w:hAnsi="Arial" w:cs="Arial"/>
                <w:i/>
                <w:iCs/>
              </w:rPr>
              <w:t xml:space="preserve">Bacillus cereus – </w:t>
            </w:r>
            <w:r w:rsidRPr="004F744E">
              <w:rPr>
                <w:rFonts w:ascii="Arial" w:hAnsi="Arial" w:cs="Arial"/>
                <w:iCs/>
              </w:rPr>
              <w:t xml:space="preserve">v nařízení 2073/2005 je stanoven limit jen pro výrobu sušené počáteční kojenecké výživy, nicméně jeho výskyt včetně toxinu </w:t>
            </w:r>
            <w:r w:rsidR="00AF75A2" w:rsidRPr="004F744E">
              <w:rPr>
                <w:rFonts w:ascii="Arial" w:hAnsi="Arial" w:cs="Arial"/>
                <w:i/>
                <w:iCs/>
              </w:rPr>
              <w:t>B. cereus</w:t>
            </w:r>
            <w:r w:rsidR="00AF75A2" w:rsidRPr="004F744E">
              <w:rPr>
                <w:rFonts w:ascii="Arial" w:hAnsi="Arial" w:cs="Arial"/>
                <w:iCs/>
              </w:rPr>
              <w:t xml:space="preserve"> </w:t>
            </w:r>
            <w:r w:rsidRPr="004F744E">
              <w:rPr>
                <w:rFonts w:ascii="Arial" w:hAnsi="Arial" w:cs="Arial"/>
                <w:iCs/>
              </w:rPr>
              <w:t>SZPI prokázala v pokrmech z vařené rýže. SZÚ Praha provedla hodnocení rizika a pokrmy označila za nepřijatelné s vysokou mírou rizika ohrožení zdraví lidí.</w:t>
            </w:r>
          </w:p>
          <w:p w14:paraId="491AD9E0" w14:textId="77777777" w:rsidR="00A71732" w:rsidRPr="004F744E" w:rsidRDefault="00A71732" w:rsidP="00A71732">
            <w:pPr>
              <w:pStyle w:val="Odstavecseseznamem"/>
              <w:numPr>
                <w:ilvl w:val="0"/>
                <w:numId w:val="33"/>
              </w:numPr>
              <w:spacing w:after="0" w:line="240" w:lineRule="auto"/>
              <w:jc w:val="both"/>
              <w:rPr>
                <w:rFonts w:ascii="Arial" w:hAnsi="Arial" w:cs="Arial"/>
                <w:i/>
              </w:rPr>
            </w:pPr>
            <w:r w:rsidRPr="004F744E">
              <w:rPr>
                <w:rFonts w:ascii="Arial" w:hAnsi="Arial" w:cs="Arial"/>
                <w:i/>
              </w:rPr>
              <w:t xml:space="preserve">Campylobacter sp. – </w:t>
            </w:r>
            <w:r w:rsidRPr="004F744E">
              <w:rPr>
                <w:rFonts w:ascii="Arial" w:hAnsi="Arial" w:cs="Arial"/>
              </w:rPr>
              <w:t>v nařízení 2073/2005 je limit stanoven jen pro výrobu jatečně upravených těl brojlerů. Nicméně, SZPI detekovala kampylobaktery z tepelně upravených pokrmů např. pizza, kebab, döner, kam se dostavily pravděpodobně při křížové kontaminaci v zařízení společného stravování. SZÚ Praha tato zjištění v pokrmech určených k přímé spotřebě vyhodnotila jako vysoké riziko vzniku onemocnění u člověka a pokrmy označila za škodlivé pro zdraví.</w:t>
            </w:r>
          </w:p>
          <w:p w14:paraId="26253CD8" w14:textId="16918667" w:rsidR="00A71732" w:rsidRPr="004F744E" w:rsidRDefault="00A71732" w:rsidP="00A71732">
            <w:pPr>
              <w:pStyle w:val="Odstavecseseznamem"/>
              <w:numPr>
                <w:ilvl w:val="0"/>
                <w:numId w:val="33"/>
              </w:numPr>
              <w:spacing w:after="0" w:line="240" w:lineRule="auto"/>
              <w:jc w:val="both"/>
              <w:rPr>
                <w:rFonts w:ascii="Arial" w:hAnsi="Arial" w:cs="Arial"/>
              </w:rPr>
            </w:pPr>
            <w:r w:rsidRPr="004F744E">
              <w:rPr>
                <w:rFonts w:ascii="Arial" w:hAnsi="Arial" w:cs="Arial"/>
              </w:rPr>
              <w:t>S</w:t>
            </w:r>
            <w:r w:rsidRPr="004F744E">
              <w:rPr>
                <w:rFonts w:ascii="Arial" w:hAnsi="Arial" w:cs="Arial"/>
                <w:color w:val="000000"/>
              </w:rPr>
              <w:t>higa toxin</w:t>
            </w:r>
            <w:r w:rsidRPr="004F744E">
              <w:rPr>
                <w:rFonts w:ascii="Arial" w:hAnsi="Arial" w:cs="Arial"/>
              </w:rPr>
              <w:t xml:space="preserve"> produkující </w:t>
            </w:r>
            <w:r w:rsidRPr="004F744E">
              <w:rPr>
                <w:rFonts w:ascii="Arial" w:hAnsi="Arial" w:cs="Arial"/>
                <w:i/>
                <w:iCs/>
              </w:rPr>
              <w:t xml:space="preserve">E. coli </w:t>
            </w:r>
            <w:r w:rsidRPr="004F744E">
              <w:rPr>
                <w:rFonts w:ascii="Arial" w:hAnsi="Arial" w:cs="Arial"/>
              </w:rPr>
              <w:t>(STEC) – limit v nařízení 2073/2005 je stanoven pouze pro komoditu klíčky, přestože je STEC pravidelně nacházena ve vzorcích pokrmů tatarských bifteků/carpaccio. SZÚ Praha vyhodnotila pokrmy kontaminované STEC jako škodlivé pro zdraví, neboť mohou být příčinnou vážného poškození ledvin (hemoragicko-uremický syndrom).</w:t>
            </w:r>
          </w:p>
          <w:p w14:paraId="7D9BF578" w14:textId="211EB84E" w:rsidR="00A71732" w:rsidRPr="004F744E" w:rsidRDefault="00A71732" w:rsidP="00A71732">
            <w:pPr>
              <w:pStyle w:val="Odstavecseseznamem"/>
              <w:numPr>
                <w:ilvl w:val="0"/>
                <w:numId w:val="33"/>
              </w:numPr>
              <w:spacing w:after="0" w:line="240" w:lineRule="auto"/>
              <w:jc w:val="both"/>
              <w:rPr>
                <w:rFonts w:ascii="Arial" w:hAnsi="Arial" w:cs="Arial"/>
              </w:rPr>
            </w:pPr>
            <w:r w:rsidRPr="004F744E">
              <w:rPr>
                <w:rFonts w:ascii="Arial" w:hAnsi="Arial" w:cs="Arial"/>
                <w:i/>
                <w:iCs/>
              </w:rPr>
              <w:t>Salmonella</w:t>
            </w:r>
            <w:r w:rsidRPr="004F744E">
              <w:rPr>
                <w:rFonts w:ascii="Arial" w:hAnsi="Arial" w:cs="Arial"/>
              </w:rPr>
              <w:t xml:space="preserve"> spp. – limit v nařízení je stanoven jen pro masné výrobky především drůbežího původu, popř. pro vaječné výrobky (např. vaječná melanž). SZPI však v rámci dozorové činnosti zjišťuje salmonely v cukrářských výrobcích.</w:t>
            </w:r>
          </w:p>
          <w:p w14:paraId="6324F5FA" w14:textId="38942846" w:rsidR="00A71732" w:rsidRPr="004F744E" w:rsidRDefault="00A71732" w:rsidP="00A71732">
            <w:pPr>
              <w:pStyle w:val="Odstavecseseznamem"/>
              <w:numPr>
                <w:ilvl w:val="0"/>
                <w:numId w:val="33"/>
              </w:numPr>
              <w:spacing w:after="0" w:line="240" w:lineRule="auto"/>
              <w:jc w:val="both"/>
              <w:rPr>
                <w:rFonts w:ascii="Arial" w:hAnsi="Arial" w:cs="Arial"/>
              </w:rPr>
            </w:pPr>
            <w:r w:rsidRPr="004F744E">
              <w:rPr>
                <w:rFonts w:ascii="Arial" w:hAnsi="Arial" w:cs="Arial"/>
              </w:rPr>
              <w:t>Koagulázopozitivní stafylokoky (</w:t>
            </w:r>
            <w:r w:rsidRPr="004F744E">
              <w:rPr>
                <w:rFonts w:ascii="Arial" w:hAnsi="Arial" w:cs="Arial"/>
                <w:i/>
                <w:iCs/>
              </w:rPr>
              <w:t>S.</w:t>
            </w:r>
            <w:r w:rsidR="00AF75A2" w:rsidRPr="004F744E">
              <w:rPr>
                <w:rFonts w:ascii="Arial" w:hAnsi="Arial" w:cs="Arial"/>
                <w:i/>
                <w:iCs/>
              </w:rPr>
              <w:t> </w:t>
            </w:r>
            <w:r w:rsidRPr="004F744E">
              <w:rPr>
                <w:rFonts w:ascii="Arial" w:hAnsi="Arial" w:cs="Arial"/>
                <w:i/>
                <w:iCs/>
              </w:rPr>
              <w:t>aureus</w:t>
            </w:r>
            <w:r w:rsidRPr="004F744E">
              <w:rPr>
                <w:rFonts w:ascii="Arial" w:hAnsi="Arial" w:cs="Arial"/>
              </w:rPr>
              <w:t xml:space="preserve"> a další druhy) – limit v</w:t>
            </w:r>
            <w:r w:rsidR="00AF75A2" w:rsidRPr="004F744E">
              <w:rPr>
                <w:rFonts w:ascii="Arial" w:hAnsi="Arial" w:cs="Arial"/>
              </w:rPr>
              <w:t> </w:t>
            </w:r>
            <w:r w:rsidRPr="004F744E">
              <w:rPr>
                <w:rFonts w:ascii="Arial" w:hAnsi="Arial" w:cs="Arial"/>
              </w:rPr>
              <w:t>nařízení</w:t>
            </w:r>
            <w:r w:rsidR="00AF75A2" w:rsidRPr="004F744E">
              <w:rPr>
                <w:rFonts w:ascii="Arial" w:hAnsi="Arial" w:cs="Arial"/>
              </w:rPr>
              <w:t xml:space="preserve"> 2073/2005</w:t>
            </w:r>
            <w:r w:rsidRPr="004F744E">
              <w:rPr>
                <w:rFonts w:ascii="Arial" w:hAnsi="Arial" w:cs="Arial"/>
              </w:rPr>
              <w:t xml:space="preserve"> je stanoven jen pro výrobu sušeného mléka, sušené syrovátky a výrobu sýrů. Nicméně výskyt </w:t>
            </w:r>
            <w:r w:rsidRPr="004F744E">
              <w:rPr>
                <w:rFonts w:ascii="Arial" w:hAnsi="Arial" w:cs="Arial"/>
                <w:i/>
              </w:rPr>
              <w:t xml:space="preserve">S. aureus </w:t>
            </w:r>
            <w:r w:rsidRPr="004F744E">
              <w:rPr>
                <w:rFonts w:ascii="Arial" w:hAnsi="Arial" w:cs="Arial"/>
              </w:rPr>
              <w:t>včetně jeho enterotoxinu je vázán i na cukrářské a lahůdkářské výrobky, kde je vysoký podíl ruční výroby (člověk může být zdrojem – hnisavé rány, bakteriální zánět spojivek apod.)</w:t>
            </w:r>
          </w:p>
          <w:p w14:paraId="1BFD5B8D" w14:textId="77777777" w:rsidR="00A71732" w:rsidRPr="004F744E" w:rsidRDefault="00A71732" w:rsidP="00A71732">
            <w:pPr>
              <w:jc w:val="both"/>
              <w:rPr>
                <w:sz w:val="22"/>
                <w:szCs w:val="22"/>
              </w:rPr>
            </w:pPr>
          </w:p>
          <w:p w14:paraId="61AE00FE" w14:textId="471ECAC6" w:rsidR="00A71732" w:rsidRPr="004F744E" w:rsidRDefault="00A71732" w:rsidP="00A71732">
            <w:pPr>
              <w:jc w:val="both"/>
              <w:rPr>
                <w:sz w:val="22"/>
                <w:szCs w:val="22"/>
                <w:u w:val="single"/>
              </w:rPr>
            </w:pPr>
            <w:r w:rsidRPr="004F744E">
              <w:rPr>
                <w:sz w:val="22"/>
                <w:szCs w:val="22"/>
                <w:u w:val="single"/>
              </w:rPr>
              <w:lastRenderedPageBreak/>
              <w:t xml:space="preserve">Podobná je i situace u toxických produktů mikroorganismů </w:t>
            </w:r>
            <w:r w:rsidRPr="004F744E">
              <w:rPr>
                <w:iCs/>
                <w:sz w:val="22"/>
                <w:szCs w:val="22"/>
              </w:rPr>
              <w:t>(</w:t>
            </w:r>
            <w:r w:rsidR="00463C0D" w:rsidRPr="004F744E">
              <w:rPr>
                <w:iCs/>
                <w:sz w:val="22"/>
                <w:szCs w:val="22"/>
              </w:rPr>
              <w:t xml:space="preserve">příloha II, </w:t>
            </w:r>
            <w:r w:rsidRPr="004F744E">
              <w:rPr>
                <w:iCs/>
                <w:sz w:val="22"/>
                <w:szCs w:val="22"/>
              </w:rPr>
              <w:t>tabulka č. 3):</w:t>
            </w:r>
          </w:p>
          <w:p w14:paraId="6B690921" w14:textId="28DF762F" w:rsidR="00A71732" w:rsidRPr="004F744E" w:rsidRDefault="00A71732" w:rsidP="00A71732">
            <w:pPr>
              <w:jc w:val="both"/>
              <w:rPr>
                <w:sz w:val="22"/>
                <w:szCs w:val="22"/>
              </w:rPr>
            </w:pPr>
            <w:r w:rsidRPr="004F744E">
              <w:rPr>
                <w:sz w:val="22"/>
                <w:szCs w:val="22"/>
              </w:rPr>
              <w:t xml:space="preserve">Nad rámec nařízení 2073/2005 byly do návrhu vyhlášky zařazeny enterotoxiny </w:t>
            </w:r>
            <w:r w:rsidRPr="004F744E">
              <w:rPr>
                <w:i/>
                <w:sz w:val="22"/>
                <w:szCs w:val="22"/>
              </w:rPr>
              <w:t xml:space="preserve">B. cereus </w:t>
            </w:r>
            <w:r w:rsidRPr="004F744E">
              <w:rPr>
                <w:sz w:val="22"/>
                <w:szCs w:val="22"/>
              </w:rPr>
              <w:t>– jak již bylo uvedeno výše, SZPI prokázala tento bakteriální toxin v pokrmech z rýže, dále pak botulotoxin vyvolávající otravy z potravin, o jehož škodlivosti pro zdraví nelze pochybovat. V případě stafylokokových enterotoxinů je limit vázán na výrobku sýrů, syrovátky a sušené mléko, krunýře a lastury</w:t>
            </w:r>
            <w:r w:rsidR="00AF75A2" w:rsidRPr="004F744E">
              <w:rPr>
                <w:sz w:val="22"/>
                <w:szCs w:val="22"/>
              </w:rPr>
              <w:t>, nikoliv na přípravu a uvádění na trh pokrmů</w:t>
            </w:r>
            <w:r w:rsidRPr="004F744E">
              <w:rPr>
                <w:sz w:val="22"/>
                <w:szCs w:val="22"/>
              </w:rPr>
              <w:t xml:space="preserve">. </w:t>
            </w:r>
          </w:p>
          <w:p w14:paraId="379036AB" w14:textId="77777777" w:rsidR="00A71732" w:rsidRPr="004F744E" w:rsidRDefault="00A71732" w:rsidP="00A71732">
            <w:pPr>
              <w:jc w:val="both"/>
              <w:rPr>
                <w:sz w:val="22"/>
                <w:szCs w:val="22"/>
              </w:rPr>
            </w:pPr>
          </w:p>
          <w:p w14:paraId="328E0561" w14:textId="74163079" w:rsidR="00A71732" w:rsidRPr="004F744E" w:rsidRDefault="00A71732" w:rsidP="00A71732">
            <w:pPr>
              <w:jc w:val="both"/>
              <w:rPr>
                <w:b/>
                <w:sz w:val="22"/>
                <w:szCs w:val="22"/>
              </w:rPr>
            </w:pPr>
            <w:r w:rsidRPr="004F744E">
              <w:rPr>
                <w:b/>
                <w:sz w:val="22"/>
                <w:szCs w:val="22"/>
              </w:rPr>
              <w:t xml:space="preserve">Z výše uvedených příkladů vyplývá nutnost řešit zjištění patogenů </w:t>
            </w:r>
            <w:r w:rsidR="00AF75A2" w:rsidRPr="004F744E">
              <w:rPr>
                <w:b/>
                <w:sz w:val="22"/>
                <w:szCs w:val="22"/>
              </w:rPr>
              <w:t xml:space="preserve">vč. jejich toxinů </w:t>
            </w:r>
            <w:r w:rsidRPr="004F744E">
              <w:rPr>
                <w:b/>
                <w:sz w:val="22"/>
                <w:szCs w:val="22"/>
              </w:rPr>
              <w:t xml:space="preserve">v pokrmech národní vyhláškou, neboť nařízení (ES) </w:t>
            </w:r>
            <w:r w:rsidR="00BE6F73">
              <w:rPr>
                <w:b/>
                <w:sz w:val="22"/>
                <w:szCs w:val="22"/>
              </w:rPr>
              <w:t xml:space="preserve">č. </w:t>
            </w:r>
            <w:r w:rsidRPr="004F744E">
              <w:rPr>
                <w:b/>
                <w:sz w:val="22"/>
                <w:szCs w:val="22"/>
              </w:rPr>
              <w:t xml:space="preserve">2073/2005 </w:t>
            </w:r>
            <w:r w:rsidR="00AF75A2" w:rsidRPr="004F744E">
              <w:rPr>
                <w:b/>
                <w:sz w:val="22"/>
                <w:szCs w:val="22"/>
              </w:rPr>
              <w:t xml:space="preserve">je </w:t>
            </w:r>
            <w:r w:rsidRPr="004F744E">
              <w:rPr>
                <w:b/>
                <w:sz w:val="22"/>
                <w:szCs w:val="22"/>
              </w:rPr>
              <w:t>buď vůbec nezohledňuje, nebo jen pro omezené portfolio komodit.</w:t>
            </w:r>
          </w:p>
          <w:p w14:paraId="0D712A1E" w14:textId="77777777" w:rsidR="00A71732" w:rsidRPr="004F744E" w:rsidRDefault="00A71732" w:rsidP="00A71732">
            <w:pPr>
              <w:jc w:val="both"/>
              <w:rPr>
                <w:sz w:val="22"/>
                <w:szCs w:val="22"/>
              </w:rPr>
            </w:pPr>
          </w:p>
          <w:p w14:paraId="49696623" w14:textId="4EA20747" w:rsidR="00A71732" w:rsidRPr="004F744E" w:rsidRDefault="00A71732" w:rsidP="00A71732">
            <w:pPr>
              <w:jc w:val="both"/>
              <w:rPr>
                <w:sz w:val="22"/>
                <w:szCs w:val="22"/>
              </w:rPr>
            </w:pPr>
            <w:r w:rsidRPr="004F744E">
              <w:rPr>
                <w:sz w:val="22"/>
                <w:szCs w:val="22"/>
              </w:rPr>
              <w:t>Podobná situace platí i pro i</w:t>
            </w:r>
            <w:r w:rsidRPr="004F744E">
              <w:rPr>
                <w:color w:val="000000"/>
                <w:sz w:val="22"/>
                <w:szCs w:val="22"/>
                <w:u w:val="single"/>
              </w:rPr>
              <w:t xml:space="preserve">ndikátorové mikroorganismy </w:t>
            </w:r>
            <w:r w:rsidRPr="009542D4">
              <w:rPr>
                <w:color w:val="000000"/>
                <w:sz w:val="22"/>
                <w:szCs w:val="22"/>
              </w:rPr>
              <w:t>(</w:t>
            </w:r>
            <w:r w:rsidR="00463C0D" w:rsidRPr="009542D4">
              <w:rPr>
                <w:color w:val="000000"/>
                <w:sz w:val="22"/>
                <w:szCs w:val="22"/>
              </w:rPr>
              <w:t xml:space="preserve">příloha II, </w:t>
            </w:r>
            <w:r w:rsidR="00846FB5" w:rsidRPr="009542D4">
              <w:rPr>
                <w:sz w:val="22"/>
                <w:szCs w:val="22"/>
              </w:rPr>
              <w:t>tabulka</w:t>
            </w:r>
            <w:r w:rsidR="00846FB5">
              <w:rPr>
                <w:sz w:val="22"/>
                <w:szCs w:val="22"/>
              </w:rPr>
              <w:t xml:space="preserve"> č. 2</w:t>
            </w:r>
            <w:r w:rsidRPr="004F744E">
              <w:rPr>
                <w:sz w:val="22"/>
                <w:szCs w:val="22"/>
              </w:rPr>
              <w:t>):</w:t>
            </w:r>
          </w:p>
          <w:p w14:paraId="6B80311E" w14:textId="0066E99D" w:rsidR="00A71732" w:rsidRPr="004F744E" w:rsidRDefault="00A71732" w:rsidP="00A71732">
            <w:pPr>
              <w:jc w:val="both"/>
              <w:rPr>
                <w:color w:val="000000"/>
                <w:sz w:val="22"/>
                <w:szCs w:val="22"/>
              </w:rPr>
            </w:pPr>
            <w:r w:rsidRPr="004F744E">
              <w:rPr>
                <w:sz w:val="22"/>
                <w:szCs w:val="22"/>
              </w:rPr>
              <w:t xml:space="preserve">Nově byly nad rámec nařízení (ES) </w:t>
            </w:r>
            <w:r w:rsidR="009542D4">
              <w:rPr>
                <w:sz w:val="22"/>
                <w:szCs w:val="22"/>
              </w:rPr>
              <w:t xml:space="preserve">č. </w:t>
            </w:r>
            <w:r w:rsidRPr="004F744E">
              <w:rPr>
                <w:sz w:val="22"/>
                <w:szCs w:val="22"/>
              </w:rPr>
              <w:t xml:space="preserve">2073/2005 </w:t>
            </w:r>
            <w:r w:rsidRPr="004F744E">
              <w:rPr>
                <w:color w:val="000000"/>
                <w:sz w:val="22"/>
                <w:szCs w:val="22"/>
              </w:rPr>
              <w:t>do návrhu vyhlášky přidány koliformní bakterie, protože o</w:t>
            </w:r>
            <w:r w:rsidRPr="004F744E">
              <w:rPr>
                <w:sz w:val="22"/>
                <w:szCs w:val="22"/>
              </w:rPr>
              <w:t>bsah koliformních bakterií v potravinách je indikátorem správně provedených technologických postupů při opracování, zpracovávání, skladování a sanitaci nástrojů, zařízení a ploch používaných při těchto technologických postupech.</w:t>
            </w:r>
          </w:p>
          <w:p w14:paraId="2FE93506" w14:textId="46BA0440" w:rsidR="00A71732" w:rsidRPr="004F744E" w:rsidRDefault="00A71732" w:rsidP="00A71732">
            <w:pPr>
              <w:jc w:val="both"/>
              <w:rPr>
                <w:color w:val="000000"/>
                <w:sz w:val="22"/>
                <w:szCs w:val="22"/>
              </w:rPr>
            </w:pPr>
            <w:r w:rsidRPr="004F744E">
              <w:rPr>
                <w:color w:val="000000"/>
                <w:sz w:val="22"/>
                <w:szCs w:val="22"/>
              </w:rPr>
              <w:t xml:space="preserve">Pro aerobní mikroorganismy (celkový počet mikroorganismů = CPM) je limit v nařízení </w:t>
            </w:r>
            <w:r w:rsidR="009542D4">
              <w:rPr>
                <w:color w:val="000000"/>
                <w:sz w:val="22"/>
                <w:szCs w:val="22"/>
              </w:rPr>
              <w:t>(</w:t>
            </w:r>
            <w:r w:rsidR="003C1C7A" w:rsidRPr="004F744E">
              <w:rPr>
                <w:color w:val="000000"/>
                <w:sz w:val="22"/>
                <w:szCs w:val="22"/>
              </w:rPr>
              <w:t xml:space="preserve">ES) č. </w:t>
            </w:r>
            <w:r w:rsidRPr="004F744E">
              <w:rPr>
                <w:color w:val="000000"/>
                <w:sz w:val="22"/>
                <w:szCs w:val="22"/>
              </w:rPr>
              <w:t xml:space="preserve">2073/2005 uveden pouze pro jatka (jatečně upravená těla hospodářských zvířat), nikoliv pro další typy výrob včetně výroby pokrmů. </w:t>
            </w:r>
            <w:r w:rsidRPr="004F744E">
              <w:rPr>
                <w:sz w:val="22"/>
                <w:szCs w:val="22"/>
              </w:rPr>
              <w:t>CPM v různých potravinách určených k přímé spotřebě mohou být využity jako součást obecného hodnocení kvality.</w:t>
            </w:r>
          </w:p>
          <w:p w14:paraId="20A3FB07" w14:textId="13800482" w:rsidR="00A71732" w:rsidRPr="004F744E" w:rsidRDefault="00A71732" w:rsidP="00A71732">
            <w:pPr>
              <w:jc w:val="both"/>
              <w:rPr>
                <w:color w:val="000000"/>
                <w:sz w:val="22"/>
                <w:szCs w:val="22"/>
              </w:rPr>
            </w:pPr>
            <w:r w:rsidRPr="004F744E">
              <w:rPr>
                <w:color w:val="000000"/>
                <w:sz w:val="22"/>
                <w:szCs w:val="22"/>
              </w:rPr>
              <w:t xml:space="preserve">Podobně i pro </w:t>
            </w:r>
            <w:r w:rsidRPr="004F744E">
              <w:rPr>
                <w:i/>
                <w:color w:val="000000"/>
                <w:sz w:val="22"/>
                <w:szCs w:val="22"/>
              </w:rPr>
              <w:t>Escherichia coli</w:t>
            </w:r>
            <w:r w:rsidRPr="004F744E">
              <w:rPr>
                <w:color w:val="000000"/>
                <w:sz w:val="22"/>
                <w:szCs w:val="22"/>
              </w:rPr>
              <w:t xml:space="preserve"> je limit v nařízení </w:t>
            </w:r>
            <w:r w:rsidR="003C1C7A" w:rsidRPr="004F744E">
              <w:rPr>
                <w:color w:val="000000"/>
                <w:sz w:val="22"/>
                <w:szCs w:val="22"/>
              </w:rPr>
              <w:t xml:space="preserve">č. </w:t>
            </w:r>
            <w:r w:rsidR="00AF75A2" w:rsidRPr="004F744E">
              <w:rPr>
                <w:color w:val="000000"/>
                <w:sz w:val="22"/>
                <w:szCs w:val="22"/>
              </w:rPr>
              <w:t xml:space="preserve">2073/2005 </w:t>
            </w:r>
            <w:r w:rsidRPr="004F744E">
              <w:rPr>
                <w:color w:val="000000"/>
                <w:sz w:val="22"/>
                <w:szCs w:val="22"/>
              </w:rPr>
              <w:t>stanoven, ale jen pro výrobu některých komodit (mletá masa, st</w:t>
            </w:r>
            <w:r w:rsidR="003C1C7A" w:rsidRPr="004F744E">
              <w:rPr>
                <w:color w:val="000000"/>
                <w:sz w:val="22"/>
                <w:szCs w:val="22"/>
              </w:rPr>
              <w:t>ro</w:t>
            </w:r>
            <w:r w:rsidRPr="004F744E">
              <w:rPr>
                <w:color w:val="000000"/>
                <w:sz w:val="22"/>
                <w:szCs w:val="22"/>
              </w:rPr>
              <w:t xml:space="preserve">jně oddělená masa, masné polotovary, sýry, máslo, smetana, krunýře a lastury, předkrájené ovoce a zelenina, nepasterované šťávy), nikoliv však pro výrobu pokrmů tj. potravin určených k přímé spotřebě. </w:t>
            </w:r>
            <w:r w:rsidRPr="004F744E">
              <w:rPr>
                <w:color w:val="000000"/>
                <w:sz w:val="22"/>
                <w:szCs w:val="22"/>
                <w:lang w:eastAsia="en-GB"/>
              </w:rPr>
              <w:t xml:space="preserve">Zjištění </w:t>
            </w:r>
            <w:r w:rsidRPr="004F744E">
              <w:rPr>
                <w:i/>
                <w:color w:val="000000"/>
                <w:sz w:val="22"/>
                <w:szCs w:val="22"/>
                <w:lang w:eastAsia="en-GB"/>
              </w:rPr>
              <w:t>E. coli</w:t>
            </w:r>
            <w:r w:rsidRPr="004F744E">
              <w:rPr>
                <w:color w:val="000000"/>
                <w:sz w:val="22"/>
                <w:szCs w:val="22"/>
                <w:lang w:eastAsia="en-GB"/>
              </w:rPr>
              <w:t xml:space="preserve"> může </w:t>
            </w:r>
            <w:r w:rsidR="00AF75A2" w:rsidRPr="004F744E">
              <w:rPr>
                <w:color w:val="000000"/>
                <w:sz w:val="22"/>
                <w:szCs w:val="22"/>
                <w:lang w:eastAsia="en-GB"/>
              </w:rPr>
              <w:t>před</w:t>
            </w:r>
            <w:r w:rsidRPr="004F744E">
              <w:rPr>
                <w:color w:val="000000"/>
                <w:sz w:val="22"/>
                <w:szCs w:val="22"/>
                <w:lang w:eastAsia="en-GB"/>
              </w:rPr>
              <w:t xml:space="preserve">znamenat riziko, že jsou ve výrobě přítomny </w:t>
            </w:r>
            <w:r w:rsidR="00AF75A2" w:rsidRPr="004F744E">
              <w:rPr>
                <w:color w:val="000000"/>
                <w:sz w:val="22"/>
                <w:szCs w:val="22"/>
                <w:lang w:eastAsia="en-GB"/>
              </w:rPr>
              <w:t xml:space="preserve">patogeny </w:t>
            </w:r>
            <w:r w:rsidRPr="004F744E">
              <w:rPr>
                <w:color w:val="000000"/>
                <w:sz w:val="22"/>
                <w:szCs w:val="22"/>
                <w:lang w:eastAsia="en-GB"/>
              </w:rPr>
              <w:t>fekální</w:t>
            </w:r>
            <w:r w:rsidR="00AF75A2" w:rsidRPr="004F744E">
              <w:rPr>
                <w:color w:val="000000"/>
                <w:sz w:val="22"/>
                <w:szCs w:val="22"/>
                <w:lang w:eastAsia="en-GB"/>
              </w:rPr>
              <w:t>ho znečištění</w:t>
            </w:r>
            <w:r w:rsidRPr="004F744E">
              <w:rPr>
                <w:color w:val="000000"/>
                <w:sz w:val="22"/>
                <w:szCs w:val="22"/>
                <w:lang w:eastAsia="en-GB"/>
              </w:rPr>
              <w:t>.</w:t>
            </w:r>
          </w:p>
          <w:p w14:paraId="4DE1F8D5" w14:textId="77777777" w:rsidR="00A71732" w:rsidRPr="004F744E" w:rsidRDefault="00A71732" w:rsidP="00A71732">
            <w:pPr>
              <w:jc w:val="both"/>
              <w:rPr>
                <w:color w:val="000000"/>
                <w:sz w:val="22"/>
                <w:szCs w:val="22"/>
                <w:u w:val="single"/>
              </w:rPr>
            </w:pPr>
          </w:p>
          <w:p w14:paraId="7113F38B" w14:textId="4684BF96" w:rsidR="00A71732" w:rsidRPr="00A71732" w:rsidRDefault="00A71732" w:rsidP="00A71732">
            <w:pPr>
              <w:jc w:val="both"/>
              <w:rPr>
                <w:sz w:val="22"/>
                <w:szCs w:val="22"/>
              </w:rPr>
            </w:pPr>
            <w:r w:rsidRPr="004F744E">
              <w:rPr>
                <w:sz w:val="22"/>
                <w:szCs w:val="22"/>
                <w:u w:val="single"/>
              </w:rPr>
              <w:lastRenderedPageBreak/>
              <w:t>V případě stěrů b</w:t>
            </w:r>
            <w:r w:rsidRPr="004F744E">
              <w:rPr>
                <w:sz w:val="22"/>
                <w:szCs w:val="22"/>
              </w:rPr>
              <w:t>yly nad rámec nařízení 2073/2005 navrženy do vyhlášky limity pro a</w:t>
            </w:r>
            <w:r w:rsidRPr="004F744E">
              <w:rPr>
                <w:color w:val="000000"/>
                <w:sz w:val="22"/>
                <w:szCs w:val="22"/>
              </w:rPr>
              <w:t xml:space="preserve">erobní mezofilní mikroorganismy (celkový počet mikroorganismů) a také pro </w:t>
            </w:r>
            <w:r w:rsidRPr="004F744E">
              <w:rPr>
                <w:i/>
                <w:color w:val="000000"/>
                <w:sz w:val="22"/>
                <w:szCs w:val="22"/>
              </w:rPr>
              <w:t>Salmonella</w:t>
            </w:r>
            <w:r w:rsidRPr="004F744E">
              <w:rPr>
                <w:color w:val="000000"/>
                <w:sz w:val="22"/>
                <w:szCs w:val="22"/>
              </w:rPr>
              <w:t xml:space="preserve"> spp. </w:t>
            </w:r>
            <w:r w:rsidRPr="004F744E">
              <w:rPr>
                <w:sz w:val="22"/>
                <w:szCs w:val="22"/>
              </w:rPr>
              <w:t xml:space="preserve">Po skončení sanitace a dezinfekce lze jejich účinnost sledovat pomocí stěrů a kritéria pro CPM. V průběhu výroby pokrmů lze pak v „čistých částech“ provozů, kde se manipuluje s potravinami k přímé spotřebě (hotovými pokrmy), sledovat pomocí stěrů přítomnost salmonel a </w:t>
            </w:r>
            <w:r w:rsidRPr="004F744E">
              <w:rPr>
                <w:i/>
                <w:sz w:val="22"/>
                <w:szCs w:val="22"/>
              </w:rPr>
              <w:t xml:space="preserve">Listeria monocytogenes </w:t>
            </w:r>
            <w:r w:rsidRPr="004F744E">
              <w:rPr>
                <w:sz w:val="22"/>
                <w:szCs w:val="22"/>
              </w:rPr>
              <w:t xml:space="preserve">(požadavek sledovat </w:t>
            </w:r>
            <w:r w:rsidRPr="004F744E">
              <w:rPr>
                <w:i/>
                <w:sz w:val="22"/>
                <w:szCs w:val="22"/>
              </w:rPr>
              <w:t>L. monocytogenes</w:t>
            </w:r>
            <w:r w:rsidRPr="004F744E">
              <w:rPr>
                <w:sz w:val="22"/>
                <w:szCs w:val="22"/>
              </w:rPr>
              <w:t xml:space="preserve"> je stanoven v nařízení č. 2073/2005, proto nebyl zahrnut do návrhu vyhlášky)</w:t>
            </w:r>
            <w:r w:rsidRPr="004F744E">
              <w:rPr>
                <w:i/>
                <w:sz w:val="22"/>
                <w:szCs w:val="22"/>
              </w:rPr>
              <w:t>.</w:t>
            </w:r>
          </w:p>
          <w:p w14:paraId="2573187A" w14:textId="77777777" w:rsidR="00A71732" w:rsidRPr="00A71732" w:rsidRDefault="00A71732" w:rsidP="00A71732">
            <w:pPr>
              <w:jc w:val="both"/>
              <w:rPr>
                <w:b/>
                <w:sz w:val="22"/>
                <w:szCs w:val="22"/>
              </w:rPr>
            </w:pPr>
          </w:p>
          <w:p w14:paraId="67DB3D31" w14:textId="69AE1552" w:rsidR="003E57D4" w:rsidRPr="004F3085" w:rsidRDefault="003E57D4" w:rsidP="00A0402A">
            <w:pPr>
              <w:jc w:val="both"/>
              <w:rPr>
                <w:color w:val="943634" w:themeColor="accent2" w:themeShade="BF"/>
                <w:sz w:val="22"/>
                <w:szCs w:val="22"/>
              </w:rPr>
            </w:pPr>
          </w:p>
        </w:tc>
      </w:tr>
      <w:tr w:rsidR="00216FEF" w:rsidRPr="006E08DC" w14:paraId="57720462" w14:textId="77777777" w:rsidTr="00216FEF">
        <w:trPr>
          <w:trHeight w:val="1446"/>
        </w:trPr>
        <w:tc>
          <w:tcPr>
            <w:tcW w:w="2309" w:type="dxa"/>
            <w:tcBorders>
              <w:top w:val="single" w:sz="4" w:space="0" w:color="auto"/>
              <w:left w:val="single" w:sz="4" w:space="0" w:color="auto"/>
              <w:right w:val="single" w:sz="4" w:space="0" w:color="auto"/>
            </w:tcBorders>
          </w:tcPr>
          <w:p w14:paraId="5CB062F2" w14:textId="77777777" w:rsidR="00216FEF" w:rsidRDefault="00216FEF" w:rsidP="006E08DC">
            <w:pPr>
              <w:contextualSpacing/>
              <w:rPr>
                <w:sz w:val="22"/>
                <w:szCs w:val="22"/>
              </w:rPr>
            </w:pPr>
          </w:p>
        </w:tc>
        <w:tc>
          <w:tcPr>
            <w:tcW w:w="5879" w:type="dxa"/>
            <w:tcBorders>
              <w:top w:val="single" w:sz="4" w:space="0" w:color="auto"/>
              <w:left w:val="single" w:sz="4" w:space="0" w:color="auto"/>
              <w:right w:val="single" w:sz="4" w:space="0" w:color="auto"/>
            </w:tcBorders>
          </w:tcPr>
          <w:p w14:paraId="75D0BC78" w14:textId="77777777" w:rsidR="00862CCB" w:rsidRPr="00035379" w:rsidRDefault="00862CCB" w:rsidP="00862CCB">
            <w:pPr>
              <w:pStyle w:val="Zkladntext"/>
              <w:ind w:left="34"/>
              <w:contextualSpacing/>
              <w:rPr>
                <w:bCs/>
                <w:sz w:val="22"/>
                <w:szCs w:val="22"/>
              </w:rPr>
            </w:pPr>
            <w:r w:rsidRPr="00035379">
              <w:rPr>
                <w:bCs/>
                <w:sz w:val="22"/>
                <w:szCs w:val="22"/>
              </w:rPr>
              <w:t>K § 4 odst. 4 návrhu:</w:t>
            </w:r>
          </w:p>
          <w:p w14:paraId="63DB50A3" w14:textId="77777777" w:rsidR="00862CCB" w:rsidRPr="00862CCB" w:rsidRDefault="00862CCB" w:rsidP="00862CCB">
            <w:pPr>
              <w:pStyle w:val="Zkladntext"/>
              <w:ind w:left="34"/>
              <w:contextualSpacing/>
              <w:rPr>
                <w:bCs/>
                <w:sz w:val="22"/>
                <w:szCs w:val="22"/>
              </w:rPr>
            </w:pPr>
            <w:r w:rsidRPr="00035379">
              <w:rPr>
                <w:bCs/>
                <w:sz w:val="22"/>
                <w:szCs w:val="22"/>
              </w:rPr>
              <w:t>Ustanovení obsahuje nejen odkaz na nařízení Komise (EU) č. 2017/2158, ale reprodukuje i některé jeho požadavky. Jde o případ v zásadě zakázaného dublování (přenášení obsahu nařízení do vnitrostátního práva). Požadujeme ustanovení přeformulovat tak, aby nebyl obsah nařízení přenášen do vnitrostátního práva</w:t>
            </w:r>
            <w:r w:rsidR="00047252" w:rsidRPr="00035379">
              <w:rPr>
                <w:bCs/>
                <w:sz w:val="22"/>
                <w:szCs w:val="22"/>
              </w:rPr>
              <w:t>.</w:t>
            </w:r>
            <w:r w:rsidRPr="00035379">
              <w:rPr>
                <w:bCs/>
                <w:sz w:val="22"/>
                <w:szCs w:val="22"/>
              </w:rPr>
              <w:t xml:space="preserve">  Případně je možné doplnit odůvodnění návrhu o důvody</w:t>
            </w:r>
            <w:r w:rsidRPr="00862CCB">
              <w:rPr>
                <w:bCs/>
                <w:sz w:val="22"/>
                <w:szCs w:val="22"/>
              </w:rPr>
              <w:t xml:space="preserve"> pro takovouto úpravu, lze-li uvést důvody vyhovující rozsudku Soudního dvora C-272/83 Komise v Itálie, kdy Soudní dvůr připustil, že výjimečně možno z důvodu přehlednosti a srozumitelnosti národního práva umožnit přenesení obsahu nařízení do vnitrostátního práva (viz bod 27. rozsudku).</w:t>
            </w:r>
          </w:p>
          <w:p w14:paraId="6FB15F98" w14:textId="77777777" w:rsidR="00216FEF" w:rsidRDefault="00862CCB" w:rsidP="00862CCB">
            <w:pPr>
              <w:pStyle w:val="Zkladntext"/>
              <w:ind w:left="34"/>
              <w:contextualSpacing/>
              <w:rPr>
                <w:bCs/>
                <w:sz w:val="22"/>
                <w:szCs w:val="22"/>
              </w:rPr>
            </w:pPr>
            <w:r w:rsidRPr="002104A0">
              <w:rPr>
                <w:bCs/>
                <w:sz w:val="22"/>
                <w:szCs w:val="22"/>
              </w:rPr>
              <w:t>Potřebujeme také vyjasnit, zda jde o implementaci tohoto nařízení, nebo jen o rozšířené použití nařízení mimo jeho vlastní působnost.</w:t>
            </w:r>
          </w:p>
          <w:p w14:paraId="02AD3705" w14:textId="77777777" w:rsidR="00862CCB" w:rsidRPr="00216FEF" w:rsidRDefault="00862CCB" w:rsidP="00862CCB">
            <w:pPr>
              <w:pStyle w:val="Zkladntext"/>
              <w:ind w:left="34"/>
              <w:contextualSpacing/>
              <w:rPr>
                <w:bCs/>
                <w:sz w:val="22"/>
                <w:szCs w:val="22"/>
              </w:rPr>
            </w:pPr>
          </w:p>
        </w:tc>
        <w:tc>
          <w:tcPr>
            <w:tcW w:w="6237" w:type="dxa"/>
            <w:tcBorders>
              <w:top w:val="single" w:sz="4" w:space="0" w:color="auto"/>
              <w:left w:val="single" w:sz="4" w:space="0" w:color="auto"/>
              <w:right w:val="single" w:sz="4" w:space="0" w:color="auto"/>
            </w:tcBorders>
          </w:tcPr>
          <w:p w14:paraId="5F5516D7" w14:textId="77777777" w:rsidR="00035379" w:rsidRPr="00035379" w:rsidRDefault="00035379" w:rsidP="002104A0">
            <w:pPr>
              <w:contextualSpacing/>
              <w:jc w:val="both"/>
              <w:rPr>
                <w:b/>
                <w:color w:val="000000"/>
                <w:sz w:val="22"/>
                <w:szCs w:val="22"/>
              </w:rPr>
            </w:pPr>
            <w:r w:rsidRPr="00035379">
              <w:rPr>
                <w:b/>
                <w:color w:val="000000"/>
                <w:sz w:val="22"/>
                <w:szCs w:val="22"/>
              </w:rPr>
              <w:t>Vysvětleno.</w:t>
            </w:r>
          </w:p>
          <w:p w14:paraId="4A246467" w14:textId="65639C59" w:rsidR="002104A0" w:rsidRDefault="002104A0" w:rsidP="002104A0">
            <w:pPr>
              <w:contextualSpacing/>
              <w:jc w:val="both"/>
              <w:rPr>
                <w:sz w:val="22"/>
                <w:szCs w:val="22"/>
              </w:rPr>
            </w:pPr>
            <w:r>
              <w:rPr>
                <w:color w:val="000000"/>
                <w:sz w:val="22"/>
                <w:szCs w:val="22"/>
              </w:rPr>
              <w:t>V </w:t>
            </w:r>
            <w:r w:rsidR="00D43011">
              <w:rPr>
                <w:color w:val="000000"/>
                <w:sz w:val="22"/>
                <w:szCs w:val="22"/>
              </w:rPr>
              <w:t xml:space="preserve">II. </w:t>
            </w:r>
            <w:r>
              <w:rPr>
                <w:color w:val="000000"/>
                <w:sz w:val="22"/>
                <w:szCs w:val="22"/>
              </w:rPr>
              <w:t xml:space="preserve">návrhu vyhlášky </w:t>
            </w:r>
            <w:r w:rsidR="008D4BBC">
              <w:rPr>
                <w:color w:val="000000"/>
                <w:sz w:val="22"/>
                <w:szCs w:val="22"/>
              </w:rPr>
              <w:t>nově přesunuto</w:t>
            </w:r>
            <w:r>
              <w:rPr>
                <w:color w:val="000000"/>
                <w:sz w:val="22"/>
                <w:szCs w:val="22"/>
              </w:rPr>
              <w:t xml:space="preserve"> pod § 2</w:t>
            </w:r>
            <w:r w:rsidR="0041092B">
              <w:rPr>
                <w:sz w:val="22"/>
                <w:szCs w:val="22"/>
              </w:rPr>
              <w:t xml:space="preserve"> odst. 3</w:t>
            </w:r>
            <w:r>
              <w:rPr>
                <w:sz w:val="22"/>
                <w:szCs w:val="22"/>
              </w:rPr>
              <w:t>.</w:t>
            </w:r>
          </w:p>
          <w:p w14:paraId="0BF77C31" w14:textId="33C08BF9" w:rsidR="00806F3F" w:rsidRDefault="00806F3F" w:rsidP="00806F3F">
            <w:pPr>
              <w:ind w:right="175"/>
              <w:contextualSpacing/>
              <w:jc w:val="both"/>
              <w:rPr>
                <w:bCs/>
                <w:sz w:val="22"/>
                <w:szCs w:val="22"/>
                <w:highlight w:val="yellow"/>
              </w:rPr>
            </w:pPr>
            <w:r w:rsidRPr="00806F3F">
              <w:rPr>
                <w:bCs/>
                <w:sz w:val="22"/>
                <w:szCs w:val="22"/>
              </w:rPr>
              <w:t>Cílem vyhlášky je stanovit komplexní technologické požadavky z pohledu maximálních teplot pro tepelnou úpravu pokrmů za použit</w:t>
            </w:r>
            <w:r w:rsidR="00911746">
              <w:rPr>
                <w:bCs/>
                <w:sz w:val="22"/>
                <w:szCs w:val="22"/>
              </w:rPr>
              <w:t>í</w:t>
            </w:r>
            <w:r w:rsidRPr="00806F3F">
              <w:rPr>
                <w:bCs/>
                <w:sz w:val="22"/>
                <w:szCs w:val="22"/>
              </w:rPr>
              <w:t xml:space="preserve"> olejů/tuků. Z tohoto důvodu byl do vyhlášky zahrnut odkaz na zvláštní požadavky pro fritování hranolek a jiných krájených výrobků z brambor, jež jsou stanoveny</w:t>
            </w:r>
            <w:r>
              <w:t xml:space="preserve"> </w:t>
            </w:r>
            <w:r>
              <w:rPr>
                <w:bCs/>
                <w:sz w:val="22"/>
                <w:szCs w:val="22"/>
              </w:rPr>
              <w:t>nařízení Komise (EU) č. 2017/2158 tak, aby vyhláška obsahovala přehledně a uceleným způsobem požadavky pro tepelnou úpravu pokrmů a umožňovala provozovatelům stravovacích zařízení, kteří spadají většinou mezi malé podniky, snadnou orientaci v platných legislativních požadavcích.</w:t>
            </w:r>
          </w:p>
          <w:p w14:paraId="712C95FD" w14:textId="77777777" w:rsidR="006B0795" w:rsidRDefault="006B0795" w:rsidP="00A932D5">
            <w:pPr>
              <w:ind w:right="175"/>
              <w:contextualSpacing/>
              <w:jc w:val="both"/>
              <w:rPr>
                <w:bCs/>
                <w:sz w:val="22"/>
                <w:szCs w:val="22"/>
                <w:highlight w:val="yellow"/>
              </w:rPr>
            </w:pPr>
          </w:p>
          <w:p w14:paraId="56830232" w14:textId="77777777" w:rsidR="006B0795" w:rsidRDefault="006B0795" w:rsidP="00A932D5">
            <w:pPr>
              <w:ind w:right="175"/>
              <w:contextualSpacing/>
              <w:jc w:val="both"/>
              <w:rPr>
                <w:bCs/>
                <w:sz w:val="22"/>
                <w:szCs w:val="22"/>
                <w:highlight w:val="yellow"/>
              </w:rPr>
            </w:pPr>
          </w:p>
          <w:p w14:paraId="7AF81898" w14:textId="77777777" w:rsidR="006B0795" w:rsidRDefault="006B0795" w:rsidP="00A932D5">
            <w:pPr>
              <w:ind w:right="175"/>
              <w:contextualSpacing/>
              <w:jc w:val="both"/>
              <w:rPr>
                <w:bCs/>
                <w:sz w:val="22"/>
                <w:szCs w:val="22"/>
                <w:highlight w:val="yellow"/>
              </w:rPr>
            </w:pPr>
          </w:p>
          <w:p w14:paraId="1AD476A8" w14:textId="77777777" w:rsidR="006B0795" w:rsidRDefault="006B0795" w:rsidP="00A932D5">
            <w:pPr>
              <w:ind w:right="175"/>
              <w:contextualSpacing/>
              <w:jc w:val="both"/>
              <w:rPr>
                <w:bCs/>
                <w:sz w:val="22"/>
                <w:szCs w:val="22"/>
                <w:highlight w:val="yellow"/>
              </w:rPr>
            </w:pPr>
          </w:p>
          <w:p w14:paraId="63D8D32F" w14:textId="77777777" w:rsidR="006B0795" w:rsidRDefault="006B0795" w:rsidP="00A932D5">
            <w:pPr>
              <w:ind w:right="175"/>
              <w:contextualSpacing/>
              <w:jc w:val="both"/>
              <w:rPr>
                <w:bCs/>
                <w:sz w:val="22"/>
                <w:szCs w:val="22"/>
                <w:highlight w:val="yellow"/>
              </w:rPr>
            </w:pPr>
          </w:p>
          <w:p w14:paraId="102AAF35" w14:textId="77777777" w:rsidR="006B0795" w:rsidRDefault="006B0795" w:rsidP="00A932D5">
            <w:pPr>
              <w:ind w:right="175"/>
              <w:contextualSpacing/>
              <w:jc w:val="both"/>
              <w:rPr>
                <w:bCs/>
                <w:sz w:val="22"/>
                <w:szCs w:val="22"/>
                <w:highlight w:val="yellow"/>
              </w:rPr>
            </w:pPr>
          </w:p>
          <w:p w14:paraId="509044C4" w14:textId="77777777" w:rsidR="006B0795" w:rsidRDefault="006B0795" w:rsidP="00A932D5">
            <w:pPr>
              <w:ind w:right="175"/>
              <w:contextualSpacing/>
              <w:jc w:val="both"/>
              <w:rPr>
                <w:bCs/>
                <w:sz w:val="22"/>
                <w:szCs w:val="22"/>
                <w:highlight w:val="yellow"/>
              </w:rPr>
            </w:pPr>
          </w:p>
          <w:p w14:paraId="49AAFC1A" w14:textId="77777777" w:rsidR="00C74E32" w:rsidRDefault="00C74E32" w:rsidP="00A932D5">
            <w:pPr>
              <w:ind w:right="175"/>
              <w:contextualSpacing/>
              <w:jc w:val="both"/>
              <w:rPr>
                <w:bCs/>
                <w:sz w:val="22"/>
                <w:szCs w:val="22"/>
                <w:highlight w:val="yellow"/>
              </w:rPr>
            </w:pPr>
          </w:p>
          <w:p w14:paraId="3F9656AC" w14:textId="77777777" w:rsidR="006B0795" w:rsidRDefault="006B0795" w:rsidP="00A932D5">
            <w:pPr>
              <w:ind w:right="175"/>
              <w:contextualSpacing/>
              <w:jc w:val="both"/>
              <w:rPr>
                <w:bCs/>
                <w:sz w:val="22"/>
                <w:szCs w:val="22"/>
                <w:highlight w:val="yellow"/>
              </w:rPr>
            </w:pPr>
          </w:p>
          <w:p w14:paraId="6D685AD8" w14:textId="37760F15" w:rsidR="002104A0" w:rsidRPr="006B0795" w:rsidRDefault="000D3E57" w:rsidP="002843B8">
            <w:pPr>
              <w:ind w:right="175"/>
              <w:contextualSpacing/>
              <w:jc w:val="both"/>
              <w:rPr>
                <w:b/>
                <w:color w:val="000000"/>
                <w:sz w:val="22"/>
                <w:szCs w:val="22"/>
              </w:rPr>
            </w:pPr>
            <w:r>
              <w:rPr>
                <w:sz w:val="22"/>
                <w:szCs w:val="22"/>
              </w:rPr>
              <w:t xml:space="preserve"> </w:t>
            </w:r>
          </w:p>
        </w:tc>
      </w:tr>
      <w:tr w:rsidR="00103ECB" w:rsidRPr="006E08DC" w14:paraId="3C39AEF4" w14:textId="77777777" w:rsidTr="00192F7C">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4C1EFD71" w14:textId="77777777" w:rsidR="00103ECB" w:rsidRDefault="004D3661" w:rsidP="006A497A">
            <w:pPr>
              <w:contextualSpacing/>
              <w:rPr>
                <w:sz w:val="22"/>
                <w:szCs w:val="22"/>
              </w:rPr>
            </w:pPr>
            <w:r w:rsidRPr="004D3661">
              <w:rPr>
                <w:sz w:val="22"/>
                <w:szCs w:val="22"/>
              </w:rPr>
              <w:t>Ministr</w:t>
            </w:r>
            <w:r w:rsidR="006A497A">
              <w:rPr>
                <w:sz w:val="22"/>
                <w:szCs w:val="22"/>
              </w:rPr>
              <w:t>yně</w:t>
            </w:r>
            <w:r w:rsidRPr="004D3661">
              <w:rPr>
                <w:sz w:val="22"/>
                <w:szCs w:val="22"/>
              </w:rPr>
              <w:t xml:space="preserve"> spravedlnosti a předsed</w:t>
            </w:r>
            <w:r w:rsidR="006A497A">
              <w:rPr>
                <w:sz w:val="22"/>
                <w:szCs w:val="22"/>
              </w:rPr>
              <w:t>kyně</w:t>
            </w:r>
            <w:r w:rsidRPr="004D3661">
              <w:rPr>
                <w:sz w:val="22"/>
                <w:szCs w:val="22"/>
              </w:rPr>
              <w:t xml:space="preserve"> Legislativní rady vlády</w:t>
            </w:r>
          </w:p>
        </w:tc>
        <w:tc>
          <w:tcPr>
            <w:tcW w:w="5879" w:type="dxa"/>
            <w:tcBorders>
              <w:top w:val="single" w:sz="4" w:space="0" w:color="auto"/>
              <w:left w:val="single" w:sz="4" w:space="0" w:color="auto"/>
              <w:bottom w:val="single" w:sz="4" w:space="0" w:color="auto"/>
              <w:right w:val="single" w:sz="4" w:space="0" w:color="auto"/>
            </w:tcBorders>
          </w:tcPr>
          <w:p w14:paraId="5BEDA9B9" w14:textId="77777777" w:rsidR="00103ECB" w:rsidRDefault="00103ECB" w:rsidP="004D3661">
            <w:pPr>
              <w:spacing w:after="240"/>
              <w:jc w:val="both"/>
              <w:rPr>
                <w:bCs/>
                <w:color w:val="FF0000"/>
                <w:szCs w:val="22"/>
              </w:rPr>
            </w:pPr>
          </w:p>
          <w:p w14:paraId="4794F799" w14:textId="77777777" w:rsidR="00AD1D10" w:rsidRPr="00DD4E53" w:rsidRDefault="00AA1A49" w:rsidP="00AA1A49">
            <w:pPr>
              <w:pStyle w:val="Zkladntext"/>
              <w:ind w:left="34"/>
              <w:contextualSpacing/>
              <w:rPr>
                <w:bCs/>
                <w:color w:val="FF0000"/>
                <w:szCs w:val="22"/>
              </w:rPr>
            </w:pPr>
            <w:r>
              <w:rPr>
                <w:sz w:val="22"/>
                <w:szCs w:val="22"/>
              </w:rPr>
              <w:t>Bez vyjádření</w:t>
            </w:r>
            <w:r w:rsidRPr="00894D87">
              <w:rPr>
                <w:sz w:val="22"/>
                <w:szCs w:val="22"/>
              </w:rPr>
              <w:t>.</w:t>
            </w:r>
          </w:p>
        </w:tc>
        <w:tc>
          <w:tcPr>
            <w:tcW w:w="6237" w:type="dxa"/>
            <w:tcBorders>
              <w:top w:val="single" w:sz="4" w:space="0" w:color="auto"/>
              <w:left w:val="single" w:sz="4" w:space="0" w:color="auto"/>
              <w:bottom w:val="single" w:sz="4" w:space="0" w:color="auto"/>
              <w:right w:val="single" w:sz="4" w:space="0" w:color="auto"/>
            </w:tcBorders>
          </w:tcPr>
          <w:p w14:paraId="38EB76CF" w14:textId="77777777" w:rsidR="00A932D5" w:rsidRPr="00A932D5" w:rsidRDefault="00A932D5" w:rsidP="00257A48">
            <w:pPr>
              <w:ind w:right="175"/>
              <w:contextualSpacing/>
              <w:jc w:val="both"/>
              <w:rPr>
                <w:color w:val="000000"/>
                <w:sz w:val="22"/>
                <w:szCs w:val="22"/>
              </w:rPr>
            </w:pPr>
          </w:p>
        </w:tc>
      </w:tr>
      <w:tr w:rsidR="00192F7C" w:rsidRPr="006E08DC" w14:paraId="0F50E527" w14:textId="77777777" w:rsidTr="00192F7C">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0BF9929F" w14:textId="77777777" w:rsidR="00192F7C" w:rsidRDefault="00192F7C" w:rsidP="006E08DC">
            <w:pPr>
              <w:contextualSpacing/>
              <w:rPr>
                <w:sz w:val="22"/>
                <w:szCs w:val="22"/>
              </w:rPr>
            </w:pPr>
          </w:p>
          <w:p w14:paraId="007A9849" w14:textId="77777777" w:rsidR="001713A3" w:rsidRDefault="001713A3" w:rsidP="001713A3">
            <w:pPr>
              <w:rPr>
                <w:sz w:val="22"/>
                <w:szCs w:val="22"/>
              </w:rPr>
            </w:pPr>
            <w:r>
              <w:rPr>
                <w:sz w:val="22"/>
                <w:szCs w:val="22"/>
              </w:rPr>
              <w:t>Úřad vlády ČR – vedoucí Úřadu vlády ČR</w:t>
            </w:r>
          </w:p>
          <w:p w14:paraId="7A30D6AC" w14:textId="77777777" w:rsidR="00192F7C" w:rsidRDefault="00192F7C"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3EA8807E" w14:textId="77777777" w:rsidR="00192F7C" w:rsidRDefault="00192F7C" w:rsidP="006A2587">
            <w:pPr>
              <w:ind w:left="34"/>
              <w:contextualSpacing/>
              <w:jc w:val="both"/>
              <w:rPr>
                <w:sz w:val="22"/>
                <w:szCs w:val="22"/>
              </w:rPr>
            </w:pPr>
          </w:p>
          <w:p w14:paraId="61563877" w14:textId="77777777" w:rsidR="001B1CB5" w:rsidRPr="006E08DC" w:rsidRDefault="001B1CB5" w:rsidP="001B1CB5">
            <w:pPr>
              <w:pStyle w:val="Zkladntext"/>
              <w:ind w:left="34"/>
              <w:contextualSpacing/>
              <w:rPr>
                <w:sz w:val="22"/>
                <w:szCs w:val="22"/>
              </w:rPr>
            </w:pPr>
            <w:r w:rsidRPr="006E08DC">
              <w:rPr>
                <w:sz w:val="22"/>
                <w:szCs w:val="22"/>
              </w:rPr>
              <w:t>Bez připomínek.</w:t>
            </w:r>
          </w:p>
          <w:p w14:paraId="43C10D24" w14:textId="77777777" w:rsidR="001B1CB5" w:rsidRPr="006E08DC" w:rsidRDefault="001B1CB5" w:rsidP="006A2587">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6021E4BC" w14:textId="77777777" w:rsidR="00192F7C" w:rsidRPr="006E08DC" w:rsidRDefault="00192F7C" w:rsidP="00257A48">
            <w:pPr>
              <w:ind w:right="175"/>
              <w:contextualSpacing/>
              <w:jc w:val="both"/>
              <w:rPr>
                <w:color w:val="000000"/>
                <w:sz w:val="22"/>
                <w:szCs w:val="22"/>
              </w:rPr>
            </w:pPr>
          </w:p>
        </w:tc>
      </w:tr>
      <w:tr w:rsidR="00192F7C" w:rsidRPr="006E08DC" w14:paraId="587470B7" w14:textId="77777777" w:rsidTr="00192F7C">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2D73CF61" w14:textId="77777777" w:rsidR="00192F7C" w:rsidRDefault="00192F7C" w:rsidP="006E08DC">
            <w:pPr>
              <w:contextualSpacing/>
              <w:rPr>
                <w:sz w:val="22"/>
                <w:szCs w:val="22"/>
              </w:rPr>
            </w:pPr>
          </w:p>
          <w:p w14:paraId="4EE77748" w14:textId="77777777" w:rsidR="001713A3" w:rsidRDefault="001713A3" w:rsidP="006E08DC">
            <w:pPr>
              <w:contextualSpacing/>
              <w:rPr>
                <w:sz w:val="22"/>
                <w:szCs w:val="22"/>
              </w:rPr>
            </w:pPr>
            <w:r>
              <w:rPr>
                <w:sz w:val="22"/>
                <w:szCs w:val="22"/>
              </w:rPr>
              <w:t>Úřad pro ochranu hospodářské soutěže</w:t>
            </w:r>
          </w:p>
          <w:p w14:paraId="20D7E418" w14:textId="77777777" w:rsidR="001713A3" w:rsidRDefault="001713A3"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15562584" w14:textId="77777777" w:rsidR="00192F7C" w:rsidRDefault="00192F7C" w:rsidP="006A2587">
            <w:pPr>
              <w:ind w:left="34"/>
              <w:contextualSpacing/>
              <w:jc w:val="both"/>
              <w:rPr>
                <w:sz w:val="22"/>
                <w:szCs w:val="22"/>
              </w:rPr>
            </w:pPr>
          </w:p>
          <w:p w14:paraId="24EA06A8" w14:textId="77777777" w:rsidR="001B1CB5" w:rsidRPr="006E08DC" w:rsidRDefault="001B1CB5" w:rsidP="001B1CB5">
            <w:pPr>
              <w:pStyle w:val="Zkladntext"/>
              <w:ind w:left="34"/>
              <w:contextualSpacing/>
              <w:rPr>
                <w:sz w:val="22"/>
                <w:szCs w:val="22"/>
              </w:rPr>
            </w:pPr>
            <w:r w:rsidRPr="006E08DC">
              <w:rPr>
                <w:sz w:val="22"/>
                <w:szCs w:val="22"/>
              </w:rPr>
              <w:t>Bez připomínek.</w:t>
            </w:r>
          </w:p>
          <w:p w14:paraId="410E1C5E" w14:textId="77777777" w:rsidR="001B1CB5" w:rsidRPr="006E08DC" w:rsidRDefault="001B1CB5" w:rsidP="006A2587">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5632AF9" w14:textId="77777777" w:rsidR="00192F7C" w:rsidRPr="006E08DC" w:rsidRDefault="00192F7C" w:rsidP="00257A48">
            <w:pPr>
              <w:ind w:right="175"/>
              <w:contextualSpacing/>
              <w:jc w:val="both"/>
              <w:rPr>
                <w:color w:val="000000"/>
                <w:sz w:val="22"/>
                <w:szCs w:val="22"/>
              </w:rPr>
            </w:pPr>
          </w:p>
        </w:tc>
      </w:tr>
      <w:tr w:rsidR="00192F7C" w:rsidRPr="006E08DC" w14:paraId="4918CDA9" w14:textId="77777777" w:rsidTr="001713A3">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061509A8" w14:textId="77777777" w:rsidR="00192F7C" w:rsidRDefault="00192F7C" w:rsidP="006E08DC">
            <w:pPr>
              <w:contextualSpacing/>
              <w:rPr>
                <w:sz w:val="22"/>
                <w:szCs w:val="22"/>
              </w:rPr>
            </w:pPr>
          </w:p>
          <w:p w14:paraId="70201818" w14:textId="77777777" w:rsidR="001713A3" w:rsidRPr="00894D87" w:rsidRDefault="001713A3" w:rsidP="001713A3">
            <w:pPr>
              <w:rPr>
                <w:sz w:val="22"/>
                <w:szCs w:val="22"/>
              </w:rPr>
            </w:pPr>
            <w:r w:rsidRPr="00894D87">
              <w:rPr>
                <w:sz w:val="22"/>
                <w:szCs w:val="22"/>
              </w:rPr>
              <w:t>Český úřad zeměměřičský a katastrální</w:t>
            </w:r>
          </w:p>
          <w:p w14:paraId="1A49350D" w14:textId="77777777" w:rsidR="001713A3" w:rsidRDefault="001713A3"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0584EF98" w14:textId="77777777" w:rsidR="00192F7C" w:rsidRDefault="00192F7C" w:rsidP="006A2587">
            <w:pPr>
              <w:ind w:left="34"/>
              <w:contextualSpacing/>
              <w:jc w:val="both"/>
              <w:rPr>
                <w:sz w:val="22"/>
                <w:szCs w:val="22"/>
              </w:rPr>
            </w:pPr>
          </w:p>
          <w:p w14:paraId="57E852B7" w14:textId="77777777" w:rsidR="001B1CB5" w:rsidRPr="006E08DC" w:rsidRDefault="001B1CB5" w:rsidP="001B1CB5">
            <w:pPr>
              <w:pStyle w:val="Zkladntext"/>
              <w:ind w:left="34"/>
              <w:contextualSpacing/>
              <w:rPr>
                <w:sz w:val="22"/>
                <w:szCs w:val="22"/>
              </w:rPr>
            </w:pPr>
            <w:r w:rsidRPr="006E08DC">
              <w:rPr>
                <w:sz w:val="22"/>
                <w:szCs w:val="22"/>
              </w:rPr>
              <w:t>Bez připomínek.</w:t>
            </w:r>
          </w:p>
          <w:p w14:paraId="06BA0EAD" w14:textId="77777777" w:rsidR="001B1CB5" w:rsidRPr="006E08DC" w:rsidRDefault="001B1CB5" w:rsidP="006A2587">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2AD1AE4F" w14:textId="77777777" w:rsidR="00192F7C" w:rsidRPr="006E08DC" w:rsidRDefault="00192F7C" w:rsidP="00257A48">
            <w:pPr>
              <w:ind w:right="175"/>
              <w:contextualSpacing/>
              <w:jc w:val="both"/>
              <w:rPr>
                <w:color w:val="000000"/>
                <w:sz w:val="22"/>
                <w:szCs w:val="22"/>
              </w:rPr>
            </w:pPr>
          </w:p>
        </w:tc>
      </w:tr>
      <w:tr w:rsidR="001713A3" w:rsidRPr="006E08DC" w14:paraId="30047C8A" w14:textId="77777777" w:rsidTr="001713A3">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5796B8BD" w14:textId="77777777" w:rsidR="001713A3" w:rsidRDefault="001713A3" w:rsidP="006E08DC">
            <w:pPr>
              <w:contextualSpacing/>
              <w:rPr>
                <w:sz w:val="22"/>
                <w:szCs w:val="22"/>
              </w:rPr>
            </w:pPr>
          </w:p>
          <w:p w14:paraId="4C3A1D86" w14:textId="77777777" w:rsidR="001713A3" w:rsidRPr="00894D87" w:rsidRDefault="001713A3" w:rsidP="001713A3">
            <w:pPr>
              <w:rPr>
                <w:sz w:val="22"/>
                <w:szCs w:val="22"/>
              </w:rPr>
            </w:pPr>
            <w:r w:rsidRPr="00894D87">
              <w:rPr>
                <w:sz w:val="22"/>
                <w:szCs w:val="22"/>
              </w:rPr>
              <w:t>Úřad průmyslového vlastnictví</w:t>
            </w:r>
          </w:p>
          <w:p w14:paraId="6C8B88F9" w14:textId="77777777" w:rsidR="001713A3" w:rsidRDefault="001713A3"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4012BCDB" w14:textId="77777777" w:rsidR="001713A3" w:rsidRDefault="001713A3" w:rsidP="006A2587">
            <w:pPr>
              <w:ind w:left="34"/>
              <w:contextualSpacing/>
              <w:jc w:val="both"/>
              <w:rPr>
                <w:sz w:val="22"/>
                <w:szCs w:val="22"/>
              </w:rPr>
            </w:pPr>
          </w:p>
          <w:p w14:paraId="29E3F5E7" w14:textId="77777777" w:rsidR="001B1CB5" w:rsidRPr="006E08DC" w:rsidRDefault="001B1CB5" w:rsidP="001B1CB5">
            <w:pPr>
              <w:pStyle w:val="Zkladntext"/>
              <w:ind w:left="34"/>
              <w:contextualSpacing/>
              <w:rPr>
                <w:sz w:val="22"/>
                <w:szCs w:val="22"/>
              </w:rPr>
            </w:pPr>
            <w:r w:rsidRPr="006E08DC">
              <w:rPr>
                <w:sz w:val="22"/>
                <w:szCs w:val="22"/>
              </w:rPr>
              <w:t>Bez připomínek.</w:t>
            </w:r>
          </w:p>
          <w:p w14:paraId="295D5851" w14:textId="77777777" w:rsidR="001B1CB5" w:rsidRPr="006E08DC" w:rsidRDefault="001B1CB5" w:rsidP="006A2587">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7D11D425" w14:textId="77777777" w:rsidR="001713A3" w:rsidRPr="006E08DC" w:rsidRDefault="001713A3" w:rsidP="00257A48">
            <w:pPr>
              <w:ind w:right="175"/>
              <w:contextualSpacing/>
              <w:jc w:val="both"/>
              <w:rPr>
                <w:color w:val="000000"/>
                <w:sz w:val="22"/>
                <w:szCs w:val="22"/>
              </w:rPr>
            </w:pPr>
          </w:p>
        </w:tc>
      </w:tr>
      <w:tr w:rsidR="001713A3" w:rsidRPr="006E08DC" w14:paraId="2791441F" w14:textId="77777777" w:rsidTr="001713A3">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372A7F98" w14:textId="77777777" w:rsidR="001713A3" w:rsidRDefault="001713A3" w:rsidP="006E08DC">
            <w:pPr>
              <w:contextualSpacing/>
              <w:rPr>
                <w:sz w:val="22"/>
                <w:szCs w:val="22"/>
              </w:rPr>
            </w:pPr>
          </w:p>
          <w:p w14:paraId="746DAC4D" w14:textId="77777777" w:rsidR="001713A3" w:rsidRPr="00894D87" w:rsidRDefault="001713A3" w:rsidP="001713A3">
            <w:pPr>
              <w:rPr>
                <w:sz w:val="22"/>
                <w:szCs w:val="22"/>
              </w:rPr>
            </w:pPr>
            <w:r w:rsidRPr="00894D87">
              <w:rPr>
                <w:sz w:val="22"/>
                <w:szCs w:val="22"/>
              </w:rPr>
              <w:t>Český statistický úřad</w:t>
            </w:r>
          </w:p>
          <w:p w14:paraId="2E780E1E" w14:textId="77777777" w:rsidR="001713A3" w:rsidRDefault="001713A3"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4EC27063" w14:textId="77777777" w:rsidR="001713A3" w:rsidRDefault="001713A3" w:rsidP="006A2587">
            <w:pPr>
              <w:ind w:left="34"/>
              <w:contextualSpacing/>
              <w:jc w:val="both"/>
              <w:rPr>
                <w:sz w:val="22"/>
                <w:szCs w:val="22"/>
              </w:rPr>
            </w:pPr>
          </w:p>
          <w:p w14:paraId="145E577D" w14:textId="77777777" w:rsidR="001B1CB5" w:rsidRPr="006E08DC" w:rsidRDefault="001B1CB5" w:rsidP="001B1CB5">
            <w:pPr>
              <w:pStyle w:val="Zkladntext"/>
              <w:ind w:left="34"/>
              <w:contextualSpacing/>
              <w:rPr>
                <w:sz w:val="22"/>
                <w:szCs w:val="22"/>
              </w:rPr>
            </w:pPr>
            <w:r w:rsidRPr="006E08DC">
              <w:rPr>
                <w:sz w:val="22"/>
                <w:szCs w:val="22"/>
              </w:rPr>
              <w:t>Bez připomínek.</w:t>
            </w:r>
          </w:p>
          <w:p w14:paraId="024F21DE" w14:textId="77777777" w:rsidR="001B1CB5" w:rsidRPr="006E08DC" w:rsidRDefault="001B1CB5" w:rsidP="006A2587">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0D2F1C1" w14:textId="77777777" w:rsidR="001713A3" w:rsidRPr="006E08DC" w:rsidRDefault="001713A3" w:rsidP="00257A48">
            <w:pPr>
              <w:ind w:right="175"/>
              <w:contextualSpacing/>
              <w:jc w:val="both"/>
              <w:rPr>
                <w:color w:val="000000"/>
                <w:sz w:val="22"/>
                <w:szCs w:val="22"/>
              </w:rPr>
            </w:pPr>
          </w:p>
        </w:tc>
      </w:tr>
      <w:tr w:rsidR="001713A3" w:rsidRPr="006E08DC" w14:paraId="6B7AE8A7" w14:textId="77777777" w:rsidTr="001713A3">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0AEF1CED" w14:textId="77777777" w:rsidR="001713A3" w:rsidRDefault="001713A3" w:rsidP="006E08DC">
            <w:pPr>
              <w:contextualSpacing/>
              <w:rPr>
                <w:sz w:val="22"/>
                <w:szCs w:val="22"/>
              </w:rPr>
            </w:pPr>
          </w:p>
          <w:p w14:paraId="12356467" w14:textId="77777777" w:rsidR="001713A3" w:rsidRPr="00894D87" w:rsidRDefault="001713A3" w:rsidP="001713A3">
            <w:pPr>
              <w:rPr>
                <w:sz w:val="22"/>
                <w:szCs w:val="22"/>
              </w:rPr>
            </w:pPr>
            <w:r w:rsidRPr="00894D87">
              <w:rPr>
                <w:sz w:val="22"/>
                <w:szCs w:val="22"/>
              </w:rPr>
              <w:t>Český telekomunikační úřad</w:t>
            </w:r>
          </w:p>
          <w:p w14:paraId="25596EA7" w14:textId="77777777" w:rsidR="001713A3" w:rsidRDefault="001713A3"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72F6CF16" w14:textId="77777777" w:rsidR="00997273" w:rsidRDefault="00997273" w:rsidP="00997273">
            <w:pPr>
              <w:pStyle w:val="Zkladntext"/>
              <w:ind w:left="34"/>
              <w:contextualSpacing/>
              <w:rPr>
                <w:sz w:val="22"/>
                <w:szCs w:val="22"/>
              </w:rPr>
            </w:pPr>
          </w:p>
          <w:p w14:paraId="017377B5" w14:textId="77777777" w:rsidR="00AD1D10" w:rsidRPr="006E08DC" w:rsidRDefault="00AD1D10" w:rsidP="00AD1D10">
            <w:pPr>
              <w:pStyle w:val="Zkladntext"/>
              <w:ind w:left="34"/>
              <w:contextualSpacing/>
              <w:rPr>
                <w:sz w:val="22"/>
                <w:szCs w:val="22"/>
              </w:rPr>
            </w:pPr>
            <w:r w:rsidRPr="006E08DC">
              <w:rPr>
                <w:sz w:val="22"/>
                <w:szCs w:val="22"/>
              </w:rPr>
              <w:t>Bez připomínek.</w:t>
            </w:r>
          </w:p>
          <w:p w14:paraId="45C3FFD8" w14:textId="77777777" w:rsidR="00AD1D10" w:rsidRPr="006E08DC" w:rsidRDefault="00AD1D10" w:rsidP="00997273">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B3AD7F1" w14:textId="77777777" w:rsidR="000771E9" w:rsidRPr="000771E9" w:rsidRDefault="000771E9" w:rsidP="00997273">
            <w:pPr>
              <w:ind w:right="175"/>
              <w:contextualSpacing/>
              <w:rPr>
                <w:color w:val="000000"/>
                <w:sz w:val="22"/>
                <w:szCs w:val="22"/>
              </w:rPr>
            </w:pPr>
          </w:p>
        </w:tc>
      </w:tr>
      <w:tr w:rsidR="001713A3" w:rsidRPr="006E08DC" w14:paraId="57AE7814" w14:textId="77777777" w:rsidTr="00BA3B0C">
        <w:trPr>
          <w:trHeight w:val="1104"/>
        </w:trPr>
        <w:tc>
          <w:tcPr>
            <w:tcW w:w="2309" w:type="dxa"/>
            <w:tcBorders>
              <w:top w:val="single" w:sz="4" w:space="0" w:color="auto"/>
              <w:left w:val="single" w:sz="4" w:space="0" w:color="auto"/>
              <w:bottom w:val="single" w:sz="4" w:space="0" w:color="auto"/>
              <w:right w:val="single" w:sz="4" w:space="0" w:color="auto"/>
            </w:tcBorders>
          </w:tcPr>
          <w:p w14:paraId="653C4008" w14:textId="77777777" w:rsidR="001713A3" w:rsidRDefault="001713A3" w:rsidP="006E08DC">
            <w:pPr>
              <w:contextualSpacing/>
              <w:rPr>
                <w:sz w:val="22"/>
                <w:szCs w:val="22"/>
              </w:rPr>
            </w:pPr>
          </w:p>
          <w:p w14:paraId="53716C5D" w14:textId="77777777" w:rsidR="001713A3" w:rsidRDefault="001713A3" w:rsidP="001713A3">
            <w:pPr>
              <w:rPr>
                <w:sz w:val="22"/>
                <w:szCs w:val="22"/>
              </w:rPr>
            </w:pPr>
            <w:r>
              <w:rPr>
                <w:sz w:val="22"/>
                <w:szCs w:val="22"/>
              </w:rPr>
              <w:t>Státní úřad pro jadernou bezpečnost</w:t>
            </w:r>
          </w:p>
          <w:p w14:paraId="4157167C" w14:textId="77777777" w:rsidR="001713A3" w:rsidRDefault="001713A3"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45065FB3" w14:textId="77777777" w:rsidR="00BA3B0C" w:rsidRDefault="00BA3B0C" w:rsidP="00762FA6">
            <w:pPr>
              <w:pStyle w:val="Zkladntext"/>
              <w:ind w:left="34"/>
              <w:contextualSpacing/>
              <w:rPr>
                <w:sz w:val="22"/>
                <w:szCs w:val="22"/>
              </w:rPr>
            </w:pPr>
          </w:p>
          <w:p w14:paraId="209228E6" w14:textId="77777777" w:rsidR="00292991" w:rsidRPr="006E08DC" w:rsidRDefault="00292991" w:rsidP="00292991">
            <w:pPr>
              <w:pStyle w:val="Zkladntext"/>
              <w:ind w:left="34"/>
              <w:contextualSpacing/>
              <w:rPr>
                <w:sz w:val="22"/>
                <w:szCs w:val="22"/>
              </w:rPr>
            </w:pPr>
            <w:r w:rsidRPr="006E08DC">
              <w:rPr>
                <w:sz w:val="22"/>
                <w:szCs w:val="22"/>
              </w:rPr>
              <w:t>Bez připomínek.</w:t>
            </w:r>
          </w:p>
          <w:p w14:paraId="2237D55A" w14:textId="77777777" w:rsidR="00292991" w:rsidRPr="006E08DC" w:rsidRDefault="00292991" w:rsidP="00762FA6">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3009059" w14:textId="77777777" w:rsidR="00780375" w:rsidRPr="00780375" w:rsidRDefault="00780375" w:rsidP="00257A48">
            <w:pPr>
              <w:ind w:right="175"/>
              <w:contextualSpacing/>
              <w:jc w:val="both"/>
              <w:rPr>
                <w:color w:val="000000"/>
                <w:sz w:val="22"/>
                <w:szCs w:val="22"/>
              </w:rPr>
            </w:pPr>
          </w:p>
        </w:tc>
      </w:tr>
      <w:tr w:rsidR="001713A3" w:rsidRPr="006E08DC" w14:paraId="6B0C6DCD" w14:textId="77777777" w:rsidTr="001713A3">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5B41779F" w14:textId="77777777" w:rsidR="001713A3" w:rsidRPr="00894D87" w:rsidRDefault="001713A3" w:rsidP="001B1CB5">
            <w:pPr>
              <w:rPr>
                <w:sz w:val="22"/>
                <w:szCs w:val="22"/>
              </w:rPr>
            </w:pPr>
          </w:p>
          <w:p w14:paraId="7996FF3A" w14:textId="77777777" w:rsidR="001713A3" w:rsidRPr="00894D87" w:rsidRDefault="001713A3" w:rsidP="001B1CB5">
            <w:pPr>
              <w:rPr>
                <w:sz w:val="22"/>
                <w:szCs w:val="22"/>
              </w:rPr>
            </w:pPr>
            <w:r>
              <w:rPr>
                <w:sz w:val="22"/>
                <w:szCs w:val="22"/>
              </w:rPr>
              <w:t>Nejvyšší kontrolní ú</w:t>
            </w:r>
            <w:r w:rsidRPr="00894D87">
              <w:rPr>
                <w:sz w:val="22"/>
                <w:szCs w:val="22"/>
              </w:rPr>
              <w:t xml:space="preserve">řad </w:t>
            </w:r>
          </w:p>
          <w:p w14:paraId="30CA4690" w14:textId="77777777" w:rsidR="001713A3" w:rsidRPr="00894D87" w:rsidRDefault="001713A3" w:rsidP="001B1CB5">
            <w:pPr>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5B01CAC4" w14:textId="77777777" w:rsidR="001713A3" w:rsidRDefault="001713A3" w:rsidP="006A2587">
            <w:pPr>
              <w:ind w:left="34"/>
              <w:contextualSpacing/>
              <w:jc w:val="both"/>
              <w:rPr>
                <w:sz w:val="22"/>
                <w:szCs w:val="22"/>
              </w:rPr>
            </w:pPr>
          </w:p>
          <w:p w14:paraId="6ECCB3D7" w14:textId="77777777" w:rsidR="001B1CB5" w:rsidRPr="006E08DC" w:rsidRDefault="001B1CB5" w:rsidP="001B1CB5">
            <w:pPr>
              <w:pStyle w:val="Zkladntext"/>
              <w:ind w:left="34"/>
              <w:contextualSpacing/>
              <w:rPr>
                <w:sz w:val="22"/>
                <w:szCs w:val="22"/>
              </w:rPr>
            </w:pPr>
            <w:r w:rsidRPr="006E08DC">
              <w:rPr>
                <w:sz w:val="22"/>
                <w:szCs w:val="22"/>
              </w:rPr>
              <w:t>Bez připomínek.</w:t>
            </w:r>
          </w:p>
          <w:p w14:paraId="3E1C3BDD" w14:textId="77777777" w:rsidR="001B1CB5" w:rsidRPr="006E08DC" w:rsidRDefault="001B1CB5" w:rsidP="006A2587">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C315165" w14:textId="77777777" w:rsidR="001713A3" w:rsidRPr="006E08DC" w:rsidRDefault="001713A3" w:rsidP="00257A48">
            <w:pPr>
              <w:ind w:right="175"/>
              <w:contextualSpacing/>
              <w:jc w:val="both"/>
              <w:rPr>
                <w:color w:val="000000"/>
                <w:sz w:val="22"/>
                <w:szCs w:val="22"/>
              </w:rPr>
            </w:pPr>
          </w:p>
        </w:tc>
      </w:tr>
      <w:tr w:rsidR="001713A3" w:rsidRPr="006E08DC" w14:paraId="57345C32" w14:textId="77777777" w:rsidTr="001713A3">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56DD30B5" w14:textId="77777777" w:rsidR="001713A3" w:rsidRDefault="001713A3" w:rsidP="006E08DC">
            <w:pPr>
              <w:contextualSpacing/>
              <w:rPr>
                <w:sz w:val="22"/>
                <w:szCs w:val="22"/>
              </w:rPr>
            </w:pPr>
          </w:p>
          <w:p w14:paraId="7EA2647F" w14:textId="77777777" w:rsidR="001713A3" w:rsidRPr="00894D87" w:rsidRDefault="001713A3" w:rsidP="001713A3">
            <w:pPr>
              <w:rPr>
                <w:sz w:val="22"/>
                <w:szCs w:val="22"/>
              </w:rPr>
            </w:pPr>
            <w:r w:rsidRPr="00894D87">
              <w:rPr>
                <w:sz w:val="22"/>
                <w:szCs w:val="22"/>
              </w:rPr>
              <w:t>Hospodářská komora ČR</w:t>
            </w:r>
          </w:p>
          <w:p w14:paraId="36F646B0" w14:textId="77777777" w:rsidR="001713A3" w:rsidRDefault="001713A3" w:rsidP="006E08DC">
            <w:pPr>
              <w:contextualSpacing/>
              <w:rPr>
                <w:sz w:val="22"/>
                <w:szCs w:val="22"/>
              </w:rPr>
            </w:pPr>
          </w:p>
          <w:p w14:paraId="21028CCE" w14:textId="77777777" w:rsidR="001713A3" w:rsidRDefault="001713A3"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79E07D85" w14:textId="77777777" w:rsidR="001713A3" w:rsidRDefault="001713A3" w:rsidP="006A2587">
            <w:pPr>
              <w:ind w:left="34"/>
              <w:contextualSpacing/>
              <w:jc w:val="both"/>
              <w:rPr>
                <w:sz w:val="22"/>
                <w:szCs w:val="22"/>
              </w:rPr>
            </w:pPr>
          </w:p>
          <w:p w14:paraId="343C4A7B" w14:textId="77777777" w:rsidR="00F27D4A" w:rsidRPr="006E08DC" w:rsidRDefault="00292991" w:rsidP="0051470E">
            <w:pPr>
              <w:pStyle w:val="Zkladntext"/>
              <w:ind w:left="34"/>
              <w:contextualSpacing/>
              <w:rPr>
                <w:sz w:val="22"/>
                <w:szCs w:val="22"/>
              </w:rPr>
            </w:pPr>
            <w:r>
              <w:rPr>
                <w:sz w:val="22"/>
                <w:szCs w:val="22"/>
              </w:rPr>
              <w:t>Bez vyjádření</w:t>
            </w:r>
            <w:r w:rsidRPr="00894D87">
              <w:rPr>
                <w:sz w:val="22"/>
                <w:szCs w:val="22"/>
              </w:rPr>
              <w:t>.</w:t>
            </w:r>
          </w:p>
        </w:tc>
        <w:tc>
          <w:tcPr>
            <w:tcW w:w="6237" w:type="dxa"/>
            <w:tcBorders>
              <w:top w:val="single" w:sz="4" w:space="0" w:color="auto"/>
              <w:left w:val="single" w:sz="4" w:space="0" w:color="auto"/>
              <w:bottom w:val="single" w:sz="4" w:space="0" w:color="auto"/>
              <w:right w:val="single" w:sz="4" w:space="0" w:color="auto"/>
            </w:tcBorders>
          </w:tcPr>
          <w:p w14:paraId="08023192" w14:textId="77777777" w:rsidR="001713A3" w:rsidRPr="006E08DC" w:rsidRDefault="001713A3" w:rsidP="00257A48">
            <w:pPr>
              <w:ind w:right="175"/>
              <w:contextualSpacing/>
              <w:jc w:val="both"/>
              <w:rPr>
                <w:color w:val="000000"/>
                <w:sz w:val="22"/>
                <w:szCs w:val="22"/>
              </w:rPr>
            </w:pPr>
          </w:p>
        </w:tc>
      </w:tr>
      <w:tr w:rsidR="001713A3" w:rsidRPr="006E08DC" w14:paraId="1963BCDF" w14:textId="77777777" w:rsidTr="00C17438">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0EC1BFCF" w14:textId="77777777" w:rsidR="001713A3" w:rsidRDefault="001713A3" w:rsidP="006E08DC">
            <w:pPr>
              <w:contextualSpacing/>
              <w:rPr>
                <w:sz w:val="22"/>
                <w:szCs w:val="22"/>
              </w:rPr>
            </w:pPr>
          </w:p>
          <w:p w14:paraId="39E83347" w14:textId="77777777" w:rsidR="001713A3" w:rsidRDefault="001713A3" w:rsidP="001713A3">
            <w:pPr>
              <w:rPr>
                <w:sz w:val="22"/>
                <w:szCs w:val="22"/>
              </w:rPr>
            </w:pPr>
            <w:r>
              <w:rPr>
                <w:sz w:val="22"/>
                <w:szCs w:val="22"/>
              </w:rPr>
              <w:t>Českomoravská konfederace odborových svazů</w:t>
            </w:r>
          </w:p>
          <w:p w14:paraId="1C0404C9" w14:textId="77777777" w:rsidR="001713A3" w:rsidRDefault="001713A3"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61384C43" w14:textId="77777777" w:rsidR="001713A3" w:rsidRDefault="001713A3" w:rsidP="006A2587">
            <w:pPr>
              <w:ind w:left="34"/>
              <w:contextualSpacing/>
              <w:jc w:val="both"/>
              <w:rPr>
                <w:sz w:val="22"/>
                <w:szCs w:val="22"/>
              </w:rPr>
            </w:pPr>
          </w:p>
          <w:p w14:paraId="47D29DDA" w14:textId="77777777" w:rsidR="0021762A" w:rsidRPr="006E08DC" w:rsidRDefault="0021762A" w:rsidP="0021762A">
            <w:pPr>
              <w:pStyle w:val="Zkladntext"/>
              <w:ind w:left="34"/>
              <w:contextualSpacing/>
              <w:rPr>
                <w:sz w:val="22"/>
                <w:szCs w:val="22"/>
              </w:rPr>
            </w:pPr>
            <w:r w:rsidRPr="006E08DC">
              <w:rPr>
                <w:sz w:val="22"/>
                <w:szCs w:val="22"/>
              </w:rPr>
              <w:t>Bez připomínek.</w:t>
            </w:r>
          </w:p>
          <w:p w14:paraId="75FE832B" w14:textId="77777777" w:rsidR="0021762A" w:rsidRPr="006E08DC" w:rsidRDefault="0021762A" w:rsidP="006A2587">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FFAF3B2" w14:textId="77777777" w:rsidR="001713A3" w:rsidRPr="006E08DC" w:rsidRDefault="001713A3" w:rsidP="00257A48">
            <w:pPr>
              <w:ind w:right="175"/>
              <w:contextualSpacing/>
              <w:jc w:val="both"/>
              <w:rPr>
                <w:color w:val="000000"/>
                <w:sz w:val="22"/>
                <w:szCs w:val="22"/>
              </w:rPr>
            </w:pPr>
          </w:p>
        </w:tc>
      </w:tr>
      <w:tr w:rsidR="00AA1A49" w:rsidRPr="006E08DC" w14:paraId="0D72E310" w14:textId="77777777" w:rsidTr="00C17438">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22517C3F" w14:textId="77777777" w:rsidR="00AA1A49" w:rsidRDefault="00AA1A49" w:rsidP="006E08DC">
            <w:pPr>
              <w:contextualSpacing/>
              <w:rPr>
                <w:sz w:val="22"/>
                <w:szCs w:val="22"/>
              </w:rPr>
            </w:pPr>
          </w:p>
          <w:p w14:paraId="2B18506F" w14:textId="77777777" w:rsidR="00AA1A49" w:rsidRDefault="00AA1A49" w:rsidP="006E08DC">
            <w:pPr>
              <w:contextualSpacing/>
              <w:rPr>
                <w:sz w:val="22"/>
                <w:szCs w:val="22"/>
              </w:rPr>
            </w:pPr>
            <w:r>
              <w:rPr>
                <w:sz w:val="22"/>
                <w:szCs w:val="22"/>
              </w:rPr>
              <w:t>Svaz měst a obcí</w:t>
            </w:r>
          </w:p>
        </w:tc>
        <w:tc>
          <w:tcPr>
            <w:tcW w:w="5879" w:type="dxa"/>
            <w:tcBorders>
              <w:top w:val="single" w:sz="4" w:space="0" w:color="auto"/>
              <w:left w:val="single" w:sz="4" w:space="0" w:color="auto"/>
              <w:bottom w:val="single" w:sz="4" w:space="0" w:color="auto"/>
              <w:right w:val="single" w:sz="4" w:space="0" w:color="auto"/>
            </w:tcBorders>
          </w:tcPr>
          <w:p w14:paraId="5ED27A1B" w14:textId="77777777" w:rsidR="00AA1A49" w:rsidRDefault="00AA1A49" w:rsidP="006A2587">
            <w:pPr>
              <w:ind w:left="34"/>
              <w:contextualSpacing/>
              <w:jc w:val="both"/>
              <w:rPr>
                <w:sz w:val="22"/>
                <w:szCs w:val="22"/>
              </w:rPr>
            </w:pPr>
          </w:p>
          <w:p w14:paraId="4BA33819" w14:textId="77777777" w:rsidR="00AA1A49" w:rsidRPr="006E08DC" w:rsidRDefault="00AA1A49" w:rsidP="00AA1A49">
            <w:pPr>
              <w:pStyle w:val="Zkladntext"/>
              <w:ind w:left="34"/>
              <w:contextualSpacing/>
              <w:rPr>
                <w:sz w:val="22"/>
                <w:szCs w:val="22"/>
              </w:rPr>
            </w:pPr>
            <w:r w:rsidRPr="006E08DC">
              <w:rPr>
                <w:sz w:val="22"/>
                <w:szCs w:val="22"/>
              </w:rPr>
              <w:t>Bez připomínek.</w:t>
            </w:r>
          </w:p>
          <w:p w14:paraId="4FABEC33" w14:textId="77777777" w:rsidR="00AA1A49" w:rsidRDefault="00AA1A49" w:rsidP="006A2587">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1191478F" w14:textId="77777777" w:rsidR="00AA1A49" w:rsidRPr="006E08DC" w:rsidRDefault="00AA1A49" w:rsidP="00257A48">
            <w:pPr>
              <w:ind w:right="175"/>
              <w:contextualSpacing/>
              <w:jc w:val="both"/>
              <w:rPr>
                <w:color w:val="000000"/>
                <w:sz w:val="22"/>
                <w:szCs w:val="22"/>
              </w:rPr>
            </w:pPr>
          </w:p>
        </w:tc>
      </w:tr>
      <w:tr w:rsidR="00AA1A49" w:rsidRPr="006E08DC" w14:paraId="61EA4579" w14:textId="77777777" w:rsidTr="00C17438">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0B7D9370" w14:textId="77777777" w:rsidR="00AA1A49" w:rsidRDefault="00AA1A49" w:rsidP="006E08DC">
            <w:pPr>
              <w:contextualSpacing/>
              <w:rPr>
                <w:sz w:val="22"/>
                <w:szCs w:val="22"/>
              </w:rPr>
            </w:pPr>
          </w:p>
          <w:p w14:paraId="6B8DF31F" w14:textId="77777777" w:rsidR="00AA1A49" w:rsidRDefault="00AA1A49" w:rsidP="006E08DC">
            <w:pPr>
              <w:contextualSpacing/>
              <w:rPr>
                <w:sz w:val="22"/>
                <w:szCs w:val="22"/>
              </w:rPr>
            </w:pPr>
            <w:r>
              <w:rPr>
                <w:sz w:val="22"/>
                <w:szCs w:val="22"/>
              </w:rPr>
              <w:t>Sdružení místních samospráv ČR</w:t>
            </w:r>
          </w:p>
        </w:tc>
        <w:tc>
          <w:tcPr>
            <w:tcW w:w="5879" w:type="dxa"/>
            <w:tcBorders>
              <w:top w:val="single" w:sz="4" w:space="0" w:color="auto"/>
              <w:left w:val="single" w:sz="4" w:space="0" w:color="auto"/>
              <w:bottom w:val="single" w:sz="4" w:space="0" w:color="auto"/>
              <w:right w:val="single" w:sz="4" w:space="0" w:color="auto"/>
            </w:tcBorders>
          </w:tcPr>
          <w:p w14:paraId="3FB4D862" w14:textId="77777777" w:rsidR="00AA1A49" w:rsidRDefault="00AA1A49" w:rsidP="006A2587">
            <w:pPr>
              <w:ind w:left="34"/>
              <w:contextualSpacing/>
              <w:jc w:val="both"/>
              <w:rPr>
                <w:sz w:val="22"/>
                <w:szCs w:val="22"/>
              </w:rPr>
            </w:pPr>
          </w:p>
          <w:p w14:paraId="17DE05A4" w14:textId="77777777" w:rsidR="00AA1A49" w:rsidRDefault="00BE5763" w:rsidP="00800F10">
            <w:pPr>
              <w:pStyle w:val="Zkladntext"/>
              <w:ind w:left="34"/>
              <w:contextualSpacing/>
              <w:rPr>
                <w:sz w:val="22"/>
                <w:szCs w:val="22"/>
              </w:rPr>
            </w:pPr>
            <w:r>
              <w:rPr>
                <w:sz w:val="22"/>
                <w:szCs w:val="22"/>
              </w:rPr>
              <w:t xml:space="preserve">Bez </w:t>
            </w:r>
            <w:r w:rsidR="00800F10">
              <w:rPr>
                <w:sz w:val="22"/>
                <w:szCs w:val="22"/>
              </w:rPr>
              <w:t>připomínek</w:t>
            </w:r>
            <w:r w:rsidRPr="00894D87">
              <w:rPr>
                <w:sz w:val="22"/>
                <w:szCs w:val="22"/>
              </w:rPr>
              <w:t>.</w:t>
            </w:r>
          </w:p>
        </w:tc>
        <w:tc>
          <w:tcPr>
            <w:tcW w:w="6237" w:type="dxa"/>
            <w:tcBorders>
              <w:top w:val="single" w:sz="4" w:space="0" w:color="auto"/>
              <w:left w:val="single" w:sz="4" w:space="0" w:color="auto"/>
              <w:bottom w:val="single" w:sz="4" w:space="0" w:color="auto"/>
              <w:right w:val="single" w:sz="4" w:space="0" w:color="auto"/>
            </w:tcBorders>
          </w:tcPr>
          <w:p w14:paraId="3B8B167B" w14:textId="77777777" w:rsidR="00AA1A49" w:rsidRPr="006E08DC" w:rsidRDefault="00AA1A49" w:rsidP="00257A48">
            <w:pPr>
              <w:ind w:right="175"/>
              <w:contextualSpacing/>
              <w:jc w:val="both"/>
              <w:rPr>
                <w:color w:val="000000"/>
                <w:sz w:val="22"/>
                <w:szCs w:val="22"/>
              </w:rPr>
            </w:pPr>
          </w:p>
        </w:tc>
      </w:tr>
      <w:tr w:rsidR="00AA1A49" w:rsidRPr="006E08DC" w14:paraId="5469EF07" w14:textId="77777777" w:rsidTr="00C17438">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73781629" w14:textId="77777777" w:rsidR="00AA1A49" w:rsidRDefault="00AA1A49" w:rsidP="006E08DC">
            <w:pPr>
              <w:contextualSpacing/>
              <w:rPr>
                <w:sz w:val="22"/>
                <w:szCs w:val="22"/>
              </w:rPr>
            </w:pPr>
          </w:p>
          <w:p w14:paraId="60F70F9D" w14:textId="77777777" w:rsidR="00AA1A49" w:rsidRDefault="00AA1A49" w:rsidP="006E08DC">
            <w:pPr>
              <w:contextualSpacing/>
              <w:rPr>
                <w:sz w:val="22"/>
                <w:szCs w:val="22"/>
              </w:rPr>
            </w:pPr>
            <w:r>
              <w:rPr>
                <w:sz w:val="22"/>
                <w:szCs w:val="22"/>
              </w:rPr>
              <w:t>Asociace samostatných odborů</w:t>
            </w:r>
          </w:p>
          <w:p w14:paraId="011EE975" w14:textId="77777777" w:rsidR="00AA1A49" w:rsidRDefault="00AA1A49"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19EEE4CE" w14:textId="77777777" w:rsidR="00AA1A49" w:rsidRDefault="00AA1A49" w:rsidP="00AA1A49">
            <w:pPr>
              <w:pStyle w:val="Zkladntext"/>
              <w:ind w:left="34"/>
              <w:contextualSpacing/>
              <w:rPr>
                <w:sz w:val="22"/>
                <w:szCs w:val="22"/>
              </w:rPr>
            </w:pPr>
          </w:p>
          <w:p w14:paraId="7CCC6842" w14:textId="77777777" w:rsidR="00AA1A49" w:rsidRDefault="00292991" w:rsidP="00BE5763">
            <w:pPr>
              <w:pStyle w:val="Zkladntext"/>
              <w:ind w:left="34"/>
              <w:contextualSpacing/>
              <w:rPr>
                <w:sz w:val="22"/>
                <w:szCs w:val="22"/>
              </w:rPr>
            </w:pPr>
            <w:r>
              <w:rPr>
                <w:sz w:val="22"/>
                <w:szCs w:val="22"/>
              </w:rPr>
              <w:t>Bez připomínek</w:t>
            </w:r>
            <w:r w:rsidRPr="00894D87">
              <w:rPr>
                <w:sz w:val="22"/>
                <w:szCs w:val="22"/>
              </w:rPr>
              <w:t>.</w:t>
            </w:r>
          </w:p>
        </w:tc>
        <w:tc>
          <w:tcPr>
            <w:tcW w:w="6237" w:type="dxa"/>
            <w:tcBorders>
              <w:top w:val="single" w:sz="4" w:space="0" w:color="auto"/>
              <w:left w:val="single" w:sz="4" w:space="0" w:color="auto"/>
              <w:bottom w:val="single" w:sz="4" w:space="0" w:color="auto"/>
              <w:right w:val="single" w:sz="4" w:space="0" w:color="auto"/>
            </w:tcBorders>
          </w:tcPr>
          <w:p w14:paraId="48C8A4E0" w14:textId="77777777" w:rsidR="00AA1A49" w:rsidRPr="006E08DC" w:rsidRDefault="00AA1A49" w:rsidP="00257A48">
            <w:pPr>
              <w:ind w:right="175"/>
              <w:contextualSpacing/>
              <w:jc w:val="both"/>
              <w:rPr>
                <w:color w:val="000000"/>
                <w:sz w:val="22"/>
                <w:szCs w:val="22"/>
              </w:rPr>
            </w:pPr>
          </w:p>
        </w:tc>
      </w:tr>
      <w:tr w:rsidR="009907FE" w:rsidRPr="006E08DC" w14:paraId="0C72A492" w14:textId="77777777" w:rsidTr="00CB0317">
        <w:trPr>
          <w:trHeight w:val="1104"/>
        </w:trPr>
        <w:tc>
          <w:tcPr>
            <w:tcW w:w="2309" w:type="dxa"/>
            <w:tcBorders>
              <w:top w:val="single" w:sz="4" w:space="0" w:color="auto"/>
              <w:left w:val="single" w:sz="4" w:space="0" w:color="auto"/>
              <w:bottom w:val="single" w:sz="4" w:space="0" w:color="auto"/>
              <w:right w:val="single" w:sz="4" w:space="0" w:color="auto"/>
            </w:tcBorders>
          </w:tcPr>
          <w:p w14:paraId="7F03CE95" w14:textId="77777777" w:rsidR="009907FE" w:rsidRDefault="009907FE" w:rsidP="006E08DC">
            <w:pPr>
              <w:contextualSpacing/>
              <w:rPr>
                <w:sz w:val="22"/>
                <w:szCs w:val="22"/>
              </w:rPr>
            </w:pPr>
          </w:p>
          <w:p w14:paraId="501931AC" w14:textId="77777777" w:rsidR="009907FE" w:rsidRDefault="009907FE" w:rsidP="006E08DC">
            <w:pPr>
              <w:contextualSpacing/>
              <w:rPr>
                <w:sz w:val="22"/>
                <w:szCs w:val="22"/>
              </w:rPr>
            </w:pPr>
            <w:r>
              <w:rPr>
                <w:sz w:val="22"/>
                <w:szCs w:val="22"/>
              </w:rPr>
              <w:t>Státní zemědělská a potravinářská inspekce</w:t>
            </w:r>
          </w:p>
        </w:tc>
        <w:tc>
          <w:tcPr>
            <w:tcW w:w="5879" w:type="dxa"/>
            <w:tcBorders>
              <w:top w:val="single" w:sz="4" w:space="0" w:color="auto"/>
              <w:left w:val="single" w:sz="4" w:space="0" w:color="auto"/>
              <w:bottom w:val="single" w:sz="4" w:space="0" w:color="auto"/>
              <w:right w:val="single" w:sz="4" w:space="0" w:color="auto"/>
            </w:tcBorders>
          </w:tcPr>
          <w:p w14:paraId="719383F3" w14:textId="77777777" w:rsidR="00E40F1A" w:rsidRPr="00E40F1A" w:rsidRDefault="00E40F1A" w:rsidP="00E40F1A">
            <w:pPr>
              <w:rPr>
                <w:b/>
                <w:sz w:val="22"/>
                <w:szCs w:val="22"/>
              </w:rPr>
            </w:pPr>
            <w:r w:rsidRPr="00E40F1A">
              <w:rPr>
                <w:b/>
                <w:sz w:val="22"/>
                <w:szCs w:val="22"/>
              </w:rPr>
              <w:t>1) K § 3 odst. 2:</w:t>
            </w:r>
          </w:p>
          <w:p w14:paraId="4339F3C5" w14:textId="77777777" w:rsidR="00E40F1A" w:rsidRPr="00E40F1A" w:rsidRDefault="00E40F1A" w:rsidP="00E40F1A">
            <w:pPr>
              <w:rPr>
                <w:sz w:val="22"/>
                <w:szCs w:val="22"/>
                <w:u w:val="single"/>
              </w:rPr>
            </w:pPr>
            <w:r w:rsidRPr="00E40F1A">
              <w:rPr>
                <w:sz w:val="22"/>
                <w:szCs w:val="22"/>
                <w:u w:val="single"/>
              </w:rPr>
              <w:t xml:space="preserve">Navrhované znění: </w:t>
            </w:r>
          </w:p>
          <w:p w14:paraId="21499506" w14:textId="77777777" w:rsidR="00E40F1A" w:rsidRPr="00E40F1A" w:rsidRDefault="00E40F1A" w:rsidP="00E40F1A">
            <w:pPr>
              <w:ind w:firstLine="708"/>
              <w:jc w:val="both"/>
              <w:rPr>
                <w:sz w:val="22"/>
                <w:szCs w:val="22"/>
              </w:rPr>
            </w:pPr>
            <w:r w:rsidRPr="00E40F1A">
              <w:rPr>
                <w:sz w:val="22"/>
                <w:szCs w:val="22"/>
              </w:rPr>
              <w:t xml:space="preserve">(2) Pro zajištění mikrobiologické bezpečnosti pokrmů musí vzorky odebrané z míst a zařízení používaných při výrobě a uvádění pokrmů na trh </w:t>
            </w:r>
            <w:r w:rsidRPr="00E40F1A">
              <w:rPr>
                <w:b/>
                <w:strike/>
                <w:sz w:val="22"/>
                <w:szCs w:val="22"/>
              </w:rPr>
              <w:t>musí</w:t>
            </w:r>
            <w:r w:rsidRPr="00E40F1A">
              <w:rPr>
                <w:sz w:val="22"/>
                <w:szCs w:val="22"/>
              </w:rPr>
              <w:t xml:space="preserve"> splňovat požadavky nařízení Komise (ES) č. 2073/2005 a pokud je toto nařízení nestanoví, musí splňovat požadavky uvedené v tabulce č. 4 v příloze č. 1 k této vyhlášce s ohledem na stanovení rizik ve smyslu čl. 1 nařízení Komise (ES) č. 2073/2005.</w:t>
            </w:r>
          </w:p>
          <w:p w14:paraId="1EE6D376" w14:textId="77777777" w:rsidR="00E40F1A" w:rsidRPr="00E40F1A" w:rsidRDefault="00E40F1A" w:rsidP="00E40F1A">
            <w:pPr>
              <w:rPr>
                <w:sz w:val="22"/>
                <w:szCs w:val="22"/>
              </w:rPr>
            </w:pPr>
          </w:p>
          <w:p w14:paraId="184B05E6" w14:textId="77777777" w:rsidR="00E40F1A" w:rsidRPr="00E40F1A" w:rsidRDefault="00E40F1A" w:rsidP="00E40F1A">
            <w:pPr>
              <w:pStyle w:val="Textkomente"/>
              <w:jc w:val="both"/>
              <w:rPr>
                <w:sz w:val="22"/>
                <w:szCs w:val="22"/>
              </w:rPr>
            </w:pPr>
            <w:r w:rsidRPr="00E40F1A">
              <w:rPr>
                <w:sz w:val="22"/>
                <w:szCs w:val="22"/>
                <w:u w:val="single"/>
              </w:rPr>
              <w:t>Odůvodnění:</w:t>
            </w:r>
            <w:r w:rsidRPr="00E40F1A">
              <w:rPr>
                <w:sz w:val="22"/>
                <w:szCs w:val="22"/>
              </w:rPr>
              <w:t xml:space="preserve"> Chyba v psaní, slovo „musí“ je ve větě dvakrát.</w:t>
            </w:r>
          </w:p>
          <w:p w14:paraId="112E0C98" w14:textId="77777777" w:rsidR="00BA3B0C" w:rsidRDefault="00BA3B0C" w:rsidP="00BA3B0C">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2EA5D400" w14:textId="77777777" w:rsidR="00292991" w:rsidRDefault="00292991" w:rsidP="00292991">
            <w:pPr>
              <w:ind w:right="175"/>
              <w:contextualSpacing/>
              <w:jc w:val="both"/>
              <w:rPr>
                <w:b/>
                <w:color w:val="000000"/>
                <w:sz w:val="22"/>
                <w:szCs w:val="22"/>
              </w:rPr>
            </w:pPr>
            <w:r>
              <w:rPr>
                <w:b/>
                <w:color w:val="000000"/>
                <w:sz w:val="22"/>
                <w:szCs w:val="22"/>
              </w:rPr>
              <w:t>Akceptováno.</w:t>
            </w:r>
          </w:p>
          <w:p w14:paraId="011440A1" w14:textId="01000BCD" w:rsidR="003605D9" w:rsidRDefault="003605D9" w:rsidP="00292991">
            <w:pPr>
              <w:ind w:right="175"/>
              <w:contextualSpacing/>
              <w:jc w:val="both"/>
              <w:rPr>
                <w:b/>
                <w:color w:val="000000"/>
                <w:sz w:val="22"/>
                <w:szCs w:val="22"/>
              </w:rPr>
            </w:pPr>
            <w:r w:rsidRPr="00D43011">
              <w:rPr>
                <w:sz w:val="22"/>
                <w:szCs w:val="22"/>
              </w:rPr>
              <w:t>V II. návrhu vyhlášky nově přesunuto pod § 5.</w:t>
            </w:r>
          </w:p>
          <w:p w14:paraId="2AC2C0FE" w14:textId="77777777" w:rsidR="009907FE" w:rsidRPr="006E08DC" w:rsidRDefault="00292991" w:rsidP="00292991">
            <w:pPr>
              <w:ind w:right="175"/>
              <w:contextualSpacing/>
              <w:jc w:val="both"/>
              <w:rPr>
                <w:color w:val="000000"/>
                <w:sz w:val="22"/>
                <w:szCs w:val="22"/>
              </w:rPr>
            </w:pPr>
            <w:r>
              <w:rPr>
                <w:color w:val="000000"/>
                <w:sz w:val="22"/>
                <w:szCs w:val="22"/>
              </w:rPr>
              <w:t>Text byl upraven.</w:t>
            </w:r>
          </w:p>
        </w:tc>
      </w:tr>
      <w:tr w:rsidR="00BA3B0C" w:rsidRPr="006E08DC" w14:paraId="53984165" w14:textId="77777777" w:rsidTr="00CB0317">
        <w:trPr>
          <w:trHeight w:val="1104"/>
        </w:trPr>
        <w:tc>
          <w:tcPr>
            <w:tcW w:w="2309" w:type="dxa"/>
            <w:tcBorders>
              <w:top w:val="single" w:sz="4" w:space="0" w:color="auto"/>
              <w:left w:val="single" w:sz="4" w:space="0" w:color="auto"/>
              <w:bottom w:val="single" w:sz="4" w:space="0" w:color="auto"/>
              <w:right w:val="single" w:sz="4" w:space="0" w:color="auto"/>
            </w:tcBorders>
          </w:tcPr>
          <w:p w14:paraId="252035C7" w14:textId="77777777" w:rsidR="00BA3B0C" w:rsidRDefault="00BA3B0C"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5FBBEABC" w14:textId="77777777" w:rsidR="00E40F1A" w:rsidRPr="00E40F1A" w:rsidRDefault="00E40F1A" w:rsidP="00E40F1A">
            <w:pPr>
              <w:pStyle w:val="Textkomente"/>
              <w:jc w:val="both"/>
              <w:rPr>
                <w:b/>
                <w:sz w:val="22"/>
                <w:szCs w:val="22"/>
              </w:rPr>
            </w:pPr>
            <w:r w:rsidRPr="00E40F1A">
              <w:rPr>
                <w:b/>
                <w:sz w:val="22"/>
                <w:szCs w:val="22"/>
              </w:rPr>
              <w:t>2) K § 3 – navrhujeme nový odstavec 4)</w:t>
            </w:r>
          </w:p>
          <w:p w14:paraId="47290729" w14:textId="77777777" w:rsidR="00E40F1A" w:rsidRPr="00E40F1A" w:rsidRDefault="00E40F1A" w:rsidP="00E40F1A">
            <w:pPr>
              <w:rPr>
                <w:sz w:val="22"/>
                <w:szCs w:val="22"/>
                <w:u w:val="single"/>
              </w:rPr>
            </w:pPr>
            <w:r w:rsidRPr="00E40F1A">
              <w:rPr>
                <w:sz w:val="22"/>
                <w:szCs w:val="22"/>
                <w:u w:val="single"/>
              </w:rPr>
              <w:t>Navrhované znění:</w:t>
            </w:r>
          </w:p>
          <w:p w14:paraId="0C049A12" w14:textId="77777777" w:rsidR="00BA3B0C" w:rsidRDefault="00E40F1A" w:rsidP="00E40F1A">
            <w:pPr>
              <w:contextualSpacing/>
              <w:jc w:val="both"/>
              <w:rPr>
                <w:b/>
                <w:bCs/>
                <w:sz w:val="22"/>
                <w:szCs w:val="22"/>
              </w:rPr>
            </w:pPr>
            <w:r w:rsidRPr="00E40F1A">
              <w:rPr>
                <w:b/>
                <w:sz w:val="22"/>
                <w:szCs w:val="22"/>
              </w:rPr>
              <w:t xml:space="preserve">(4) </w:t>
            </w:r>
            <w:r w:rsidRPr="00E40F1A">
              <w:rPr>
                <w:b/>
                <w:bCs/>
                <w:sz w:val="22"/>
                <w:szCs w:val="22"/>
              </w:rPr>
              <w:t>Nejistota měření nesmí být používána jako dodatečná tolerance, pokud jde o hodnocení shody naměřené hodnoty s požadavky na mikrobiologickou bezpečnost pokrmů dle limitní hodnoty ukazatele stanovené v příloze č. 1 v tabulkách č. 1 až 4 k této vyhlášce.</w:t>
            </w:r>
          </w:p>
          <w:p w14:paraId="279766C7" w14:textId="77777777" w:rsidR="00E40F1A" w:rsidRDefault="00E40F1A" w:rsidP="00E40F1A">
            <w:pPr>
              <w:contextualSpacing/>
              <w:jc w:val="both"/>
              <w:rPr>
                <w:bCs/>
                <w:sz w:val="22"/>
                <w:szCs w:val="22"/>
              </w:rPr>
            </w:pPr>
            <w:r w:rsidRPr="00E40F1A">
              <w:rPr>
                <w:bCs/>
                <w:sz w:val="22"/>
                <w:szCs w:val="22"/>
              </w:rPr>
              <w:t>Odůvodnění: Účelem tohoto ustanovení, je, aby při interpretaci výsledků laboratorních rozborů nedocházelo k nežádoucímu rozšíření tolerance výsledků. Nejistota měření je rozptyl na obě strany měřené hodnoty a není logické upřednostňovat jen polovinu tohoto intervalu, ať už směrem dolů či nahoru. Nejistota měření by tedy neměla být pro mikrobiologická kritéria pokrmů brána v úvahu. Obdobné ustanovení je v současné době projednáváno na evropské úrovni při vyhodnocení laboratorních rozborů potravin (Guidance document on official microbiological sampling and testing) a také při tvorbě vyhlášky o požadavcích na jakost a zdravotní nezávadnost balených vod a o způsobu jejich úpravy. Nejistota měření je v oblasti mikrobiologických ukazatelů poměrně velká (až 30%) a její tolerance by mohla zapříčinit uvádění do oběhu pokrmů, které by byly zdravotně závadné.</w:t>
            </w:r>
          </w:p>
          <w:p w14:paraId="764EA9A5" w14:textId="77777777" w:rsidR="00E40F1A" w:rsidRPr="00E40F1A" w:rsidRDefault="00E40F1A" w:rsidP="00FB0EE0">
            <w:pPr>
              <w:contextualSpacing/>
              <w:jc w:val="both"/>
              <w:rPr>
                <w:bCs/>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2CF187A" w14:textId="77777777" w:rsidR="00BA3B0C" w:rsidRPr="00D43011" w:rsidRDefault="004F3B97" w:rsidP="00257A48">
            <w:pPr>
              <w:ind w:right="175"/>
              <w:contextualSpacing/>
              <w:jc w:val="both"/>
              <w:rPr>
                <w:b/>
                <w:sz w:val="22"/>
                <w:szCs w:val="22"/>
              </w:rPr>
            </w:pPr>
            <w:r w:rsidRPr="00D43011">
              <w:rPr>
                <w:b/>
                <w:sz w:val="22"/>
                <w:szCs w:val="22"/>
              </w:rPr>
              <w:t>Akceptováno</w:t>
            </w:r>
            <w:r w:rsidR="009305FC" w:rsidRPr="00D43011">
              <w:rPr>
                <w:b/>
                <w:sz w:val="22"/>
                <w:szCs w:val="22"/>
              </w:rPr>
              <w:t>.</w:t>
            </w:r>
          </w:p>
          <w:p w14:paraId="1DEACBC7" w14:textId="77777777" w:rsidR="009305FC" w:rsidRPr="004F3B97" w:rsidRDefault="009305FC" w:rsidP="009305FC">
            <w:pPr>
              <w:ind w:right="175"/>
              <w:contextualSpacing/>
              <w:jc w:val="both"/>
              <w:rPr>
                <w:b/>
                <w:color w:val="000000"/>
                <w:sz w:val="22"/>
                <w:szCs w:val="22"/>
              </w:rPr>
            </w:pPr>
            <w:r w:rsidRPr="00D43011">
              <w:rPr>
                <w:sz w:val="22"/>
                <w:szCs w:val="22"/>
              </w:rPr>
              <w:t>V II. návrhu vyhlášky nově přesunuto pod § 5.</w:t>
            </w:r>
          </w:p>
        </w:tc>
      </w:tr>
      <w:tr w:rsidR="00BA3B0C" w:rsidRPr="006E08DC" w14:paraId="0FFF3459" w14:textId="77777777" w:rsidTr="00CB0317">
        <w:trPr>
          <w:trHeight w:val="1104"/>
        </w:trPr>
        <w:tc>
          <w:tcPr>
            <w:tcW w:w="2309" w:type="dxa"/>
            <w:tcBorders>
              <w:top w:val="single" w:sz="4" w:space="0" w:color="auto"/>
              <w:left w:val="single" w:sz="4" w:space="0" w:color="auto"/>
              <w:bottom w:val="single" w:sz="4" w:space="0" w:color="auto"/>
              <w:right w:val="single" w:sz="4" w:space="0" w:color="auto"/>
            </w:tcBorders>
          </w:tcPr>
          <w:p w14:paraId="1311B110" w14:textId="77777777" w:rsidR="00BA3B0C" w:rsidRDefault="00BA3B0C"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28C25F79" w14:textId="77777777" w:rsidR="00E40F1A" w:rsidRPr="00E40F1A" w:rsidRDefault="00E40F1A" w:rsidP="00E40F1A">
            <w:pPr>
              <w:pStyle w:val="Textkomente"/>
              <w:jc w:val="both"/>
              <w:rPr>
                <w:b/>
                <w:color w:val="000000"/>
                <w:sz w:val="22"/>
                <w:szCs w:val="22"/>
              </w:rPr>
            </w:pPr>
            <w:r w:rsidRPr="00E40F1A">
              <w:rPr>
                <w:b/>
                <w:color w:val="000000"/>
                <w:sz w:val="22"/>
                <w:szCs w:val="22"/>
              </w:rPr>
              <w:t>3) K § 5 odst. 1):</w:t>
            </w:r>
          </w:p>
          <w:p w14:paraId="43D56253" w14:textId="77777777" w:rsidR="00E40F1A" w:rsidRPr="00E40F1A" w:rsidRDefault="00E40F1A" w:rsidP="00E40F1A">
            <w:pPr>
              <w:pStyle w:val="Textkomente"/>
              <w:jc w:val="both"/>
              <w:rPr>
                <w:sz w:val="22"/>
                <w:szCs w:val="22"/>
                <w:u w:val="single"/>
              </w:rPr>
            </w:pPr>
            <w:r w:rsidRPr="00E40F1A">
              <w:rPr>
                <w:sz w:val="22"/>
                <w:szCs w:val="22"/>
                <w:u w:val="single"/>
              </w:rPr>
              <w:t>Navrhované znění:</w:t>
            </w:r>
          </w:p>
          <w:p w14:paraId="6C29DAEC" w14:textId="77777777" w:rsidR="00E40F1A" w:rsidRPr="00E40F1A" w:rsidRDefault="00E40F1A" w:rsidP="00E40F1A">
            <w:pPr>
              <w:ind w:firstLine="426"/>
              <w:contextualSpacing/>
              <w:jc w:val="both"/>
              <w:rPr>
                <w:b/>
                <w:sz w:val="22"/>
                <w:szCs w:val="22"/>
              </w:rPr>
            </w:pPr>
            <w:r w:rsidRPr="00E40F1A">
              <w:rPr>
                <w:sz w:val="22"/>
                <w:szCs w:val="22"/>
              </w:rPr>
              <w:t>(1) Olej nebo tuk, který vykazuje jeden nebo více ukazatelů tepelného rozkladu olejů a tuků podle přílohy</w:t>
            </w:r>
            <w:r w:rsidRPr="00E40F1A">
              <w:rPr>
                <w:b/>
                <w:sz w:val="22"/>
                <w:szCs w:val="22"/>
              </w:rPr>
              <w:t xml:space="preserve"> </w:t>
            </w:r>
            <w:r w:rsidRPr="00E40F1A">
              <w:rPr>
                <w:sz w:val="22"/>
                <w:szCs w:val="22"/>
              </w:rPr>
              <w:t>č.</w:t>
            </w:r>
            <w:r w:rsidRPr="00E40F1A">
              <w:rPr>
                <w:b/>
                <w:sz w:val="22"/>
                <w:szCs w:val="22"/>
              </w:rPr>
              <w:t xml:space="preserve"> </w:t>
            </w:r>
            <w:r w:rsidRPr="00E40F1A">
              <w:rPr>
                <w:sz w:val="22"/>
                <w:szCs w:val="22"/>
              </w:rPr>
              <w:t xml:space="preserve">2 k této vyhlášce, nelze použít při výrobě a uvádění pokrmů na trh </w:t>
            </w:r>
            <w:r w:rsidRPr="00E40F1A">
              <w:rPr>
                <w:b/>
                <w:strike/>
                <w:sz w:val="22"/>
                <w:szCs w:val="22"/>
              </w:rPr>
              <w:t>na trh pokrmů</w:t>
            </w:r>
            <w:r w:rsidRPr="00E40F1A">
              <w:rPr>
                <w:b/>
                <w:sz w:val="22"/>
                <w:szCs w:val="22"/>
              </w:rPr>
              <w:t>.</w:t>
            </w:r>
          </w:p>
          <w:p w14:paraId="1CC08899" w14:textId="77777777" w:rsidR="00E40F1A" w:rsidRPr="00E40F1A" w:rsidRDefault="00E40F1A" w:rsidP="00E40F1A">
            <w:pPr>
              <w:pStyle w:val="Textkomente"/>
              <w:jc w:val="both"/>
              <w:rPr>
                <w:b/>
                <w:sz w:val="22"/>
                <w:szCs w:val="22"/>
              </w:rPr>
            </w:pPr>
          </w:p>
          <w:p w14:paraId="2145089C" w14:textId="77777777" w:rsidR="00E40F1A" w:rsidRPr="00E40F1A" w:rsidRDefault="00E40F1A" w:rsidP="00E40F1A">
            <w:pPr>
              <w:pStyle w:val="Textkomente"/>
              <w:jc w:val="both"/>
              <w:rPr>
                <w:sz w:val="22"/>
                <w:szCs w:val="22"/>
                <w:u w:val="single"/>
              </w:rPr>
            </w:pPr>
            <w:r w:rsidRPr="00E40F1A">
              <w:rPr>
                <w:sz w:val="22"/>
                <w:szCs w:val="22"/>
                <w:u w:val="single"/>
              </w:rPr>
              <w:t>Odůvodnění:</w:t>
            </w:r>
          </w:p>
          <w:p w14:paraId="706816E5" w14:textId="77777777" w:rsidR="00E40F1A" w:rsidRPr="00E40F1A" w:rsidRDefault="00E40F1A" w:rsidP="00E40F1A">
            <w:pPr>
              <w:pStyle w:val="Textkomente"/>
              <w:jc w:val="both"/>
              <w:rPr>
                <w:b/>
                <w:sz w:val="22"/>
                <w:szCs w:val="22"/>
              </w:rPr>
            </w:pPr>
            <w:r w:rsidRPr="00E40F1A">
              <w:rPr>
                <w:sz w:val="22"/>
                <w:szCs w:val="22"/>
              </w:rPr>
              <w:t>Navrhujeme změnu slovosledu.</w:t>
            </w:r>
          </w:p>
          <w:p w14:paraId="6443414E" w14:textId="77777777" w:rsidR="00BA3B0C" w:rsidRPr="00BA3B0C" w:rsidRDefault="00BA3B0C" w:rsidP="00BA3B0C">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32D3FC1" w14:textId="77777777" w:rsidR="00292991" w:rsidRDefault="00292991" w:rsidP="00292991">
            <w:pPr>
              <w:ind w:right="175"/>
              <w:contextualSpacing/>
              <w:jc w:val="both"/>
              <w:rPr>
                <w:b/>
                <w:color w:val="000000"/>
                <w:sz w:val="22"/>
                <w:szCs w:val="22"/>
              </w:rPr>
            </w:pPr>
            <w:r>
              <w:rPr>
                <w:b/>
                <w:color w:val="000000"/>
                <w:sz w:val="22"/>
                <w:szCs w:val="22"/>
              </w:rPr>
              <w:t>Akceptováno.</w:t>
            </w:r>
          </w:p>
          <w:p w14:paraId="60CB3DC4" w14:textId="25DF7476" w:rsidR="00B2221A" w:rsidRDefault="00B2221A" w:rsidP="00752AD8">
            <w:pPr>
              <w:ind w:right="175"/>
              <w:contextualSpacing/>
              <w:jc w:val="both"/>
              <w:rPr>
                <w:color w:val="000000"/>
                <w:sz w:val="22"/>
                <w:szCs w:val="22"/>
              </w:rPr>
            </w:pPr>
            <w:r w:rsidRPr="00D43011">
              <w:rPr>
                <w:sz w:val="22"/>
                <w:szCs w:val="22"/>
              </w:rPr>
              <w:t>V II. návrhu</w:t>
            </w:r>
            <w:r>
              <w:rPr>
                <w:sz w:val="22"/>
                <w:szCs w:val="22"/>
              </w:rPr>
              <w:t xml:space="preserve"> vyhlášky nově přesunuto pod § 4</w:t>
            </w:r>
            <w:r w:rsidRPr="00D43011">
              <w:rPr>
                <w:sz w:val="22"/>
                <w:szCs w:val="22"/>
              </w:rPr>
              <w:t>.</w:t>
            </w:r>
          </w:p>
          <w:p w14:paraId="79F39099" w14:textId="77777777" w:rsidR="00BA3B0C" w:rsidRPr="006E08DC" w:rsidRDefault="00292991" w:rsidP="00752AD8">
            <w:pPr>
              <w:ind w:right="175"/>
              <w:contextualSpacing/>
              <w:jc w:val="both"/>
              <w:rPr>
                <w:color w:val="000000"/>
                <w:sz w:val="22"/>
                <w:szCs w:val="22"/>
              </w:rPr>
            </w:pPr>
            <w:r>
              <w:rPr>
                <w:color w:val="000000"/>
                <w:sz w:val="22"/>
                <w:szCs w:val="22"/>
              </w:rPr>
              <w:t>Text byl upraven</w:t>
            </w:r>
            <w:r w:rsidR="005D1BB2">
              <w:rPr>
                <w:color w:val="000000"/>
                <w:sz w:val="22"/>
                <w:szCs w:val="22"/>
              </w:rPr>
              <w:t xml:space="preserve"> </w:t>
            </w:r>
            <w:r w:rsidR="00752AD8">
              <w:rPr>
                <w:color w:val="000000"/>
                <w:sz w:val="22"/>
                <w:szCs w:val="22"/>
              </w:rPr>
              <w:t>podle</w:t>
            </w:r>
            <w:r w:rsidR="005D1BB2">
              <w:rPr>
                <w:color w:val="000000"/>
                <w:sz w:val="22"/>
                <w:szCs w:val="22"/>
              </w:rPr>
              <w:t xml:space="preserve"> připomínky Ministerstva</w:t>
            </w:r>
            <w:r w:rsidR="005D1BB2" w:rsidRPr="005D1BB2">
              <w:rPr>
                <w:color w:val="000000"/>
                <w:sz w:val="22"/>
                <w:szCs w:val="22"/>
              </w:rPr>
              <w:t xml:space="preserve"> průmyslu a obchodu</w:t>
            </w:r>
            <w:r>
              <w:rPr>
                <w:color w:val="000000"/>
                <w:sz w:val="22"/>
                <w:szCs w:val="22"/>
              </w:rPr>
              <w:t>.</w:t>
            </w:r>
          </w:p>
        </w:tc>
      </w:tr>
      <w:tr w:rsidR="00BA3B0C" w:rsidRPr="006E08DC" w14:paraId="09D48B31" w14:textId="77777777" w:rsidTr="00CB0317">
        <w:trPr>
          <w:trHeight w:val="1104"/>
        </w:trPr>
        <w:tc>
          <w:tcPr>
            <w:tcW w:w="2309" w:type="dxa"/>
            <w:tcBorders>
              <w:top w:val="single" w:sz="4" w:space="0" w:color="auto"/>
              <w:left w:val="single" w:sz="4" w:space="0" w:color="auto"/>
              <w:bottom w:val="single" w:sz="4" w:space="0" w:color="auto"/>
              <w:right w:val="single" w:sz="4" w:space="0" w:color="auto"/>
            </w:tcBorders>
          </w:tcPr>
          <w:p w14:paraId="4C8800FD" w14:textId="77777777" w:rsidR="00BA3B0C" w:rsidRDefault="00BA3B0C"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189ACEC4" w14:textId="77777777" w:rsidR="00E40F1A" w:rsidRPr="00E40F1A" w:rsidRDefault="00E40F1A" w:rsidP="00E40F1A">
            <w:pPr>
              <w:pStyle w:val="Textkomente"/>
              <w:jc w:val="both"/>
              <w:rPr>
                <w:b/>
                <w:sz w:val="22"/>
                <w:szCs w:val="22"/>
              </w:rPr>
            </w:pPr>
            <w:r>
              <w:rPr>
                <w:b/>
                <w:sz w:val="22"/>
                <w:szCs w:val="22"/>
              </w:rPr>
              <w:t>4</w:t>
            </w:r>
            <w:r w:rsidRPr="00E40F1A">
              <w:rPr>
                <w:b/>
                <w:sz w:val="22"/>
                <w:szCs w:val="22"/>
              </w:rPr>
              <w:t>) K Příloze 1 tabulce 1 – Bakteriální onemocnění:</w:t>
            </w:r>
          </w:p>
          <w:p w14:paraId="05FAFB6A" w14:textId="77777777" w:rsidR="00E40F1A" w:rsidRPr="00E40F1A" w:rsidRDefault="00E40F1A" w:rsidP="00E40F1A">
            <w:pPr>
              <w:jc w:val="both"/>
              <w:rPr>
                <w:sz w:val="22"/>
                <w:szCs w:val="22"/>
                <w:u w:val="single"/>
              </w:rPr>
            </w:pPr>
            <w:r w:rsidRPr="00E40F1A">
              <w:rPr>
                <w:sz w:val="22"/>
                <w:szCs w:val="22"/>
                <w:u w:val="single"/>
              </w:rPr>
              <w:t>Navrhované znění:</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504"/>
              <w:gridCol w:w="1325"/>
              <w:gridCol w:w="1504"/>
            </w:tblGrid>
            <w:tr w:rsidR="00E40F1A" w:rsidRPr="00E40F1A" w14:paraId="31AC3C71" w14:textId="77777777" w:rsidTr="00C74E32">
              <w:trPr>
                <w:trHeight w:val="900"/>
              </w:trPr>
              <w:tc>
                <w:tcPr>
                  <w:tcW w:w="1229" w:type="pct"/>
                  <w:shd w:val="clear" w:color="auto" w:fill="auto"/>
                  <w:hideMark/>
                </w:tcPr>
                <w:p w14:paraId="088BCC8E" w14:textId="77777777" w:rsidR="00E40F1A" w:rsidRPr="00E40F1A" w:rsidRDefault="00E40F1A" w:rsidP="00E40F1A">
                  <w:pPr>
                    <w:rPr>
                      <w:sz w:val="20"/>
                      <w:szCs w:val="20"/>
                    </w:rPr>
                  </w:pPr>
                  <w:r w:rsidRPr="00E40F1A">
                    <w:rPr>
                      <w:sz w:val="20"/>
                      <w:szCs w:val="20"/>
                    </w:rPr>
                    <w:lastRenderedPageBreak/>
                    <w:t>S</w:t>
                  </w:r>
                  <w:r w:rsidRPr="00E40F1A">
                    <w:rPr>
                      <w:color w:val="000000"/>
                      <w:sz w:val="20"/>
                      <w:szCs w:val="20"/>
                    </w:rPr>
                    <w:t>higa toxin</w:t>
                  </w:r>
                  <w:r w:rsidRPr="00E40F1A">
                    <w:rPr>
                      <w:sz w:val="20"/>
                      <w:szCs w:val="20"/>
                    </w:rPr>
                    <w:t xml:space="preserve"> produkující </w:t>
                  </w:r>
                  <w:r w:rsidRPr="00E40F1A">
                    <w:rPr>
                      <w:i/>
                      <w:iCs/>
                      <w:sz w:val="20"/>
                      <w:szCs w:val="20"/>
                    </w:rPr>
                    <w:t xml:space="preserve">E. coli </w:t>
                  </w:r>
                  <w:r w:rsidRPr="00E40F1A">
                    <w:rPr>
                      <w:sz w:val="20"/>
                      <w:szCs w:val="20"/>
                    </w:rPr>
                    <w:t xml:space="preserve">(STEC) </w:t>
                  </w:r>
                  <w:r w:rsidRPr="00E40F1A">
                    <w:rPr>
                      <w:b/>
                      <w:sz w:val="20"/>
                      <w:szCs w:val="20"/>
                    </w:rPr>
                    <w:t>a enteropato</w:t>
                  </w:r>
                  <w:r>
                    <w:rPr>
                      <w:b/>
                      <w:sz w:val="20"/>
                      <w:szCs w:val="20"/>
                    </w:rPr>
                    <w:t>-</w:t>
                  </w:r>
                  <w:r w:rsidRPr="00E40F1A">
                    <w:rPr>
                      <w:b/>
                      <w:sz w:val="20"/>
                      <w:szCs w:val="20"/>
                    </w:rPr>
                    <w:t xml:space="preserve">genní </w:t>
                  </w:r>
                  <w:r w:rsidRPr="00E40F1A">
                    <w:rPr>
                      <w:b/>
                      <w:i/>
                      <w:sz w:val="20"/>
                      <w:szCs w:val="20"/>
                    </w:rPr>
                    <w:t xml:space="preserve">E. coli </w:t>
                  </w:r>
                  <w:r w:rsidRPr="00E40F1A">
                    <w:rPr>
                      <w:b/>
                      <w:sz w:val="20"/>
                      <w:szCs w:val="20"/>
                    </w:rPr>
                    <w:t>(EPEC)</w:t>
                  </w:r>
                </w:p>
              </w:tc>
              <w:tc>
                <w:tcPr>
                  <w:tcW w:w="1309" w:type="pct"/>
                  <w:shd w:val="clear" w:color="auto" w:fill="auto"/>
                  <w:noWrap/>
                  <w:hideMark/>
                </w:tcPr>
                <w:p w14:paraId="76331C27" w14:textId="77777777" w:rsidR="00E40F1A" w:rsidRPr="00E40F1A" w:rsidRDefault="00E40F1A" w:rsidP="00E40F1A">
                  <w:pPr>
                    <w:rPr>
                      <w:sz w:val="20"/>
                      <w:szCs w:val="20"/>
                    </w:rPr>
                  </w:pPr>
                  <w:r w:rsidRPr="00E40F1A">
                    <w:rPr>
                      <w:sz w:val="20"/>
                      <w:szCs w:val="20"/>
                    </w:rPr>
                    <w:t>pokrmy</w:t>
                  </w:r>
                </w:p>
              </w:tc>
              <w:tc>
                <w:tcPr>
                  <w:tcW w:w="1153" w:type="pct"/>
                  <w:shd w:val="clear" w:color="auto" w:fill="auto"/>
                  <w:noWrap/>
                  <w:hideMark/>
                </w:tcPr>
                <w:p w14:paraId="21CC09B1" w14:textId="77777777" w:rsidR="00E40F1A" w:rsidRPr="00E40F1A" w:rsidRDefault="00E40F1A" w:rsidP="00E40F1A">
                  <w:pPr>
                    <w:jc w:val="center"/>
                    <w:rPr>
                      <w:sz w:val="20"/>
                      <w:szCs w:val="20"/>
                    </w:rPr>
                  </w:pPr>
                  <w:r w:rsidRPr="00E40F1A">
                    <w:rPr>
                      <w:sz w:val="20"/>
                      <w:szCs w:val="20"/>
                    </w:rPr>
                    <w:t>0/25 g</w:t>
                  </w:r>
                </w:p>
              </w:tc>
              <w:tc>
                <w:tcPr>
                  <w:tcW w:w="1309" w:type="pct"/>
                </w:tcPr>
                <w:p w14:paraId="2B9C9927" w14:textId="77777777" w:rsidR="00E40F1A" w:rsidRPr="00E40F1A" w:rsidRDefault="00E40F1A" w:rsidP="00E40F1A">
                  <w:pPr>
                    <w:rPr>
                      <w:sz w:val="20"/>
                      <w:szCs w:val="20"/>
                    </w:rPr>
                  </w:pPr>
                  <w:r w:rsidRPr="00E40F1A">
                    <w:rPr>
                      <w:sz w:val="20"/>
                      <w:szCs w:val="20"/>
                    </w:rPr>
                    <w:t>ČSN P CEN ISO/TS 13136</w:t>
                  </w:r>
                </w:p>
              </w:tc>
            </w:tr>
          </w:tbl>
          <w:p w14:paraId="37979BA2" w14:textId="28D3605C" w:rsidR="00E40F1A" w:rsidRDefault="00E40F1A" w:rsidP="00E40F1A">
            <w:pPr>
              <w:jc w:val="both"/>
              <w:rPr>
                <w:sz w:val="22"/>
                <w:szCs w:val="22"/>
              </w:rPr>
            </w:pPr>
          </w:p>
          <w:p w14:paraId="50247254" w14:textId="77777777" w:rsidR="00C04186" w:rsidRPr="00E40F1A" w:rsidRDefault="00C04186" w:rsidP="00E40F1A">
            <w:pPr>
              <w:jc w:val="both"/>
              <w:rPr>
                <w:sz w:val="22"/>
                <w:szCs w:val="22"/>
              </w:rPr>
            </w:pPr>
          </w:p>
          <w:p w14:paraId="4E3A74DC" w14:textId="77777777" w:rsidR="00E40F1A" w:rsidRPr="00E40F1A" w:rsidRDefault="00E40F1A" w:rsidP="00E40F1A">
            <w:pPr>
              <w:pStyle w:val="Textkomente"/>
              <w:jc w:val="both"/>
              <w:rPr>
                <w:sz w:val="22"/>
                <w:szCs w:val="22"/>
                <w:u w:val="single"/>
              </w:rPr>
            </w:pPr>
            <w:r w:rsidRPr="00E40F1A">
              <w:rPr>
                <w:sz w:val="22"/>
                <w:szCs w:val="22"/>
                <w:u w:val="single"/>
              </w:rPr>
              <w:t>Odůvodnění:</w:t>
            </w:r>
          </w:p>
          <w:p w14:paraId="33A2020D" w14:textId="77777777" w:rsidR="00E40F1A" w:rsidRPr="00E40F1A" w:rsidRDefault="00E40F1A" w:rsidP="00E40F1A">
            <w:pPr>
              <w:pStyle w:val="Textkomente"/>
              <w:jc w:val="both"/>
              <w:rPr>
                <w:sz w:val="22"/>
                <w:szCs w:val="22"/>
              </w:rPr>
            </w:pPr>
            <w:r w:rsidRPr="00E40F1A">
              <w:rPr>
                <w:sz w:val="22"/>
                <w:szCs w:val="22"/>
              </w:rPr>
              <w:t>Navrhujeme do tabulky č. 1 ke Shiga toxinu produkující E.coli přidat i další patogenní E. coli, konkrétně enteropatogenní E. coli (EPEC), které lze detekovat pomocí metody ISO/TS 13136.</w:t>
            </w:r>
          </w:p>
          <w:p w14:paraId="6935764D" w14:textId="77777777" w:rsidR="00E40F1A" w:rsidRDefault="00E40F1A" w:rsidP="00E40F1A">
            <w:pPr>
              <w:jc w:val="both"/>
              <w:rPr>
                <w:sz w:val="22"/>
                <w:szCs w:val="22"/>
              </w:rPr>
            </w:pPr>
            <w:r w:rsidRPr="00E40F1A">
              <w:rPr>
                <w:sz w:val="22"/>
                <w:szCs w:val="22"/>
              </w:rPr>
              <w:t xml:space="preserve">SZPI při své dozorové činnosti zjišťuje u hovězích tatarských bifteků ze společného stravování každoročně pokrmy pozitivní na </w:t>
            </w:r>
            <w:r w:rsidRPr="00E40F1A">
              <w:rPr>
                <w:i/>
                <w:sz w:val="22"/>
                <w:szCs w:val="22"/>
              </w:rPr>
              <w:t>E.coli</w:t>
            </w:r>
            <w:r w:rsidRPr="00E40F1A">
              <w:rPr>
                <w:sz w:val="22"/>
                <w:szCs w:val="22"/>
              </w:rPr>
              <w:t xml:space="preserve"> s genetickým profilem stx1 negativní, stx2 negativní a eae pozitivní. Tyto kmeny E. coli patří mezi enteropatogenní (EPEC), které podle hodnocení rizika SZÚ Praha vyvolávají průjmová onemocnění lidí, především malých dětí, proto je potravina považována za zdraví škodlivou.</w:t>
            </w:r>
          </w:p>
          <w:p w14:paraId="4308500C" w14:textId="77777777" w:rsidR="00800F10" w:rsidRPr="00BA3B0C" w:rsidRDefault="00800F10" w:rsidP="00FB0EE0">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0F3C1AA" w14:textId="77777777" w:rsidR="00BA3B0C" w:rsidRPr="00D43011" w:rsidRDefault="004F3B97" w:rsidP="00257A48">
            <w:pPr>
              <w:ind w:right="175"/>
              <w:contextualSpacing/>
              <w:jc w:val="both"/>
              <w:rPr>
                <w:b/>
                <w:sz w:val="22"/>
                <w:szCs w:val="22"/>
              </w:rPr>
            </w:pPr>
            <w:r w:rsidRPr="00D43011">
              <w:rPr>
                <w:b/>
                <w:sz w:val="22"/>
                <w:szCs w:val="22"/>
              </w:rPr>
              <w:lastRenderedPageBreak/>
              <w:t>Akceptováno.</w:t>
            </w:r>
          </w:p>
          <w:p w14:paraId="1259606A" w14:textId="6C3C4501" w:rsidR="007B2790" w:rsidRPr="004F3B97" w:rsidRDefault="007B2790" w:rsidP="007B2790">
            <w:pPr>
              <w:ind w:right="175"/>
              <w:contextualSpacing/>
              <w:jc w:val="both"/>
              <w:rPr>
                <w:b/>
                <w:color w:val="000000"/>
                <w:sz w:val="22"/>
                <w:szCs w:val="22"/>
              </w:rPr>
            </w:pPr>
            <w:r>
              <w:rPr>
                <w:color w:val="000000"/>
                <w:sz w:val="22"/>
                <w:szCs w:val="22"/>
              </w:rPr>
              <w:t>V II. návrhu vyhlášky nově přesunuto pod Přílohu č.</w:t>
            </w:r>
            <w:r w:rsidR="008B0E61">
              <w:rPr>
                <w:color w:val="000000"/>
                <w:sz w:val="22"/>
                <w:szCs w:val="22"/>
              </w:rPr>
              <w:t xml:space="preserve"> </w:t>
            </w:r>
            <w:r>
              <w:rPr>
                <w:color w:val="000000"/>
                <w:sz w:val="22"/>
                <w:szCs w:val="22"/>
              </w:rPr>
              <w:t>2</w:t>
            </w:r>
            <w:r>
              <w:rPr>
                <w:sz w:val="22"/>
                <w:szCs w:val="22"/>
              </w:rPr>
              <w:t>.</w:t>
            </w:r>
          </w:p>
        </w:tc>
      </w:tr>
      <w:tr w:rsidR="00BA3B0C" w:rsidRPr="006E08DC" w14:paraId="0EE87049" w14:textId="77777777" w:rsidTr="00CB0317">
        <w:trPr>
          <w:trHeight w:val="1104"/>
        </w:trPr>
        <w:tc>
          <w:tcPr>
            <w:tcW w:w="2309" w:type="dxa"/>
            <w:tcBorders>
              <w:top w:val="single" w:sz="4" w:space="0" w:color="auto"/>
              <w:left w:val="single" w:sz="4" w:space="0" w:color="auto"/>
              <w:bottom w:val="single" w:sz="4" w:space="0" w:color="auto"/>
              <w:right w:val="single" w:sz="4" w:space="0" w:color="auto"/>
            </w:tcBorders>
          </w:tcPr>
          <w:p w14:paraId="39EC919F" w14:textId="77777777" w:rsidR="00BA3B0C" w:rsidRDefault="00BA3B0C"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439B4ACA" w14:textId="77777777" w:rsidR="00E40F1A" w:rsidRPr="00E40F1A" w:rsidRDefault="00E40F1A" w:rsidP="00E40F1A">
            <w:pPr>
              <w:jc w:val="both"/>
              <w:rPr>
                <w:b/>
                <w:sz w:val="22"/>
                <w:szCs w:val="22"/>
              </w:rPr>
            </w:pPr>
            <w:r w:rsidRPr="00E40F1A">
              <w:rPr>
                <w:b/>
                <w:sz w:val="22"/>
                <w:szCs w:val="22"/>
              </w:rPr>
              <w:t>5) K Příloze 1 tabulce 1 – Bakteriální onemocnění:</w:t>
            </w:r>
          </w:p>
          <w:p w14:paraId="379112E8" w14:textId="77777777" w:rsidR="00E40F1A" w:rsidRPr="00E40F1A" w:rsidRDefault="00E40F1A" w:rsidP="00E40F1A">
            <w:pPr>
              <w:jc w:val="both"/>
              <w:rPr>
                <w:sz w:val="22"/>
                <w:szCs w:val="22"/>
                <w:u w:val="single"/>
              </w:rPr>
            </w:pPr>
            <w:r w:rsidRPr="00E40F1A">
              <w:rPr>
                <w:sz w:val="22"/>
                <w:szCs w:val="22"/>
                <w:u w:val="single"/>
              </w:rPr>
              <w:t>Navrhované znění:</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504"/>
              <w:gridCol w:w="1325"/>
              <w:gridCol w:w="1504"/>
            </w:tblGrid>
            <w:tr w:rsidR="00E40F1A" w:rsidRPr="00E40F1A" w14:paraId="066FB1D4" w14:textId="77777777" w:rsidTr="00C74E32">
              <w:trPr>
                <w:trHeight w:val="600"/>
              </w:trPr>
              <w:tc>
                <w:tcPr>
                  <w:tcW w:w="1229" w:type="pct"/>
                  <w:shd w:val="clear" w:color="auto" w:fill="auto"/>
                  <w:hideMark/>
                </w:tcPr>
                <w:p w14:paraId="538F1ADB" w14:textId="77777777" w:rsidR="00E40F1A" w:rsidRPr="00E40F1A" w:rsidRDefault="00E40F1A" w:rsidP="00E40F1A">
                  <w:pPr>
                    <w:rPr>
                      <w:i/>
                      <w:sz w:val="20"/>
                      <w:szCs w:val="20"/>
                    </w:rPr>
                  </w:pPr>
                  <w:r w:rsidRPr="00E40F1A">
                    <w:rPr>
                      <w:i/>
                      <w:iCs/>
                      <w:sz w:val="20"/>
                      <w:szCs w:val="20"/>
                    </w:rPr>
                    <w:t>Yersinia enterocolitica</w:t>
                  </w:r>
                  <w:r w:rsidRPr="00E40F1A">
                    <w:rPr>
                      <w:sz w:val="20"/>
                      <w:szCs w:val="20"/>
                    </w:rPr>
                    <w:t xml:space="preserve"> a </w:t>
                  </w:r>
                  <w:r w:rsidRPr="00E40F1A">
                    <w:rPr>
                      <w:i/>
                      <w:sz w:val="20"/>
                      <w:szCs w:val="20"/>
                    </w:rPr>
                    <w:t>Yersinia pseudotuberculosis</w:t>
                  </w:r>
                </w:p>
                <w:p w14:paraId="340635D3" w14:textId="77777777" w:rsidR="00E40F1A" w:rsidRPr="00E40F1A" w:rsidRDefault="00E40F1A" w:rsidP="00E40F1A">
                  <w:pPr>
                    <w:rPr>
                      <w:sz w:val="20"/>
                      <w:szCs w:val="20"/>
                    </w:rPr>
                  </w:pPr>
                </w:p>
              </w:tc>
              <w:tc>
                <w:tcPr>
                  <w:tcW w:w="1309" w:type="pct"/>
                  <w:shd w:val="clear" w:color="auto" w:fill="auto"/>
                  <w:noWrap/>
                  <w:hideMark/>
                </w:tcPr>
                <w:p w14:paraId="6D4BB990" w14:textId="77777777" w:rsidR="00E40F1A" w:rsidRPr="00E40F1A" w:rsidRDefault="00E40F1A" w:rsidP="00E40F1A">
                  <w:pPr>
                    <w:rPr>
                      <w:sz w:val="20"/>
                      <w:szCs w:val="20"/>
                    </w:rPr>
                  </w:pPr>
                  <w:r w:rsidRPr="00E40F1A">
                    <w:rPr>
                      <w:sz w:val="20"/>
                      <w:szCs w:val="20"/>
                    </w:rPr>
                    <w:t>pokrmy</w:t>
                  </w:r>
                </w:p>
              </w:tc>
              <w:tc>
                <w:tcPr>
                  <w:tcW w:w="1153" w:type="pct"/>
                  <w:shd w:val="clear" w:color="auto" w:fill="auto"/>
                  <w:noWrap/>
                  <w:hideMark/>
                </w:tcPr>
                <w:p w14:paraId="0D1AC852" w14:textId="77777777" w:rsidR="00E40F1A" w:rsidRPr="00E40F1A" w:rsidRDefault="00E40F1A" w:rsidP="00E40F1A">
                  <w:pPr>
                    <w:jc w:val="center"/>
                    <w:rPr>
                      <w:sz w:val="20"/>
                      <w:szCs w:val="20"/>
                    </w:rPr>
                  </w:pPr>
                  <w:r w:rsidRPr="00E40F1A">
                    <w:rPr>
                      <w:sz w:val="20"/>
                      <w:szCs w:val="20"/>
                    </w:rPr>
                    <w:t>0/25 g</w:t>
                  </w:r>
                </w:p>
              </w:tc>
              <w:tc>
                <w:tcPr>
                  <w:tcW w:w="1309" w:type="pct"/>
                </w:tcPr>
                <w:p w14:paraId="5783A0C5" w14:textId="77777777" w:rsidR="00E40F1A" w:rsidRPr="00E40F1A" w:rsidRDefault="00E40F1A" w:rsidP="00E40F1A">
                  <w:pPr>
                    <w:rPr>
                      <w:sz w:val="20"/>
                      <w:szCs w:val="20"/>
                    </w:rPr>
                  </w:pPr>
                  <w:r w:rsidRPr="00E40F1A">
                    <w:rPr>
                      <w:sz w:val="20"/>
                      <w:szCs w:val="20"/>
                    </w:rPr>
                    <w:t>ČSN EN ISO 10273</w:t>
                  </w:r>
                </w:p>
                <w:p w14:paraId="6FBB7B22" w14:textId="77777777" w:rsidR="00E40F1A" w:rsidRPr="00E40F1A" w:rsidRDefault="00E40F1A" w:rsidP="00E40F1A">
                  <w:pPr>
                    <w:rPr>
                      <w:b/>
                      <w:sz w:val="20"/>
                      <w:szCs w:val="20"/>
                    </w:rPr>
                  </w:pPr>
                  <w:r w:rsidRPr="00E40F1A">
                    <w:rPr>
                      <w:b/>
                      <w:sz w:val="20"/>
                      <w:szCs w:val="20"/>
                    </w:rPr>
                    <w:t>ČSN P CEN ISO/TS 18867</w:t>
                  </w:r>
                </w:p>
              </w:tc>
            </w:tr>
          </w:tbl>
          <w:p w14:paraId="0605C9D7" w14:textId="77777777" w:rsidR="00E40F1A" w:rsidRPr="00E40F1A" w:rsidRDefault="00E40F1A" w:rsidP="00E40F1A">
            <w:pPr>
              <w:jc w:val="both"/>
              <w:rPr>
                <w:b/>
                <w:bCs/>
                <w:sz w:val="22"/>
                <w:szCs w:val="22"/>
              </w:rPr>
            </w:pPr>
          </w:p>
          <w:p w14:paraId="271CFCF2" w14:textId="77777777" w:rsidR="00E40F1A" w:rsidRPr="00E40F1A" w:rsidRDefault="00E40F1A" w:rsidP="00E40F1A">
            <w:pPr>
              <w:jc w:val="both"/>
              <w:rPr>
                <w:rStyle w:val="Odkaznakoment"/>
                <w:rFonts w:eastAsia="Calibri"/>
                <w:sz w:val="22"/>
                <w:szCs w:val="22"/>
              </w:rPr>
            </w:pPr>
            <w:r w:rsidRPr="00E40F1A">
              <w:rPr>
                <w:bCs/>
                <w:sz w:val="22"/>
                <w:szCs w:val="22"/>
                <w:u w:val="single"/>
              </w:rPr>
              <w:t>Odůvodnění:</w:t>
            </w:r>
          </w:p>
          <w:p w14:paraId="1E20A077" w14:textId="77777777" w:rsidR="00E40F1A" w:rsidRPr="00E40F1A" w:rsidRDefault="00E40F1A" w:rsidP="00E40F1A">
            <w:pPr>
              <w:jc w:val="both"/>
              <w:rPr>
                <w:sz w:val="22"/>
                <w:szCs w:val="22"/>
              </w:rPr>
            </w:pPr>
            <w:r w:rsidRPr="00E40F1A">
              <w:rPr>
                <w:rStyle w:val="Odkaznakoment"/>
                <w:rFonts w:eastAsia="Calibri"/>
                <w:sz w:val="22"/>
                <w:szCs w:val="22"/>
              </w:rPr>
              <w:t>V</w:t>
            </w:r>
            <w:r w:rsidRPr="00E40F1A">
              <w:rPr>
                <w:sz w:val="22"/>
                <w:szCs w:val="22"/>
              </w:rPr>
              <w:t xml:space="preserve"> rámci vnitřního připomínkového řízení upozornila SZPI na potřebu doplnit normu ČSN P CEN </w:t>
            </w:r>
            <w:r w:rsidRPr="004F744E">
              <w:rPr>
                <w:sz w:val="22"/>
                <w:szCs w:val="22"/>
              </w:rPr>
              <w:t>ISO/TS 18867, přičemž uvedená připomínka byla Mze akceptována. V současném textu však zřejmě opomenutím chybí, proto ji navrhujeme doplnit.</w:t>
            </w:r>
          </w:p>
          <w:p w14:paraId="64B8B2D2" w14:textId="77777777" w:rsidR="00E40F1A" w:rsidRPr="00E40F1A" w:rsidRDefault="00E40F1A" w:rsidP="00E40F1A">
            <w:pPr>
              <w:pStyle w:val="Textkomente"/>
              <w:jc w:val="both"/>
              <w:rPr>
                <w:sz w:val="22"/>
                <w:szCs w:val="22"/>
              </w:rPr>
            </w:pPr>
            <w:r w:rsidRPr="00E40F1A">
              <w:rPr>
                <w:sz w:val="22"/>
                <w:szCs w:val="22"/>
              </w:rPr>
              <w:t xml:space="preserve">K průkazu </w:t>
            </w:r>
            <w:r w:rsidRPr="00E40F1A">
              <w:rPr>
                <w:i/>
                <w:sz w:val="22"/>
                <w:szCs w:val="22"/>
              </w:rPr>
              <w:t>Yersinia pseudotuberculosis</w:t>
            </w:r>
            <w:r w:rsidRPr="00E40F1A">
              <w:rPr>
                <w:sz w:val="22"/>
                <w:szCs w:val="22"/>
              </w:rPr>
              <w:t xml:space="preserve"> byla zavedena metoda ČSN P CEN </w:t>
            </w:r>
            <w:r w:rsidRPr="004F744E">
              <w:rPr>
                <w:color w:val="333333"/>
                <w:sz w:val="22"/>
                <w:szCs w:val="22"/>
              </w:rPr>
              <w:t xml:space="preserve">ISO/TS 18867:2015 </w:t>
            </w:r>
            <w:r w:rsidRPr="00E40F1A">
              <w:rPr>
                <w:sz w:val="22"/>
                <w:szCs w:val="22"/>
              </w:rPr>
              <w:t xml:space="preserve">Mikrobiologie potravinového řetězce - Polymerázová řetězová reakce </w:t>
            </w:r>
            <w:r w:rsidRPr="00E40F1A">
              <w:rPr>
                <w:sz w:val="22"/>
                <w:szCs w:val="22"/>
              </w:rPr>
              <w:lastRenderedPageBreak/>
              <w:t>(PCR) k průkazu mikroorganismů působících onemocnění z potravin - Průkaz patogenních sérotypů.</w:t>
            </w:r>
          </w:p>
          <w:p w14:paraId="1CB107F8" w14:textId="77777777" w:rsidR="00BA3B0C" w:rsidRPr="00BA3B0C" w:rsidRDefault="00BA3B0C" w:rsidP="00FB0EE0">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E8B7B3A" w14:textId="77777777" w:rsidR="00292991" w:rsidRDefault="00292991" w:rsidP="00292991">
            <w:pPr>
              <w:ind w:right="175"/>
              <w:contextualSpacing/>
              <w:jc w:val="both"/>
              <w:rPr>
                <w:b/>
                <w:color w:val="000000"/>
                <w:sz w:val="22"/>
                <w:szCs w:val="22"/>
              </w:rPr>
            </w:pPr>
            <w:r>
              <w:rPr>
                <w:b/>
                <w:color w:val="000000"/>
                <w:sz w:val="22"/>
                <w:szCs w:val="22"/>
              </w:rPr>
              <w:lastRenderedPageBreak/>
              <w:t>Akceptováno.</w:t>
            </w:r>
          </w:p>
          <w:p w14:paraId="30A6D8C3" w14:textId="6AEB9EE9" w:rsidR="00AB0222" w:rsidRPr="00D43011" w:rsidRDefault="00AB0222" w:rsidP="00AB0222">
            <w:pPr>
              <w:contextualSpacing/>
              <w:jc w:val="both"/>
              <w:rPr>
                <w:sz w:val="22"/>
                <w:szCs w:val="22"/>
              </w:rPr>
            </w:pPr>
            <w:r w:rsidRPr="00D43011">
              <w:rPr>
                <w:sz w:val="22"/>
                <w:szCs w:val="22"/>
              </w:rPr>
              <w:t>V II. návrhu vyhlášky nově přesunuto pod Přílohu č.</w:t>
            </w:r>
            <w:r w:rsidR="008B0E61">
              <w:rPr>
                <w:sz w:val="22"/>
                <w:szCs w:val="22"/>
              </w:rPr>
              <w:t xml:space="preserve"> </w:t>
            </w:r>
            <w:r w:rsidRPr="00D43011">
              <w:rPr>
                <w:sz w:val="22"/>
                <w:szCs w:val="22"/>
              </w:rPr>
              <w:t>2.</w:t>
            </w:r>
          </w:p>
          <w:p w14:paraId="58033A82" w14:textId="77777777" w:rsidR="00BA3B0C" w:rsidRPr="006E08DC" w:rsidRDefault="00292991" w:rsidP="00292991">
            <w:pPr>
              <w:ind w:right="175"/>
              <w:contextualSpacing/>
              <w:jc w:val="both"/>
              <w:rPr>
                <w:color w:val="000000"/>
                <w:sz w:val="22"/>
                <w:szCs w:val="22"/>
              </w:rPr>
            </w:pPr>
            <w:r>
              <w:rPr>
                <w:color w:val="000000"/>
                <w:sz w:val="22"/>
                <w:szCs w:val="22"/>
              </w:rPr>
              <w:t>Text byl upraven.</w:t>
            </w:r>
          </w:p>
        </w:tc>
      </w:tr>
      <w:tr w:rsidR="00BA3B0C" w:rsidRPr="006E08DC" w14:paraId="5E2195B0" w14:textId="77777777" w:rsidTr="00CB0317">
        <w:trPr>
          <w:trHeight w:val="1104"/>
        </w:trPr>
        <w:tc>
          <w:tcPr>
            <w:tcW w:w="2309" w:type="dxa"/>
            <w:tcBorders>
              <w:top w:val="single" w:sz="4" w:space="0" w:color="auto"/>
              <w:left w:val="single" w:sz="4" w:space="0" w:color="auto"/>
              <w:bottom w:val="single" w:sz="4" w:space="0" w:color="auto"/>
              <w:right w:val="single" w:sz="4" w:space="0" w:color="auto"/>
            </w:tcBorders>
          </w:tcPr>
          <w:p w14:paraId="062858F2" w14:textId="77777777" w:rsidR="00BA3B0C" w:rsidRDefault="00BA3B0C"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54E8E6C6" w14:textId="77777777" w:rsidR="00142CBB" w:rsidRPr="00D43011" w:rsidRDefault="00142CBB" w:rsidP="00142CBB">
            <w:pPr>
              <w:rPr>
                <w:b/>
                <w:bCs/>
                <w:sz w:val="22"/>
                <w:szCs w:val="22"/>
              </w:rPr>
            </w:pPr>
            <w:r w:rsidRPr="00D43011">
              <w:rPr>
                <w:b/>
                <w:bCs/>
                <w:sz w:val="22"/>
                <w:szCs w:val="22"/>
              </w:rPr>
              <w:t>6) K Příloze č. 1 tabulce 2 – Indikátorové mikroorganismy</w:t>
            </w:r>
          </w:p>
          <w:p w14:paraId="05EA0FE0" w14:textId="35A3890F" w:rsidR="00142CBB" w:rsidRPr="00D43011" w:rsidRDefault="00380A98" w:rsidP="00142CBB">
            <w:pPr>
              <w:jc w:val="both"/>
              <w:rPr>
                <w:sz w:val="22"/>
                <w:szCs w:val="22"/>
                <w:u w:val="single"/>
              </w:rPr>
            </w:pPr>
            <w:r>
              <w:rPr>
                <w:sz w:val="22"/>
                <w:szCs w:val="22"/>
                <w:u w:val="single"/>
              </w:rPr>
              <w:t>Navrhované znění:</w:t>
            </w:r>
          </w:p>
          <w:p w14:paraId="435C5D15" w14:textId="77777777" w:rsidR="0074202C" w:rsidRDefault="0074202C" w:rsidP="00142CBB">
            <w:pPr>
              <w:pStyle w:val="Bezmezer"/>
              <w:jc w:val="both"/>
              <w:rPr>
                <w:rFonts w:ascii="Arial" w:hAnsi="Arial" w:cs="Arial"/>
                <w:b/>
              </w:rPr>
            </w:pPr>
          </w:p>
          <w:p w14:paraId="0AA67918" w14:textId="4EDF99B2" w:rsidR="00FB0EE0" w:rsidRDefault="00314BD3" w:rsidP="00142CBB">
            <w:pPr>
              <w:pStyle w:val="Bezmezer"/>
              <w:jc w:val="both"/>
              <w:rPr>
                <w:rFonts w:ascii="Arial" w:hAnsi="Arial" w:cs="Arial"/>
                <w:b/>
              </w:rPr>
            </w:pPr>
            <w:r>
              <w:rPr>
                <w:noProof/>
                <w:lang w:eastAsia="cs-CZ"/>
              </w:rPr>
              <w:drawing>
                <wp:inline distT="0" distB="0" distL="0" distR="0" wp14:anchorId="731816A1" wp14:editId="7E291DF0">
                  <wp:extent cx="3596005" cy="3589655"/>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96005" cy="3589655"/>
                          </a:xfrm>
                          <a:prstGeom prst="rect">
                            <a:avLst/>
                          </a:prstGeom>
                        </pic:spPr>
                      </pic:pic>
                    </a:graphicData>
                  </a:graphic>
                </wp:inline>
              </w:drawing>
            </w:r>
          </w:p>
          <w:p w14:paraId="2D67FCE3" w14:textId="77777777" w:rsidR="00FB0EE0" w:rsidRDefault="00FB0EE0" w:rsidP="00142CBB">
            <w:pPr>
              <w:pStyle w:val="Bezmezer"/>
              <w:jc w:val="both"/>
              <w:rPr>
                <w:rFonts w:ascii="Arial" w:hAnsi="Arial" w:cs="Arial"/>
                <w:b/>
              </w:rPr>
            </w:pPr>
          </w:p>
          <w:p w14:paraId="095D5CBF" w14:textId="77777777" w:rsidR="00FB0EE0" w:rsidRDefault="00FB0EE0" w:rsidP="00142CBB">
            <w:pPr>
              <w:pStyle w:val="Bezmezer"/>
              <w:jc w:val="both"/>
              <w:rPr>
                <w:rFonts w:ascii="Arial" w:hAnsi="Arial" w:cs="Arial"/>
                <w:b/>
              </w:rPr>
            </w:pPr>
          </w:p>
          <w:p w14:paraId="7DE4013B" w14:textId="77777777" w:rsidR="00142CBB" w:rsidRPr="00926478" w:rsidRDefault="00142CBB" w:rsidP="00142CBB">
            <w:pPr>
              <w:rPr>
                <w:bCs/>
                <w:sz w:val="22"/>
                <w:szCs w:val="22"/>
                <w:u w:val="single"/>
              </w:rPr>
            </w:pPr>
            <w:r w:rsidRPr="00926478">
              <w:rPr>
                <w:bCs/>
                <w:sz w:val="22"/>
                <w:szCs w:val="22"/>
                <w:u w:val="single"/>
              </w:rPr>
              <w:t>Odůvodnění:</w:t>
            </w:r>
          </w:p>
          <w:p w14:paraId="2F103BFB" w14:textId="77777777" w:rsidR="00142CBB" w:rsidRPr="00926478" w:rsidRDefault="00142CBB" w:rsidP="00175444">
            <w:pPr>
              <w:pStyle w:val="Textkomente"/>
              <w:jc w:val="both"/>
              <w:rPr>
                <w:sz w:val="22"/>
                <w:szCs w:val="22"/>
              </w:rPr>
            </w:pPr>
            <w:r w:rsidRPr="00926478">
              <w:rPr>
                <w:sz w:val="22"/>
                <w:szCs w:val="22"/>
              </w:rPr>
              <w:t xml:space="preserve">Navrhujeme pro ukazatel celkový počet mikroorganismů (CPM) nové členění pokrmů a úpravu limitů, které je dle našeho názoru výstižnější, protože zohledňují způsob výroby pokrmu. Podobně jsou pokrmy resp. potraviny určené k přímé spotřebě pro tento ukazatel členěny do kategorií např. v kanadském vodítku </w:t>
            </w:r>
            <w:r w:rsidRPr="00926478">
              <w:rPr>
                <w:bCs/>
                <w:sz w:val="22"/>
                <w:szCs w:val="22"/>
              </w:rPr>
              <w:t xml:space="preserve">Food Quality Check </w:t>
            </w:r>
            <w:r w:rsidRPr="00926478">
              <w:rPr>
                <w:bCs/>
                <w:sz w:val="22"/>
                <w:szCs w:val="22"/>
              </w:rPr>
              <w:lastRenderedPageBreak/>
              <w:t xml:space="preserve">Program </w:t>
            </w:r>
            <w:r w:rsidRPr="00926478">
              <w:rPr>
                <w:bCs/>
                <w:iCs/>
                <w:sz w:val="22"/>
                <w:szCs w:val="22"/>
              </w:rPr>
              <w:t xml:space="preserve">Microbiological Recommendations (dostupné on-line zde: </w:t>
            </w:r>
            <w:hyperlink r:id="rId9" w:history="1">
              <w:r w:rsidRPr="00926478">
                <w:rPr>
                  <w:rStyle w:val="Hypertextovodkaz"/>
                  <w:bCs/>
                  <w:iCs/>
                  <w:color w:val="auto"/>
                  <w:sz w:val="22"/>
                  <w:szCs w:val="22"/>
                </w:rPr>
                <w:t>http://lmlabs.phsa.ca/Documents/FoodQualityMicroRecommendations2012_16Dec2011.pdf</w:t>
              </w:r>
            </w:hyperlink>
            <w:r w:rsidRPr="00926478">
              <w:rPr>
                <w:bCs/>
                <w:iCs/>
                <w:sz w:val="22"/>
                <w:szCs w:val="22"/>
              </w:rPr>
              <w:t>).</w:t>
            </w:r>
          </w:p>
          <w:p w14:paraId="1CD9D64A" w14:textId="77777777" w:rsidR="00142CBB" w:rsidRPr="00926478" w:rsidRDefault="00142CBB" w:rsidP="00142CBB">
            <w:pPr>
              <w:rPr>
                <w:bCs/>
                <w:sz w:val="22"/>
                <w:szCs w:val="22"/>
              </w:rPr>
            </w:pPr>
          </w:p>
          <w:p w14:paraId="6BFEA102" w14:textId="77777777" w:rsidR="00142CBB" w:rsidRPr="00142CBB" w:rsidRDefault="00142CBB" w:rsidP="00175444">
            <w:pPr>
              <w:pStyle w:val="Textkomente"/>
              <w:jc w:val="both"/>
              <w:rPr>
                <w:sz w:val="22"/>
                <w:szCs w:val="22"/>
              </w:rPr>
            </w:pPr>
            <w:r w:rsidRPr="00926478">
              <w:rPr>
                <w:sz w:val="22"/>
                <w:szCs w:val="22"/>
              </w:rPr>
              <w:t>Navrhujeme s odkazem na britská vodítka Guidelines for Assessing the Microbiological Safety of Ready-to-Eat Foods Placed on the Market (</w:t>
            </w:r>
            <w:hyperlink r:id="rId10" w:history="1">
              <w:r w:rsidRPr="00926478">
                <w:rPr>
                  <w:rStyle w:val="Hypertextovodkaz"/>
                  <w:color w:val="auto"/>
                  <w:sz w:val="22"/>
                  <w:szCs w:val="22"/>
                </w:rPr>
                <w:t>https://assets.publishing.service.gov.uk/government/uploads/system/uploads/attachment_data/file/363146/Guidelines_for_assessing_the_microbiological_safety_of_ready-to-eat_foods_on_the_market.pdf</w:t>
              </w:r>
            </w:hyperlink>
            <w:r w:rsidRPr="00926478">
              <w:rPr>
                <w:sz w:val="22"/>
                <w:szCs w:val="22"/>
              </w:rPr>
              <w:t xml:space="preserve">) navýšit u této kategorie, která bude využívána SZPI především ke kontrole cukrářských a lahůdkářských výrobků, limit na </w:t>
            </w:r>
            <w:r w:rsidRPr="00142CBB">
              <w:rPr>
                <w:color w:val="000000"/>
                <w:sz w:val="22"/>
                <w:szCs w:val="22"/>
              </w:rPr>
              <w:t>10</w:t>
            </w:r>
            <w:r w:rsidRPr="00142CBB">
              <w:rPr>
                <w:color w:val="000000"/>
                <w:sz w:val="22"/>
                <w:szCs w:val="22"/>
                <w:vertAlign w:val="superscript"/>
              </w:rPr>
              <w:t xml:space="preserve">7 </w:t>
            </w:r>
            <w:r w:rsidRPr="00142CBB">
              <w:rPr>
                <w:sz w:val="22"/>
                <w:szCs w:val="22"/>
              </w:rPr>
              <w:t>KTJ/g.</w:t>
            </w:r>
          </w:p>
          <w:p w14:paraId="2273B88C" w14:textId="77777777" w:rsidR="00142CBB" w:rsidRPr="00142CBB" w:rsidRDefault="00142CBB" w:rsidP="00142CBB">
            <w:pPr>
              <w:rPr>
                <w:bCs/>
                <w:sz w:val="22"/>
                <w:szCs w:val="22"/>
              </w:rPr>
            </w:pPr>
          </w:p>
          <w:p w14:paraId="4C7B9F36" w14:textId="77777777" w:rsidR="00142CBB" w:rsidRPr="00142CBB" w:rsidRDefault="00142CBB" w:rsidP="00175444">
            <w:pPr>
              <w:pStyle w:val="Textkomente"/>
              <w:jc w:val="both"/>
              <w:rPr>
                <w:sz w:val="22"/>
                <w:szCs w:val="22"/>
              </w:rPr>
            </w:pPr>
            <w:r w:rsidRPr="00142CBB">
              <w:rPr>
                <w:sz w:val="22"/>
                <w:szCs w:val="22"/>
              </w:rPr>
              <w:t xml:space="preserve">SZPI navrhovala již v září 2021 navýšení limitu pro koliformní bakterie. Pokud se zvýší limit pro </w:t>
            </w:r>
            <w:r w:rsidRPr="00142CBB">
              <w:rPr>
                <w:i/>
                <w:sz w:val="22"/>
                <w:szCs w:val="22"/>
              </w:rPr>
              <w:t>E.coli</w:t>
            </w:r>
            <w:r w:rsidRPr="00142CBB">
              <w:rPr>
                <w:sz w:val="22"/>
                <w:szCs w:val="22"/>
              </w:rPr>
              <w:t xml:space="preserve"> – viz níže, měl by být adekvátně navýšen limit pro koliformní bakterie.</w:t>
            </w:r>
          </w:p>
          <w:p w14:paraId="3D97B7FA" w14:textId="77777777" w:rsidR="00142CBB" w:rsidRPr="00142CBB" w:rsidRDefault="00142CBB" w:rsidP="00142CBB">
            <w:pPr>
              <w:pStyle w:val="Textkomente"/>
              <w:jc w:val="both"/>
              <w:rPr>
                <w:sz w:val="22"/>
                <w:szCs w:val="22"/>
              </w:rPr>
            </w:pPr>
            <w:r w:rsidRPr="00142CBB">
              <w:rPr>
                <w:sz w:val="22"/>
                <w:szCs w:val="22"/>
              </w:rPr>
              <w:t xml:space="preserve">Navrhujeme proto limit </w:t>
            </w:r>
            <w:r w:rsidRPr="00142CBB">
              <w:rPr>
                <w:b/>
                <w:sz w:val="22"/>
                <w:szCs w:val="22"/>
              </w:rPr>
              <w:t>navýšit na &lt; 10</w:t>
            </w:r>
            <w:r w:rsidRPr="00142CBB">
              <w:rPr>
                <w:b/>
                <w:sz w:val="22"/>
                <w:szCs w:val="22"/>
                <w:vertAlign w:val="superscript"/>
              </w:rPr>
              <w:t xml:space="preserve">3 </w:t>
            </w:r>
            <w:r w:rsidRPr="00142CBB">
              <w:rPr>
                <w:b/>
                <w:sz w:val="22"/>
                <w:szCs w:val="22"/>
              </w:rPr>
              <w:t xml:space="preserve">KTJ/g </w:t>
            </w:r>
            <w:r w:rsidRPr="00142CBB">
              <w:rPr>
                <w:sz w:val="22"/>
                <w:szCs w:val="22"/>
              </w:rPr>
              <w:t>např. dle Potravinového kodexu Slovenské republiky.</w:t>
            </w:r>
          </w:p>
          <w:p w14:paraId="0079D81A" w14:textId="77777777" w:rsidR="00142CBB" w:rsidRPr="00142CBB" w:rsidRDefault="00142CBB" w:rsidP="00142CBB">
            <w:pPr>
              <w:pStyle w:val="Textkomente"/>
              <w:rPr>
                <w:sz w:val="22"/>
                <w:szCs w:val="22"/>
              </w:rPr>
            </w:pPr>
          </w:p>
          <w:p w14:paraId="5D640E99" w14:textId="77777777" w:rsidR="00142CBB" w:rsidRPr="00142CBB" w:rsidRDefault="00142CBB" w:rsidP="00142CBB">
            <w:pPr>
              <w:pStyle w:val="Textkomente"/>
              <w:jc w:val="both"/>
              <w:rPr>
                <w:sz w:val="22"/>
                <w:szCs w:val="22"/>
              </w:rPr>
            </w:pPr>
            <w:r w:rsidRPr="00142CBB">
              <w:rPr>
                <w:sz w:val="22"/>
                <w:szCs w:val="22"/>
              </w:rPr>
              <w:t xml:space="preserve">SZPI navrhovala již v září 2021 navýšení limitu pro E. coli, a to z důvodu, že nařízení 2073/2005 stanovuje pro potraviny určené k přímé spotřebě – předkrájené ovoce a zelenina (bod 2.5.1), nepasterizované šťávy (2.5.2) min. limit 100 KTJ/g (max. 1000 KTJ/g). </w:t>
            </w:r>
          </w:p>
          <w:p w14:paraId="6290E36A" w14:textId="77777777" w:rsidR="00142CBB" w:rsidRPr="00142CBB" w:rsidRDefault="00142CBB" w:rsidP="00142CBB">
            <w:pPr>
              <w:pStyle w:val="Textkomente"/>
              <w:rPr>
                <w:b/>
                <w:sz w:val="22"/>
                <w:szCs w:val="22"/>
              </w:rPr>
            </w:pPr>
            <w:r w:rsidRPr="00142CBB">
              <w:rPr>
                <w:sz w:val="22"/>
                <w:szCs w:val="22"/>
              </w:rPr>
              <w:t xml:space="preserve">Navrhujeme tedy </w:t>
            </w:r>
            <w:r w:rsidRPr="00142CBB">
              <w:rPr>
                <w:b/>
                <w:sz w:val="22"/>
                <w:szCs w:val="22"/>
              </w:rPr>
              <w:t xml:space="preserve">limit sjednotit s nařízením na &lt; </w:t>
            </w:r>
            <w:r w:rsidRPr="00142CBB">
              <w:rPr>
                <w:b/>
                <w:color w:val="000000"/>
                <w:sz w:val="22"/>
                <w:szCs w:val="22"/>
              </w:rPr>
              <w:t>10</w:t>
            </w:r>
            <w:r w:rsidRPr="00142CBB">
              <w:rPr>
                <w:b/>
                <w:color w:val="000000"/>
                <w:sz w:val="22"/>
                <w:szCs w:val="22"/>
                <w:vertAlign w:val="superscript"/>
              </w:rPr>
              <w:t xml:space="preserve">2 </w:t>
            </w:r>
            <w:r w:rsidRPr="00142CBB">
              <w:rPr>
                <w:b/>
                <w:sz w:val="22"/>
                <w:szCs w:val="22"/>
              </w:rPr>
              <w:t>KTJ/g.</w:t>
            </w:r>
          </w:p>
          <w:p w14:paraId="6B714B06" w14:textId="77777777" w:rsidR="00BA3B0C" w:rsidRPr="00142CBB" w:rsidRDefault="00BA3B0C" w:rsidP="00BA3B0C">
            <w:pPr>
              <w:ind w:left="34"/>
              <w:contextualSpacing/>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74580622" w14:textId="77777777" w:rsidR="00BA3B0C" w:rsidRPr="00D43011" w:rsidRDefault="002A439D" w:rsidP="00257A48">
            <w:pPr>
              <w:ind w:right="175"/>
              <w:contextualSpacing/>
              <w:jc w:val="both"/>
              <w:rPr>
                <w:sz w:val="22"/>
                <w:szCs w:val="22"/>
              </w:rPr>
            </w:pPr>
            <w:r w:rsidRPr="00D43011">
              <w:rPr>
                <w:b/>
                <w:sz w:val="22"/>
                <w:szCs w:val="22"/>
              </w:rPr>
              <w:lastRenderedPageBreak/>
              <w:t>Akceptováno</w:t>
            </w:r>
            <w:r w:rsidRPr="00D43011">
              <w:rPr>
                <w:sz w:val="22"/>
                <w:szCs w:val="22"/>
              </w:rPr>
              <w:t>.</w:t>
            </w:r>
          </w:p>
          <w:p w14:paraId="6FF04859" w14:textId="63FFE471" w:rsidR="002A439D" w:rsidRPr="00D43011" w:rsidRDefault="002A439D" w:rsidP="002A439D">
            <w:pPr>
              <w:contextualSpacing/>
              <w:jc w:val="both"/>
              <w:rPr>
                <w:sz w:val="22"/>
                <w:szCs w:val="22"/>
              </w:rPr>
            </w:pPr>
            <w:r w:rsidRPr="00D43011">
              <w:rPr>
                <w:sz w:val="22"/>
                <w:szCs w:val="22"/>
              </w:rPr>
              <w:t>V II. návrhu vyhlášky nově přesunuto pod Přílohu č.</w:t>
            </w:r>
            <w:r w:rsidR="008B0E61">
              <w:rPr>
                <w:sz w:val="22"/>
                <w:szCs w:val="22"/>
              </w:rPr>
              <w:t xml:space="preserve"> </w:t>
            </w:r>
            <w:r w:rsidRPr="00D43011">
              <w:rPr>
                <w:sz w:val="22"/>
                <w:szCs w:val="22"/>
              </w:rPr>
              <w:t>2.</w:t>
            </w:r>
          </w:p>
          <w:p w14:paraId="7014843A" w14:textId="77777777" w:rsidR="002A439D" w:rsidRPr="006E08DC" w:rsidRDefault="002A439D" w:rsidP="00257A48">
            <w:pPr>
              <w:ind w:right="175"/>
              <w:contextualSpacing/>
              <w:jc w:val="both"/>
              <w:rPr>
                <w:color w:val="000000"/>
                <w:sz w:val="22"/>
                <w:szCs w:val="22"/>
              </w:rPr>
            </w:pPr>
          </w:p>
        </w:tc>
      </w:tr>
      <w:tr w:rsidR="00142CBB" w:rsidRPr="006E08DC" w14:paraId="5DD94C89" w14:textId="77777777" w:rsidTr="00CB0317">
        <w:trPr>
          <w:trHeight w:val="1104"/>
        </w:trPr>
        <w:tc>
          <w:tcPr>
            <w:tcW w:w="2309" w:type="dxa"/>
            <w:tcBorders>
              <w:top w:val="single" w:sz="4" w:space="0" w:color="auto"/>
              <w:left w:val="single" w:sz="4" w:space="0" w:color="auto"/>
              <w:bottom w:val="single" w:sz="4" w:space="0" w:color="auto"/>
              <w:right w:val="single" w:sz="4" w:space="0" w:color="auto"/>
            </w:tcBorders>
          </w:tcPr>
          <w:p w14:paraId="49785B13" w14:textId="77777777" w:rsidR="00142CBB" w:rsidRDefault="00142CBB"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294AD573" w14:textId="77777777" w:rsidR="00142CBB" w:rsidRPr="00142CBB" w:rsidRDefault="00142CBB" w:rsidP="00142CBB">
            <w:pPr>
              <w:jc w:val="both"/>
              <w:rPr>
                <w:b/>
                <w:bCs/>
                <w:sz w:val="22"/>
                <w:szCs w:val="22"/>
              </w:rPr>
            </w:pPr>
            <w:r w:rsidRPr="00142CBB">
              <w:rPr>
                <w:b/>
                <w:bCs/>
                <w:sz w:val="22"/>
                <w:szCs w:val="22"/>
              </w:rPr>
              <w:t>7) K Důvodové zprávě – k § 3 a Příloze 1, str. 6, druhý odstavec</w:t>
            </w:r>
          </w:p>
          <w:p w14:paraId="36EB65AF" w14:textId="77777777" w:rsidR="00142CBB" w:rsidRPr="00142CBB" w:rsidRDefault="00142CBB" w:rsidP="00142CBB">
            <w:pPr>
              <w:jc w:val="both"/>
              <w:rPr>
                <w:sz w:val="22"/>
                <w:szCs w:val="22"/>
                <w:u w:val="single"/>
              </w:rPr>
            </w:pPr>
            <w:r w:rsidRPr="00142CBB">
              <w:rPr>
                <w:sz w:val="22"/>
                <w:szCs w:val="22"/>
                <w:u w:val="single"/>
              </w:rPr>
              <w:t>Navrhované znění:</w:t>
            </w:r>
          </w:p>
          <w:p w14:paraId="7FA8BA4B" w14:textId="77777777" w:rsidR="00142CBB" w:rsidRPr="00926478" w:rsidRDefault="00142CBB" w:rsidP="00142CBB">
            <w:pPr>
              <w:jc w:val="both"/>
              <w:rPr>
                <w:b/>
                <w:bCs/>
                <w:sz w:val="22"/>
                <w:szCs w:val="22"/>
              </w:rPr>
            </w:pPr>
            <w:r w:rsidRPr="00142CBB">
              <w:rPr>
                <w:sz w:val="22"/>
                <w:szCs w:val="22"/>
              </w:rPr>
              <w:t xml:space="preserve">Limity přítomnosti bakteriálních původců, toxinů a indikátorů hygieny vychází z historicky ověřených hodnot stanovených v České republice před vstupem do Evropské unie, a to především z vyhlášky č. 137/2004 Sb., z vyhlášky č. 289/2007 Sb. o veterinárních a hygienických požadavcích na živočišné produkty, které nejsou upraveny přímo použitelnými předpisy Evropských společenství, a z </w:t>
            </w:r>
            <w:r w:rsidRPr="00142CBB">
              <w:rPr>
                <w:sz w:val="22"/>
                <w:szCs w:val="22"/>
              </w:rPr>
              <w:lastRenderedPageBreak/>
              <w:t>technické normy ČSN 569609: „</w:t>
            </w:r>
            <w:r w:rsidRPr="00142CBB">
              <w:rPr>
                <w:i/>
                <w:sz w:val="22"/>
                <w:szCs w:val="22"/>
              </w:rPr>
              <w:t xml:space="preserve">Pravidla správné hygienické a výrobní praxe – Mikrobiologická kritéria pro potraviny. Principy stanovení a aplikace.“ </w:t>
            </w:r>
            <w:r w:rsidRPr="00142CBB">
              <w:rPr>
                <w:b/>
                <w:sz w:val="22"/>
                <w:szCs w:val="22"/>
              </w:rPr>
              <w:t>a</w:t>
            </w:r>
            <w:r w:rsidRPr="00142CBB">
              <w:rPr>
                <w:sz w:val="22"/>
                <w:szCs w:val="22"/>
              </w:rPr>
              <w:t xml:space="preserve"> v případě limitu pro</w:t>
            </w:r>
            <w:r w:rsidRPr="00142CBB">
              <w:rPr>
                <w:i/>
                <w:sz w:val="22"/>
                <w:szCs w:val="22"/>
              </w:rPr>
              <w:t xml:space="preserve"> Clostridium perfringens </w:t>
            </w:r>
            <w:r w:rsidRPr="00142CBB">
              <w:rPr>
                <w:sz w:val="22"/>
                <w:szCs w:val="22"/>
              </w:rPr>
              <w:t xml:space="preserve">také z Potravinového kodexu Slovenské republiky </w:t>
            </w:r>
            <w:r w:rsidRPr="00142CBB">
              <w:rPr>
                <w:b/>
                <w:sz w:val="22"/>
                <w:szCs w:val="22"/>
              </w:rPr>
              <w:t xml:space="preserve">a z dokumentu Health Protection Agency (Guidelines for Assessing the Microbiological Safety of Ready-to-Eat Foods Placed on the Market) </w:t>
            </w:r>
            <w:r w:rsidRPr="00926478">
              <w:rPr>
                <w:b/>
                <w:sz w:val="22"/>
                <w:szCs w:val="22"/>
              </w:rPr>
              <w:t xml:space="preserve">vypracovaného </w:t>
            </w:r>
            <w:hyperlink r:id="rId11" w:history="1">
              <w:r w:rsidRPr="00926478">
                <w:rPr>
                  <w:rStyle w:val="Hypertextovodkaz"/>
                  <w:color w:val="auto"/>
                  <w:sz w:val="22"/>
                  <w:szCs w:val="22"/>
                  <w:lang w:val="en"/>
                </w:rPr>
                <w:t>Public Health England</w:t>
              </w:r>
            </w:hyperlink>
            <w:r w:rsidRPr="00926478">
              <w:rPr>
                <w:b/>
                <w:sz w:val="22"/>
                <w:szCs w:val="22"/>
              </w:rPr>
              <w:t>.</w:t>
            </w:r>
          </w:p>
          <w:p w14:paraId="06FFD9A4" w14:textId="77777777" w:rsidR="00142CBB" w:rsidRPr="00142CBB" w:rsidRDefault="00142CBB" w:rsidP="00142CBB">
            <w:pPr>
              <w:rPr>
                <w:sz w:val="22"/>
                <w:szCs w:val="22"/>
                <w:highlight w:val="yellow"/>
                <w:u w:val="single"/>
              </w:rPr>
            </w:pPr>
          </w:p>
          <w:p w14:paraId="204D2EF0" w14:textId="77777777" w:rsidR="00142CBB" w:rsidRPr="00142CBB" w:rsidRDefault="00142CBB" w:rsidP="00142CBB">
            <w:pPr>
              <w:rPr>
                <w:sz w:val="22"/>
                <w:szCs w:val="22"/>
                <w:u w:val="single"/>
              </w:rPr>
            </w:pPr>
            <w:r w:rsidRPr="00142CBB">
              <w:rPr>
                <w:sz w:val="22"/>
                <w:szCs w:val="22"/>
                <w:u w:val="single"/>
              </w:rPr>
              <w:t>Odůvodnění:</w:t>
            </w:r>
          </w:p>
          <w:p w14:paraId="4C0E762B" w14:textId="77777777" w:rsidR="00142CBB" w:rsidRPr="00142CBB" w:rsidRDefault="00142CBB" w:rsidP="00142CBB">
            <w:pPr>
              <w:rPr>
                <w:sz w:val="22"/>
                <w:szCs w:val="22"/>
              </w:rPr>
            </w:pPr>
            <w:r w:rsidRPr="00142CBB">
              <w:rPr>
                <w:sz w:val="22"/>
                <w:szCs w:val="22"/>
              </w:rPr>
              <w:t>Doplnění odůvodnění v souvislosti se změnou limitu navrženou v tabulce 1.</w:t>
            </w:r>
          </w:p>
          <w:p w14:paraId="61D82650" w14:textId="77777777" w:rsidR="00142CBB" w:rsidRPr="00142CBB" w:rsidRDefault="00142CBB" w:rsidP="00142CBB">
            <w:pPr>
              <w:rPr>
                <w:b/>
                <w:bCs/>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C42AAF9" w14:textId="77777777" w:rsidR="00142CBB" w:rsidRPr="00D43011" w:rsidRDefault="00CB2A5C" w:rsidP="00257A48">
            <w:pPr>
              <w:ind w:right="175"/>
              <w:contextualSpacing/>
              <w:jc w:val="both"/>
              <w:rPr>
                <w:b/>
                <w:sz w:val="22"/>
                <w:szCs w:val="22"/>
              </w:rPr>
            </w:pPr>
            <w:r w:rsidRPr="00D43011">
              <w:rPr>
                <w:b/>
                <w:sz w:val="22"/>
                <w:szCs w:val="22"/>
              </w:rPr>
              <w:lastRenderedPageBreak/>
              <w:t>Akceptováno.</w:t>
            </w:r>
          </w:p>
          <w:p w14:paraId="64A5D91D" w14:textId="77777777" w:rsidR="0051498B" w:rsidRDefault="0051498B" w:rsidP="0051498B">
            <w:pPr>
              <w:contextualSpacing/>
              <w:jc w:val="both"/>
              <w:rPr>
                <w:sz w:val="22"/>
                <w:szCs w:val="22"/>
              </w:rPr>
            </w:pPr>
            <w:r>
              <w:rPr>
                <w:color w:val="000000"/>
                <w:sz w:val="22"/>
                <w:szCs w:val="22"/>
              </w:rPr>
              <w:t>V</w:t>
            </w:r>
            <w:r w:rsidR="003664B2">
              <w:rPr>
                <w:color w:val="000000"/>
                <w:sz w:val="22"/>
                <w:szCs w:val="22"/>
              </w:rPr>
              <w:t xml:space="preserve"> II. </w:t>
            </w:r>
            <w:r>
              <w:rPr>
                <w:color w:val="000000"/>
                <w:sz w:val="22"/>
                <w:szCs w:val="22"/>
              </w:rPr>
              <w:t>návrhu vyhlášky nově přesunuto pod § 5</w:t>
            </w:r>
            <w:r>
              <w:rPr>
                <w:sz w:val="22"/>
                <w:szCs w:val="22"/>
              </w:rPr>
              <w:t xml:space="preserve"> </w:t>
            </w:r>
            <w:r w:rsidR="002A439D">
              <w:rPr>
                <w:sz w:val="22"/>
                <w:szCs w:val="22"/>
              </w:rPr>
              <w:t>a Přílohu 2.</w:t>
            </w:r>
          </w:p>
          <w:p w14:paraId="49871263" w14:textId="77777777" w:rsidR="00CB2A5C" w:rsidRPr="006E08DC" w:rsidRDefault="00CB2A5C" w:rsidP="00257A48">
            <w:pPr>
              <w:ind w:right="175"/>
              <w:contextualSpacing/>
              <w:jc w:val="both"/>
              <w:rPr>
                <w:color w:val="000000"/>
                <w:sz w:val="22"/>
                <w:szCs w:val="22"/>
              </w:rPr>
            </w:pPr>
          </w:p>
        </w:tc>
      </w:tr>
      <w:tr w:rsidR="00142CBB" w:rsidRPr="006E08DC" w14:paraId="5A8C8D93" w14:textId="77777777" w:rsidTr="00CB0317">
        <w:trPr>
          <w:trHeight w:val="1104"/>
        </w:trPr>
        <w:tc>
          <w:tcPr>
            <w:tcW w:w="2309" w:type="dxa"/>
            <w:tcBorders>
              <w:top w:val="single" w:sz="4" w:space="0" w:color="auto"/>
              <w:left w:val="single" w:sz="4" w:space="0" w:color="auto"/>
              <w:bottom w:val="single" w:sz="4" w:space="0" w:color="auto"/>
              <w:right w:val="single" w:sz="4" w:space="0" w:color="auto"/>
            </w:tcBorders>
          </w:tcPr>
          <w:p w14:paraId="745A052C" w14:textId="77777777" w:rsidR="00142CBB" w:rsidRDefault="00142CBB"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3C856E48" w14:textId="77777777" w:rsidR="00142CBB" w:rsidRPr="00142CBB" w:rsidRDefault="00142CBB" w:rsidP="00142CBB">
            <w:pPr>
              <w:rPr>
                <w:b/>
                <w:bCs/>
                <w:sz w:val="22"/>
                <w:szCs w:val="22"/>
              </w:rPr>
            </w:pPr>
            <w:r w:rsidRPr="00142CBB">
              <w:rPr>
                <w:b/>
                <w:sz w:val="22"/>
                <w:szCs w:val="22"/>
              </w:rPr>
              <w:t xml:space="preserve">8) </w:t>
            </w:r>
            <w:r w:rsidRPr="00142CBB">
              <w:rPr>
                <w:b/>
                <w:bCs/>
                <w:sz w:val="22"/>
                <w:szCs w:val="22"/>
              </w:rPr>
              <w:t>K Důvodové zprávě – k § 3 a Příloze 1, str. 8-9</w:t>
            </w:r>
          </w:p>
          <w:p w14:paraId="65E49F63" w14:textId="77777777" w:rsidR="00142CBB" w:rsidRPr="00142CBB" w:rsidRDefault="00142CBB" w:rsidP="00142CBB">
            <w:pPr>
              <w:rPr>
                <w:bCs/>
                <w:sz w:val="22"/>
                <w:szCs w:val="22"/>
                <w:u w:val="single"/>
              </w:rPr>
            </w:pPr>
            <w:r w:rsidRPr="00142CBB">
              <w:rPr>
                <w:bCs/>
                <w:sz w:val="22"/>
                <w:szCs w:val="22"/>
                <w:u w:val="single"/>
              </w:rPr>
              <w:t>Navrhované znění:</w:t>
            </w:r>
          </w:p>
          <w:p w14:paraId="0EC39400" w14:textId="77777777" w:rsidR="00142CBB" w:rsidRPr="00142CBB" w:rsidRDefault="00142CBB" w:rsidP="00142CBB">
            <w:pPr>
              <w:jc w:val="both"/>
              <w:rPr>
                <w:b/>
                <w:sz w:val="22"/>
                <w:szCs w:val="22"/>
                <w:u w:val="single"/>
              </w:rPr>
            </w:pPr>
            <w:r w:rsidRPr="00142CBB">
              <w:rPr>
                <w:b/>
                <w:sz w:val="22"/>
                <w:szCs w:val="22"/>
              </w:rPr>
              <w:t>S</w:t>
            </w:r>
            <w:r w:rsidRPr="00142CBB">
              <w:rPr>
                <w:b/>
                <w:color w:val="000000"/>
                <w:sz w:val="22"/>
                <w:szCs w:val="22"/>
              </w:rPr>
              <w:t>higa toxin</w:t>
            </w:r>
            <w:r w:rsidRPr="00142CBB">
              <w:rPr>
                <w:b/>
                <w:sz w:val="22"/>
                <w:szCs w:val="22"/>
              </w:rPr>
              <w:t xml:space="preserve"> produkující </w:t>
            </w:r>
            <w:r w:rsidRPr="00142CBB">
              <w:rPr>
                <w:b/>
                <w:i/>
                <w:iCs/>
                <w:sz w:val="22"/>
                <w:szCs w:val="22"/>
              </w:rPr>
              <w:t xml:space="preserve">Escherichia coli </w:t>
            </w:r>
            <w:r w:rsidRPr="00142CBB">
              <w:rPr>
                <w:b/>
                <w:sz w:val="22"/>
                <w:szCs w:val="22"/>
              </w:rPr>
              <w:t xml:space="preserve">(STEC; tabulka č. 1) </w:t>
            </w:r>
            <w:r w:rsidRPr="00142CBB">
              <w:rPr>
                <w:b/>
                <w:sz w:val="22"/>
                <w:szCs w:val="22"/>
                <w:u w:val="single"/>
              </w:rPr>
              <w:t xml:space="preserve">a enteropatogenní </w:t>
            </w:r>
            <w:r w:rsidRPr="00142CBB">
              <w:rPr>
                <w:b/>
                <w:i/>
                <w:sz w:val="22"/>
                <w:szCs w:val="22"/>
                <w:u w:val="single"/>
              </w:rPr>
              <w:t xml:space="preserve">E. coli </w:t>
            </w:r>
            <w:r w:rsidRPr="00142CBB">
              <w:rPr>
                <w:b/>
                <w:sz w:val="22"/>
                <w:szCs w:val="22"/>
                <w:u w:val="single"/>
              </w:rPr>
              <w:t>(EPEC)</w:t>
            </w:r>
          </w:p>
          <w:p w14:paraId="00118138" w14:textId="77777777" w:rsidR="00142CBB" w:rsidRPr="00142CBB" w:rsidRDefault="00142CBB" w:rsidP="00142CBB">
            <w:pPr>
              <w:jc w:val="both"/>
              <w:rPr>
                <w:sz w:val="22"/>
                <w:szCs w:val="22"/>
              </w:rPr>
            </w:pPr>
            <w:r w:rsidRPr="00142CBB">
              <w:rPr>
                <w:sz w:val="22"/>
                <w:szCs w:val="22"/>
              </w:rPr>
              <w:t xml:space="preserve">Z pohledu bezpečnosti potravin je nejvýznamnější </w:t>
            </w:r>
            <w:r w:rsidRPr="00142CBB">
              <w:rPr>
                <w:i/>
                <w:sz w:val="22"/>
                <w:szCs w:val="22"/>
              </w:rPr>
              <w:t>E. coli</w:t>
            </w:r>
            <w:r w:rsidRPr="00142CBB">
              <w:rPr>
                <w:sz w:val="22"/>
                <w:szCs w:val="22"/>
              </w:rPr>
              <w:t xml:space="preserve"> produkující shigatoxin (STEC). </w:t>
            </w:r>
            <w:r w:rsidRPr="00142CBB">
              <w:rPr>
                <w:color w:val="000000"/>
                <w:sz w:val="22"/>
                <w:szCs w:val="22"/>
              </w:rPr>
              <w:t>Hlavní roli v patogenezi hrají dva sérologicky odlišné shiga toxiny (</w:t>
            </w:r>
            <w:r w:rsidRPr="00142CBB">
              <w:rPr>
                <w:i/>
                <w:color w:val="000000"/>
                <w:sz w:val="22"/>
                <w:szCs w:val="22"/>
              </w:rPr>
              <w:t>Stx</w:t>
            </w:r>
            <w:r w:rsidRPr="00142CBB">
              <w:rPr>
                <w:color w:val="000000"/>
                <w:sz w:val="22"/>
                <w:szCs w:val="22"/>
              </w:rPr>
              <w:t xml:space="preserve">) - </w:t>
            </w:r>
            <w:r w:rsidRPr="00142CBB">
              <w:rPr>
                <w:i/>
                <w:color w:val="000000"/>
                <w:sz w:val="22"/>
                <w:szCs w:val="22"/>
              </w:rPr>
              <w:t>Stx</w:t>
            </w:r>
            <w:r w:rsidRPr="00142CBB">
              <w:rPr>
                <w:color w:val="000000"/>
                <w:sz w:val="22"/>
                <w:szCs w:val="22"/>
              </w:rPr>
              <w:t xml:space="preserve">1 a </w:t>
            </w:r>
            <w:r w:rsidRPr="00142CBB">
              <w:rPr>
                <w:i/>
                <w:color w:val="000000"/>
                <w:sz w:val="22"/>
                <w:szCs w:val="22"/>
              </w:rPr>
              <w:t>Stx</w:t>
            </w:r>
            <w:r w:rsidRPr="00142CBB">
              <w:rPr>
                <w:color w:val="000000"/>
                <w:sz w:val="22"/>
                <w:szCs w:val="22"/>
              </w:rPr>
              <w:t xml:space="preserve">2. </w:t>
            </w:r>
            <w:r w:rsidRPr="00142CBB">
              <w:rPr>
                <w:i/>
                <w:color w:val="000000"/>
                <w:sz w:val="22"/>
                <w:szCs w:val="22"/>
              </w:rPr>
              <w:t>Stx</w:t>
            </w:r>
            <w:r w:rsidRPr="00142CBB">
              <w:rPr>
                <w:color w:val="000000"/>
                <w:sz w:val="22"/>
                <w:szCs w:val="22"/>
              </w:rPr>
              <w:t xml:space="preserve"> působí cytostaticky na endotel kapilár ledvinových glomerul a jejich účinek se projevuje tzv. </w:t>
            </w:r>
            <w:r w:rsidRPr="00142CBB">
              <w:rPr>
                <w:color w:val="000000"/>
                <w:sz w:val="22"/>
                <w:szCs w:val="22"/>
                <w:lang w:eastAsia="en-GB"/>
              </w:rPr>
              <w:t>hemolyticko-uremickým syndromem</w:t>
            </w:r>
            <w:r w:rsidRPr="00142CBB">
              <w:rPr>
                <w:color w:val="000000"/>
                <w:sz w:val="22"/>
                <w:szCs w:val="22"/>
              </w:rPr>
              <w:t xml:space="preserve"> (HUS). HUS postihuje především děti do pěti let věku a je nejčastější příčinou akutního selhání ledvin, u 30 % s následky trvalého poškození ledvin. Mortalita se uvádí 5 až 10%. Celosvětově nejčastěji izolovaným sérotypem je </w:t>
            </w:r>
            <w:r w:rsidRPr="00142CBB">
              <w:rPr>
                <w:i/>
                <w:color w:val="000000"/>
                <w:sz w:val="22"/>
                <w:szCs w:val="22"/>
              </w:rPr>
              <w:t>E. coli</w:t>
            </w:r>
            <w:r w:rsidRPr="00142CBB">
              <w:rPr>
                <w:color w:val="000000"/>
                <w:sz w:val="22"/>
                <w:szCs w:val="22"/>
              </w:rPr>
              <w:t xml:space="preserve"> O157:H7. V průběhu posledních 20 let se v Evropě jako agens HUS a kolitid uvádějí i další séroskupiny – především O26, O145, O111, O103, O145, </w:t>
            </w:r>
            <w:r w:rsidRPr="00142CBB">
              <w:rPr>
                <w:sz w:val="22"/>
                <w:szCs w:val="22"/>
              </w:rPr>
              <w:t xml:space="preserve">a O104:H4, který je spojován s epidemií v květnu 2011 v Německu po konzumaci klíčků. </w:t>
            </w:r>
            <w:r w:rsidRPr="00142CBB">
              <w:rPr>
                <w:color w:val="000000"/>
                <w:sz w:val="22"/>
                <w:szCs w:val="22"/>
              </w:rPr>
              <w:t xml:space="preserve">V České republice byl za posledních 5 let jako původce HUS nejčastěji identifikován sérotyp O26:H11/NM. V porovnání s jinými státy jsou </w:t>
            </w:r>
            <w:r w:rsidRPr="00142CBB">
              <w:rPr>
                <w:sz w:val="22"/>
                <w:szCs w:val="22"/>
              </w:rPr>
              <w:t>v </w:t>
            </w:r>
            <w:r w:rsidRPr="00142CBB">
              <w:rPr>
                <w:color w:val="000000"/>
                <w:sz w:val="22"/>
                <w:szCs w:val="22"/>
              </w:rPr>
              <w:t>České republice</w:t>
            </w:r>
            <w:r w:rsidRPr="00142CBB">
              <w:rPr>
                <w:sz w:val="22"/>
                <w:szCs w:val="22"/>
              </w:rPr>
              <w:t xml:space="preserve"> hlášeny relativně nízké počty případů infekce STEC. Hlášený výskyt v </w:t>
            </w:r>
            <w:r w:rsidRPr="00142CBB">
              <w:rPr>
                <w:color w:val="000000"/>
                <w:sz w:val="22"/>
                <w:szCs w:val="22"/>
              </w:rPr>
              <w:t>České republice</w:t>
            </w:r>
            <w:r w:rsidRPr="00142CBB">
              <w:rPr>
                <w:sz w:val="22"/>
                <w:szCs w:val="22"/>
              </w:rPr>
              <w:t xml:space="preserve"> v ISIN v letech 2012-2015 na 100 000 obyvatel se pohyboval od 0,12 do 0,27, což představuje maximálně 28 případů v roce 2014. Studie vyhodnocující rizika ukazují, že dávka způsobující infekci je velmi nízká (zpravidla 10 - 100 buněk). </w:t>
            </w:r>
          </w:p>
          <w:p w14:paraId="3A97042E" w14:textId="77777777" w:rsidR="00142CBB" w:rsidRPr="00142CBB" w:rsidRDefault="00142CBB" w:rsidP="00142CBB">
            <w:pPr>
              <w:jc w:val="both"/>
              <w:rPr>
                <w:sz w:val="22"/>
                <w:szCs w:val="22"/>
              </w:rPr>
            </w:pPr>
            <w:r w:rsidRPr="00142CBB">
              <w:rPr>
                <w:b/>
                <w:sz w:val="22"/>
                <w:szCs w:val="22"/>
              </w:rPr>
              <w:lastRenderedPageBreak/>
              <w:t>Enteropatogenní kmeny (EPEC) nesou gen pro adherenční faktor intimin (</w:t>
            </w:r>
            <w:r w:rsidRPr="00142CBB">
              <w:rPr>
                <w:b/>
                <w:i/>
                <w:sz w:val="22"/>
                <w:szCs w:val="22"/>
              </w:rPr>
              <w:t>eae</w:t>
            </w:r>
            <w:r w:rsidRPr="00142CBB">
              <w:rPr>
                <w:b/>
                <w:sz w:val="22"/>
                <w:szCs w:val="22"/>
              </w:rPr>
              <w:t>). Přítomnost EPEC představuje zejména v případě potravin určených k přímé spotřebě bez tepelného opracování (např. hovězí tatarské bifteky) vysoké riziko vzniku onemocnění člověka, které se klinicky projevuje jako vodnatý průjem, případně provázený nauzeou, zvracením a zvýšenou teplotou. I když kmeny EPEC působí především onemocnění u dětí, byly popsány i jako původci průjmů u dospělých včetně řady epidemií. Dospělí mohou být následně zdrojem infekce EPEC pro malé děti.</w:t>
            </w:r>
            <w:r w:rsidRPr="00142CBB">
              <w:rPr>
                <w:sz w:val="22"/>
                <w:szCs w:val="22"/>
              </w:rPr>
              <w:t xml:space="preserve"> I</w:t>
            </w:r>
            <w:r w:rsidRPr="00142CBB">
              <w:rPr>
                <w:bCs/>
                <w:color w:val="000000"/>
                <w:sz w:val="22"/>
                <w:szCs w:val="22"/>
                <w:lang w:eastAsia="en-GB"/>
              </w:rPr>
              <w:t xml:space="preserve">nfekce jsou nejčastěji spojované s konzumací </w:t>
            </w:r>
            <w:r w:rsidRPr="00142CBB">
              <w:rPr>
                <w:color w:val="000000"/>
                <w:sz w:val="22"/>
                <w:szCs w:val="22"/>
                <w:lang w:eastAsia="en-GB"/>
              </w:rPr>
              <w:t>nedostatečně tepelně opracovaného hovězího masa (steaky, hamburgery), syrového mléka a z něj vyrobených mléčných výrobků, syrové zeleniny, naklíčených semen a klíčků, s přímým kontaktem se zvířaty nebo koupáním v přírodních nádržích.</w:t>
            </w:r>
            <w:r w:rsidRPr="00142CBB">
              <w:rPr>
                <w:sz w:val="22"/>
                <w:szCs w:val="22"/>
              </w:rPr>
              <w:t xml:space="preserve"> Ke kontaminaci masa dochází prostřednictvím fekálního kontaktu v průběhu porážky hovězího dobytka, který je považován za rezervoár. Fekálním kontaktem se mohou bakterie dostat také do mléka během jeho získávání. Jako vehikulum přenosu byla také popsána zelenina a ovoce kontaminované fekáliemi hovězího dobytka. V prevenci onemocnění je nutno zahrnout důsledné uplatňování systému HACCP ve stravovacích službách a při výrobě potravin. Je také vhodné potraviny živočišného původu dostatečně tepelně zpracovat, a to působením teploty 68 – 70 °C po dobu nejméně dvou minut. V případě masa je vhodné zabránit množení bakterií jeho skladováním při teplotách do 7 °C a také dbát na to, aby nedošlo k rekontaminaci hotových potravin a produktů nástroji a vybavením použitým při zpracování a přípravě syrových potravin živočišného původu. Při pěstování ovoce a zeleniny by neměla být k zavlažování používána voda kontaminovaná fekáliemi a je nutné, aby před konzumací byly ovoce i zelenina důkladně omyty pitnou vodou. </w:t>
            </w:r>
          </w:p>
          <w:p w14:paraId="4E883373" w14:textId="77777777" w:rsidR="00142CBB" w:rsidRPr="00142CBB" w:rsidRDefault="00142CBB" w:rsidP="00142CBB">
            <w:pPr>
              <w:rPr>
                <w:sz w:val="22"/>
                <w:szCs w:val="22"/>
                <w:u w:val="single"/>
              </w:rPr>
            </w:pPr>
            <w:r w:rsidRPr="00142CBB">
              <w:rPr>
                <w:sz w:val="22"/>
                <w:szCs w:val="22"/>
                <w:u w:val="single"/>
              </w:rPr>
              <w:t>Odůvodnění:</w:t>
            </w:r>
          </w:p>
          <w:p w14:paraId="5A2AA8FA" w14:textId="77777777" w:rsidR="00142CBB" w:rsidRPr="00142CBB" w:rsidRDefault="00142CBB" w:rsidP="00142CBB">
            <w:pPr>
              <w:rPr>
                <w:sz w:val="22"/>
                <w:szCs w:val="22"/>
              </w:rPr>
            </w:pPr>
            <w:r w:rsidRPr="00142CBB">
              <w:rPr>
                <w:sz w:val="22"/>
                <w:szCs w:val="22"/>
              </w:rPr>
              <w:t xml:space="preserve">Doplnění důvodové zprávy o zdůvodnění k enteropatogenním kmenům E.coli v souladu s návrhem v tabulce 1. </w:t>
            </w:r>
          </w:p>
          <w:p w14:paraId="31A175BC" w14:textId="77777777" w:rsidR="00142CBB" w:rsidRPr="00142CBB" w:rsidRDefault="00142CBB" w:rsidP="00142CBB">
            <w:pPr>
              <w:jc w:val="both"/>
              <w:rPr>
                <w:b/>
                <w:bCs/>
                <w:sz w:val="22"/>
                <w:szCs w:val="22"/>
              </w:rPr>
            </w:pPr>
          </w:p>
        </w:tc>
        <w:tc>
          <w:tcPr>
            <w:tcW w:w="6237" w:type="dxa"/>
            <w:tcBorders>
              <w:top w:val="single" w:sz="4" w:space="0" w:color="auto"/>
              <w:left w:val="single" w:sz="4" w:space="0" w:color="auto"/>
              <w:bottom w:val="single" w:sz="4" w:space="0" w:color="auto"/>
              <w:right w:val="single" w:sz="4" w:space="0" w:color="auto"/>
            </w:tcBorders>
          </w:tcPr>
          <w:p w14:paraId="1A2E6AE4" w14:textId="77777777" w:rsidR="00142CBB" w:rsidRPr="00D43011" w:rsidRDefault="00FA443C" w:rsidP="00257A48">
            <w:pPr>
              <w:ind w:right="175"/>
              <w:contextualSpacing/>
              <w:jc w:val="both"/>
              <w:rPr>
                <w:b/>
                <w:sz w:val="22"/>
                <w:szCs w:val="22"/>
              </w:rPr>
            </w:pPr>
            <w:r w:rsidRPr="00D43011">
              <w:rPr>
                <w:b/>
                <w:sz w:val="22"/>
                <w:szCs w:val="22"/>
              </w:rPr>
              <w:lastRenderedPageBreak/>
              <w:t>Akceptováno.</w:t>
            </w:r>
          </w:p>
          <w:p w14:paraId="01C76C26" w14:textId="77777777" w:rsidR="002A439D" w:rsidRPr="00FA443C" w:rsidRDefault="002A439D" w:rsidP="00257A48">
            <w:pPr>
              <w:ind w:right="175"/>
              <w:contextualSpacing/>
              <w:jc w:val="both"/>
              <w:rPr>
                <w:b/>
                <w:color w:val="000000"/>
                <w:sz w:val="22"/>
                <w:szCs w:val="22"/>
              </w:rPr>
            </w:pPr>
            <w:r>
              <w:rPr>
                <w:color w:val="000000"/>
                <w:sz w:val="22"/>
                <w:szCs w:val="22"/>
              </w:rPr>
              <w:t>V II. návrhu vyhlášky nově přesunuto pod § 5</w:t>
            </w:r>
            <w:r>
              <w:rPr>
                <w:sz w:val="22"/>
                <w:szCs w:val="22"/>
              </w:rPr>
              <w:t xml:space="preserve"> a Přílohu 2.</w:t>
            </w:r>
          </w:p>
        </w:tc>
      </w:tr>
      <w:tr w:rsidR="00142CBB" w:rsidRPr="006E08DC" w14:paraId="5F8963CB" w14:textId="77777777" w:rsidTr="00CB0317">
        <w:trPr>
          <w:trHeight w:val="1104"/>
        </w:trPr>
        <w:tc>
          <w:tcPr>
            <w:tcW w:w="2309" w:type="dxa"/>
            <w:tcBorders>
              <w:top w:val="single" w:sz="4" w:space="0" w:color="auto"/>
              <w:left w:val="single" w:sz="4" w:space="0" w:color="auto"/>
              <w:bottom w:val="single" w:sz="4" w:space="0" w:color="auto"/>
              <w:right w:val="single" w:sz="4" w:space="0" w:color="auto"/>
            </w:tcBorders>
          </w:tcPr>
          <w:p w14:paraId="5D201AD7" w14:textId="77777777" w:rsidR="00142CBB" w:rsidRDefault="00142CBB"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33B2A42A" w14:textId="77777777" w:rsidR="00142CBB" w:rsidRPr="00142CBB" w:rsidRDefault="00142CBB" w:rsidP="00142CBB">
            <w:pPr>
              <w:rPr>
                <w:sz w:val="22"/>
                <w:szCs w:val="22"/>
                <w:u w:val="single"/>
              </w:rPr>
            </w:pPr>
            <w:r w:rsidRPr="00142CBB">
              <w:rPr>
                <w:b/>
                <w:sz w:val="22"/>
                <w:szCs w:val="22"/>
              </w:rPr>
              <w:t xml:space="preserve">9) </w:t>
            </w:r>
            <w:r w:rsidRPr="00142CBB">
              <w:rPr>
                <w:b/>
                <w:bCs/>
                <w:sz w:val="22"/>
                <w:szCs w:val="22"/>
              </w:rPr>
              <w:t>K Důvodové zprávě – k § 3 a Příloze 1, str.</w:t>
            </w:r>
            <w:r w:rsidRPr="00142CBB">
              <w:rPr>
                <w:sz w:val="22"/>
                <w:szCs w:val="22"/>
                <w:u w:val="single"/>
              </w:rPr>
              <w:t xml:space="preserve"> </w:t>
            </w:r>
            <w:r w:rsidRPr="00142CBB">
              <w:rPr>
                <w:b/>
                <w:sz w:val="22"/>
                <w:szCs w:val="22"/>
              </w:rPr>
              <w:t>13, odstavec 2</w:t>
            </w:r>
          </w:p>
          <w:p w14:paraId="6750B4F9" w14:textId="77777777" w:rsidR="00142CBB" w:rsidRPr="00142CBB" w:rsidRDefault="00142CBB" w:rsidP="00142CBB">
            <w:pPr>
              <w:rPr>
                <w:bCs/>
                <w:sz w:val="22"/>
                <w:szCs w:val="22"/>
                <w:u w:val="single"/>
              </w:rPr>
            </w:pPr>
            <w:r w:rsidRPr="00142CBB">
              <w:rPr>
                <w:bCs/>
                <w:sz w:val="22"/>
                <w:szCs w:val="22"/>
                <w:u w:val="single"/>
              </w:rPr>
              <w:t>Navrhované znění:</w:t>
            </w:r>
          </w:p>
          <w:p w14:paraId="1E3BACDF" w14:textId="77777777" w:rsidR="00142CBB" w:rsidRPr="00142CBB" w:rsidRDefault="00142CBB" w:rsidP="00175444">
            <w:pPr>
              <w:jc w:val="both"/>
              <w:rPr>
                <w:sz w:val="22"/>
                <w:szCs w:val="22"/>
              </w:rPr>
            </w:pPr>
            <w:r w:rsidRPr="00142CBB">
              <w:rPr>
                <w:strike/>
                <w:sz w:val="22"/>
                <w:szCs w:val="22"/>
              </w:rPr>
              <w:t>Pro hotové pokrmy, jako například zeleninový salát, bývají hodnoty CPM vyšší, mezi 10</w:t>
            </w:r>
            <w:r w:rsidRPr="00142CBB">
              <w:rPr>
                <w:strike/>
                <w:sz w:val="22"/>
                <w:szCs w:val="22"/>
                <w:vertAlign w:val="superscript"/>
              </w:rPr>
              <w:t xml:space="preserve">6 </w:t>
            </w:r>
            <w:r w:rsidRPr="00142CBB">
              <w:rPr>
                <w:strike/>
                <w:sz w:val="22"/>
                <w:szCs w:val="22"/>
              </w:rPr>
              <w:t>– 10</w:t>
            </w:r>
            <w:r w:rsidRPr="00142CBB">
              <w:rPr>
                <w:strike/>
                <w:sz w:val="22"/>
                <w:szCs w:val="22"/>
                <w:vertAlign w:val="superscript"/>
              </w:rPr>
              <w:t xml:space="preserve">8 </w:t>
            </w:r>
            <w:r w:rsidRPr="00142CBB">
              <w:rPr>
                <w:strike/>
                <w:sz w:val="22"/>
                <w:szCs w:val="22"/>
              </w:rPr>
              <w:t>KTJ/g, což má vliv na omezení trvanlivosti, protože se může docela rychle objevit kažení a je obvykle viditelné. Toto také platí pro výrobky jako rýžové nebo těstovinové saláty, které obsahují syrovou zeleninu. Pokud jsou výrobky sušené (například byliny), CPM na gram se zvyšuje kvůli objemu odstraněné vody. Syrové maso a ryby konzumované neošetřené nebo uzené za studena budou mít CPM okolo 10</w:t>
            </w:r>
            <w:r w:rsidRPr="00142CBB">
              <w:rPr>
                <w:strike/>
                <w:sz w:val="22"/>
                <w:szCs w:val="22"/>
                <w:vertAlign w:val="superscript"/>
              </w:rPr>
              <w:t xml:space="preserve">7 </w:t>
            </w:r>
            <w:r w:rsidRPr="00142CBB">
              <w:rPr>
                <w:strike/>
                <w:sz w:val="22"/>
                <w:szCs w:val="22"/>
              </w:rPr>
              <w:t>KTJ/g. Některé potravinářské komodity jako fermentovaná masa, ryby, zelenina a většina druhů sýrů jsou vyráběny přidáním startovacích kultur nebo bakterií, převládající organismy jsou proto startovací bakterie a další bakterie jsou obvykle přítomné pouze v nižších počtech kvůli kyselosti, která se vytváří při fermentaci</w:t>
            </w:r>
            <w:r w:rsidRPr="00142CBB">
              <w:rPr>
                <w:sz w:val="22"/>
                <w:szCs w:val="22"/>
              </w:rPr>
              <w:t xml:space="preserve">. </w:t>
            </w:r>
          </w:p>
          <w:p w14:paraId="72639683" w14:textId="77777777" w:rsidR="00142CBB" w:rsidRPr="00142CBB" w:rsidRDefault="00142CBB" w:rsidP="00142CBB">
            <w:pPr>
              <w:jc w:val="both"/>
              <w:rPr>
                <w:b/>
                <w:sz w:val="22"/>
                <w:szCs w:val="22"/>
              </w:rPr>
            </w:pPr>
            <w:r w:rsidRPr="00142CBB">
              <w:rPr>
                <w:b/>
                <w:sz w:val="22"/>
                <w:szCs w:val="22"/>
              </w:rPr>
              <w:t xml:space="preserve">Pro interpretaci CPM je důležité, zda byly jednotlivé složky pokrmu podrobeny tepelnému opracování, nebo zda obsahuje směs tepelně upravených a syrových složek určených k přímé spotřebě nebo jen syrové složky k přímé spotřebě. Fermentované pokrmy včetně pokrmů, které </w:t>
            </w:r>
            <w:r w:rsidRPr="00142CBB">
              <w:rPr>
                <w:b/>
                <w:sz w:val="22"/>
                <w:szCs w:val="22"/>
                <w:shd w:val="clear" w:color="auto" w:fill="FFFFFF"/>
              </w:rPr>
              <w:t xml:space="preserve">obsahují jako složku potraviny s kulturní mikroflórou a neprošly následnou tepelnou úpravou (např. pokrmy z </w:t>
            </w:r>
            <w:r w:rsidRPr="00142CBB">
              <w:rPr>
                <w:b/>
                <w:sz w:val="22"/>
                <w:szCs w:val="22"/>
              </w:rPr>
              <w:t>fermentovaných masných výrobků, fermentované zeleniny, většina druhů sýrů a zakysaných mléčných výrobků)</w:t>
            </w:r>
            <w:r w:rsidRPr="00142CBB">
              <w:rPr>
                <w:b/>
                <w:sz w:val="22"/>
                <w:szCs w:val="22"/>
                <w:shd w:val="clear" w:color="auto" w:fill="FFFFFF"/>
              </w:rPr>
              <w:t xml:space="preserve">, jsou </w:t>
            </w:r>
            <w:r w:rsidRPr="00142CBB">
              <w:rPr>
                <w:b/>
                <w:sz w:val="22"/>
                <w:szCs w:val="22"/>
              </w:rPr>
              <w:t>vyňaty ze sledování CPM, protože lze u nich očekávat vysoké počty aerobních kolonií v důsledku přítomnosti startovacích kultur. Na základě těchto znalostí navrhujeme pokrmy rozdělit do dvou kategorií:</w:t>
            </w:r>
          </w:p>
          <w:p w14:paraId="719225EF" w14:textId="77777777" w:rsidR="00142CBB" w:rsidRPr="00142CBB" w:rsidRDefault="00142CBB" w:rsidP="00142CBB">
            <w:pPr>
              <w:pStyle w:val="Odstavecseseznamem"/>
              <w:numPr>
                <w:ilvl w:val="0"/>
                <w:numId w:val="31"/>
              </w:numPr>
              <w:spacing w:after="0" w:line="240" w:lineRule="auto"/>
              <w:ind w:left="284" w:hanging="284"/>
              <w:contextualSpacing w:val="0"/>
              <w:jc w:val="both"/>
              <w:rPr>
                <w:rFonts w:ascii="Arial" w:hAnsi="Arial" w:cs="Arial"/>
                <w:b/>
              </w:rPr>
            </w:pPr>
            <w:r w:rsidRPr="00142CBB">
              <w:rPr>
                <w:rFonts w:ascii="Arial" w:hAnsi="Arial" w:cs="Arial"/>
                <w:b/>
              </w:rPr>
              <w:t xml:space="preserve">Pokrmy, mimo těch, které neprochází žádnou tepelnou úpravou - jedná se typicky </w:t>
            </w:r>
            <w:r w:rsidRPr="00142CBB">
              <w:rPr>
                <w:rFonts w:ascii="Arial" w:hAnsi="Arial" w:cs="Arial"/>
                <w:b/>
                <w:shd w:val="clear" w:color="auto" w:fill="FFFFFF"/>
              </w:rPr>
              <w:t xml:space="preserve">o cukrářské a </w:t>
            </w:r>
            <w:r w:rsidRPr="00142CBB">
              <w:rPr>
                <w:rFonts w:ascii="Arial" w:hAnsi="Arial" w:cs="Arial"/>
                <w:b/>
                <w:shd w:val="clear" w:color="auto" w:fill="FFFFFF"/>
              </w:rPr>
              <w:lastRenderedPageBreak/>
              <w:t>pekařské výrobky s náplněmi a krémy, cukrářské speciality</w:t>
            </w:r>
            <w:r w:rsidRPr="00142CBB">
              <w:rPr>
                <w:rFonts w:ascii="Arial" w:hAnsi="Arial" w:cs="Arial"/>
                <w:b/>
              </w:rPr>
              <w:t xml:space="preserve"> (např. dezerty, pěny, zmrzlinové poháry), lahůdkářské výrobky, zmrzliny, sushi, zchlazené a zmrazené </w:t>
            </w:r>
            <w:r w:rsidRPr="00142CBB">
              <w:rPr>
                <w:rFonts w:ascii="Arial" w:hAnsi="Arial" w:cs="Arial"/>
                <w:b/>
                <w:shd w:val="clear" w:color="auto" w:fill="FFFFFF"/>
              </w:rPr>
              <w:t>pokrmy. Hodnota &lt; </w:t>
            </w:r>
            <w:r w:rsidRPr="00142CBB">
              <w:rPr>
                <w:rFonts w:ascii="Arial" w:hAnsi="Arial" w:cs="Arial"/>
                <w:b/>
              </w:rPr>
              <w:t>10</w:t>
            </w:r>
            <w:r w:rsidRPr="00142CBB">
              <w:rPr>
                <w:rFonts w:ascii="Arial" w:hAnsi="Arial" w:cs="Arial"/>
                <w:b/>
                <w:vertAlign w:val="superscript"/>
              </w:rPr>
              <w:t xml:space="preserve">7 </w:t>
            </w:r>
            <w:r w:rsidRPr="00142CBB">
              <w:rPr>
                <w:rFonts w:ascii="Arial" w:hAnsi="Arial" w:cs="Arial"/>
                <w:b/>
              </w:rPr>
              <w:t>KTJ/g zohledňuje limity v britském vodítku Guidelines for Assessing the Microbiological Safety of Ready-to-Eat Foods Placed on the Market pro tento typ pokrmů.</w:t>
            </w:r>
          </w:p>
          <w:p w14:paraId="0EC635E4" w14:textId="77777777" w:rsidR="00142CBB" w:rsidRPr="00142CBB" w:rsidRDefault="00142CBB" w:rsidP="00142CBB">
            <w:pPr>
              <w:pStyle w:val="Odstavecseseznamem"/>
              <w:numPr>
                <w:ilvl w:val="0"/>
                <w:numId w:val="3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contextualSpacing w:val="0"/>
              <w:jc w:val="both"/>
              <w:rPr>
                <w:rFonts w:ascii="Arial" w:hAnsi="Arial" w:cs="Arial"/>
                <w:b/>
              </w:rPr>
            </w:pPr>
            <w:r w:rsidRPr="00142CBB">
              <w:rPr>
                <w:rFonts w:ascii="Arial" w:hAnsi="Arial" w:cs="Arial"/>
                <w:b/>
                <w:lang w:eastAsia="cs-CZ"/>
              </w:rPr>
              <w:t xml:space="preserve">Pokrmy, které neprocházejí žádnou tepelnou úpravou např. saláty z čerstvé zeleniny/ovoce, naklíčená semena a klíčky, tatarské bifteky, kde jsou vyšší počty běžné mikrobiální flóry. Hodnota </w:t>
            </w:r>
            <w:r w:rsidRPr="00142CBB">
              <w:rPr>
                <w:rFonts w:ascii="Arial" w:hAnsi="Arial" w:cs="Arial"/>
                <w:b/>
                <w:shd w:val="clear" w:color="auto" w:fill="FFFFFF"/>
              </w:rPr>
              <w:t>&lt; </w:t>
            </w:r>
            <w:r w:rsidRPr="00142CBB">
              <w:rPr>
                <w:rFonts w:ascii="Arial" w:hAnsi="Arial" w:cs="Arial"/>
                <w:b/>
              </w:rPr>
              <w:t>10</w:t>
            </w:r>
            <w:r w:rsidRPr="00142CBB">
              <w:rPr>
                <w:rFonts w:ascii="Arial" w:hAnsi="Arial" w:cs="Arial"/>
                <w:b/>
                <w:vertAlign w:val="superscript"/>
              </w:rPr>
              <w:t xml:space="preserve">8 </w:t>
            </w:r>
            <w:r w:rsidRPr="00142CBB">
              <w:rPr>
                <w:rFonts w:ascii="Arial" w:hAnsi="Arial" w:cs="Arial"/>
                <w:b/>
              </w:rPr>
              <w:t>KTJ/g je podle britských vodítek považována za hraniční pro kažení.</w:t>
            </w:r>
          </w:p>
          <w:p w14:paraId="650E2D3D" w14:textId="77777777" w:rsidR="00142CBB" w:rsidRPr="00142CBB" w:rsidRDefault="00142CBB" w:rsidP="00142CBB">
            <w:pPr>
              <w:rPr>
                <w:sz w:val="22"/>
                <w:szCs w:val="22"/>
                <w:u w:val="single"/>
              </w:rPr>
            </w:pPr>
          </w:p>
          <w:p w14:paraId="6BEA6CF3" w14:textId="77777777" w:rsidR="00142CBB" w:rsidRPr="00142CBB" w:rsidRDefault="00142CBB" w:rsidP="00142CBB">
            <w:pPr>
              <w:rPr>
                <w:sz w:val="22"/>
                <w:szCs w:val="22"/>
                <w:u w:val="single"/>
              </w:rPr>
            </w:pPr>
            <w:r w:rsidRPr="00142CBB">
              <w:rPr>
                <w:sz w:val="22"/>
                <w:szCs w:val="22"/>
                <w:u w:val="single"/>
              </w:rPr>
              <w:t>Odůvodnění:</w:t>
            </w:r>
          </w:p>
          <w:p w14:paraId="1B62A6C8" w14:textId="77777777" w:rsidR="00142CBB" w:rsidRPr="00142CBB" w:rsidRDefault="00142CBB" w:rsidP="00142CBB">
            <w:pPr>
              <w:jc w:val="both"/>
              <w:rPr>
                <w:sz w:val="22"/>
                <w:szCs w:val="22"/>
              </w:rPr>
            </w:pPr>
            <w:r w:rsidRPr="00142CBB">
              <w:rPr>
                <w:sz w:val="22"/>
                <w:szCs w:val="22"/>
              </w:rPr>
              <w:t>Doplnění odůvodnění v případě, že bude v tabulce 2 přistoupeno na členění pokrmů z hlediska způsobu výroby. V takovém případě navrhujeme tuto část textu odstranit a nahradit jej textem uvedeným výše.</w:t>
            </w:r>
          </w:p>
          <w:p w14:paraId="32A50DEA" w14:textId="77777777" w:rsidR="00142CBB" w:rsidRPr="00142CBB" w:rsidRDefault="00142CBB" w:rsidP="00142CBB">
            <w:pPr>
              <w:rPr>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11399E3" w14:textId="77777777" w:rsidR="00142CBB" w:rsidRPr="00D43011" w:rsidRDefault="003664B2" w:rsidP="00257A48">
            <w:pPr>
              <w:ind w:right="175"/>
              <w:contextualSpacing/>
              <w:jc w:val="both"/>
              <w:rPr>
                <w:b/>
                <w:sz w:val="22"/>
                <w:szCs w:val="22"/>
              </w:rPr>
            </w:pPr>
            <w:r w:rsidRPr="00D43011">
              <w:rPr>
                <w:b/>
                <w:sz w:val="22"/>
                <w:szCs w:val="22"/>
              </w:rPr>
              <w:lastRenderedPageBreak/>
              <w:t>Akceptováno.</w:t>
            </w:r>
          </w:p>
          <w:p w14:paraId="68033EB4" w14:textId="77777777" w:rsidR="002A439D" w:rsidRPr="003664B2" w:rsidRDefault="002A439D" w:rsidP="00257A48">
            <w:pPr>
              <w:ind w:right="175"/>
              <w:contextualSpacing/>
              <w:jc w:val="both"/>
              <w:rPr>
                <w:b/>
                <w:color w:val="000000"/>
                <w:sz w:val="22"/>
                <w:szCs w:val="22"/>
              </w:rPr>
            </w:pPr>
            <w:r>
              <w:rPr>
                <w:color w:val="000000"/>
                <w:sz w:val="22"/>
                <w:szCs w:val="22"/>
              </w:rPr>
              <w:t>V II. návrhu vyhlášky nově přesunuto pod § 5</w:t>
            </w:r>
            <w:r>
              <w:rPr>
                <w:sz w:val="22"/>
                <w:szCs w:val="22"/>
              </w:rPr>
              <w:t xml:space="preserve"> a Přílohu 2.</w:t>
            </w:r>
          </w:p>
        </w:tc>
      </w:tr>
      <w:tr w:rsidR="00047D8B" w:rsidRPr="006E08DC" w14:paraId="58C19542" w14:textId="77777777" w:rsidTr="00C17438">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34C65756" w14:textId="77777777" w:rsidR="009907FE" w:rsidRPr="00292991" w:rsidRDefault="009907FE" w:rsidP="006E08DC">
            <w:pPr>
              <w:contextualSpacing/>
              <w:rPr>
                <w:sz w:val="22"/>
                <w:szCs w:val="22"/>
              </w:rPr>
            </w:pPr>
          </w:p>
          <w:p w14:paraId="381149FF" w14:textId="77777777" w:rsidR="00047D8B" w:rsidRPr="00292991" w:rsidRDefault="00047D8B" w:rsidP="006E08DC">
            <w:pPr>
              <w:contextualSpacing/>
              <w:rPr>
                <w:sz w:val="22"/>
                <w:szCs w:val="22"/>
              </w:rPr>
            </w:pPr>
            <w:r w:rsidRPr="00292991">
              <w:rPr>
                <w:sz w:val="22"/>
                <w:szCs w:val="22"/>
              </w:rPr>
              <w:t>Ústřední kontrolní a zkušební ústav zemědělský</w:t>
            </w:r>
          </w:p>
          <w:p w14:paraId="0A50879E" w14:textId="77777777" w:rsidR="009907FE" w:rsidRPr="00292991" w:rsidRDefault="009907FE" w:rsidP="006E08D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4E6F72EB" w14:textId="77777777" w:rsidR="00047D8B" w:rsidRPr="00292991" w:rsidRDefault="00047D8B" w:rsidP="00047D8B">
            <w:pPr>
              <w:pStyle w:val="Zkladntext"/>
              <w:ind w:left="34"/>
              <w:contextualSpacing/>
              <w:rPr>
                <w:sz w:val="22"/>
                <w:szCs w:val="22"/>
              </w:rPr>
            </w:pPr>
          </w:p>
          <w:p w14:paraId="249875E4" w14:textId="77777777" w:rsidR="00845E90" w:rsidRPr="00292991" w:rsidRDefault="00845E90" w:rsidP="00845E90">
            <w:pPr>
              <w:pStyle w:val="Zkladntext"/>
              <w:ind w:left="34"/>
              <w:contextualSpacing/>
              <w:rPr>
                <w:sz w:val="22"/>
                <w:szCs w:val="22"/>
              </w:rPr>
            </w:pPr>
            <w:r w:rsidRPr="00292991">
              <w:rPr>
                <w:sz w:val="22"/>
                <w:szCs w:val="22"/>
              </w:rPr>
              <w:t>Bez připomínek.</w:t>
            </w:r>
          </w:p>
          <w:p w14:paraId="07EF817A" w14:textId="77777777" w:rsidR="00047D8B" w:rsidRPr="00292991" w:rsidRDefault="00047D8B" w:rsidP="00BE0ED8">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A46CA0A" w14:textId="77777777" w:rsidR="00047D8B" w:rsidRPr="006E08DC" w:rsidRDefault="00047D8B" w:rsidP="00257A48">
            <w:pPr>
              <w:ind w:right="175"/>
              <w:contextualSpacing/>
              <w:jc w:val="both"/>
              <w:rPr>
                <w:color w:val="000000"/>
                <w:sz w:val="22"/>
                <w:szCs w:val="22"/>
              </w:rPr>
            </w:pPr>
          </w:p>
        </w:tc>
      </w:tr>
      <w:tr w:rsidR="00BE0ED8" w:rsidRPr="006E08DC" w14:paraId="7EF4668C" w14:textId="77777777" w:rsidTr="00C17438">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1587E497" w14:textId="77777777" w:rsidR="00BE0ED8" w:rsidRPr="00292991" w:rsidRDefault="00BE0ED8" w:rsidP="006E08DC">
            <w:pPr>
              <w:contextualSpacing/>
              <w:rPr>
                <w:sz w:val="22"/>
                <w:szCs w:val="22"/>
              </w:rPr>
            </w:pPr>
          </w:p>
          <w:p w14:paraId="19591FA4" w14:textId="77777777" w:rsidR="00BE0ED8" w:rsidRPr="00292991" w:rsidRDefault="00BE0ED8" w:rsidP="006E08DC">
            <w:pPr>
              <w:contextualSpacing/>
              <w:rPr>
                <w:sz w:val="22"/>
                <w:szCs w:val="22"/>
              </w:rPr>
            </w:pPr>
            <w:r w:rsidRPr="00292991">
              <w:rPr>
                <w:sz w:val="22"/>
                <w:szCs w:val="22"/>
              </w:rPr>
              <w:t>Státní zemědělský intervenční fond</w:t>
            </w:r>
          </w:p>
        </w:tc>
        <w:tc>
          <w:tcPr>
            <w:tcW w:w="5879" w:type="dxa"/>
            <w:tcBorders>
              <w:top w:val="single" w:sz="4" w:space="0" w:color="auto"/>
              <w:left w:val="single" w:sz="4" w:space="0" w:color="auto"/>
              <w:bottom w:val="single" w:sz="4" w:space="0" w:color="auto"/>
              <w:right w:val="single" w:sz="4" w:space="0" w:color="auto"/>
            </w:tcBorders>
          </w:tcPr>
          <w:p w14:paraId="0B1FA58E" w14:textId="77777777" w:rsidR="00BE0ED8" w:rsidRPr="00292991" w:rsidRDefault="00BE0ED8" w:rsidP="00047D8B">
            <w:pPr>
              <w:pStyle w:val="Zkladntext"/>
              <w:ind w:left="34"/>
              <w:contextualSpacing/>
              <w:rPr>
                <w:sz w:val="22"/>
                <w:szCs w:val="22"/>
              </w:rPr>
            </w:pPr>
          </w:p>
          <w:p w14:paraId="581EFD4B" w14:textId="77777777" w:rsidR="00BE0ED8" w:rsidRPr="00292991" w:rsidRDefault="00BE0ED8" w:rsidP="00BE0ED8">
            <w:pPr>
              <w:pStyle w:val="Zkladntext"/>
              <w:ind w:left="34"/>
              <w:contextualSpacing/>
              <w:rPr>
                <w:sz w:val="22"/>
                <w:szCs w:val="22"/>
              </w:rPr>
            </w:pPr>
            <w:r w:rsidRPr="00292991">
              <w:rPr>
                <w:sz w:val="22"/>
                <w:szCs w:val="22"/>
              </w:rPr>
              <w:t>Bez připomínek.</w:t>
            </w:r>
          </w:p>
          <w:p w14:paraId="37E815BD" w14:textId="77777777" w:rsidR="00BE0ED8" w:rsidRPr="00292991" w:rsidRDefault="00BE0ED8" w:rsidP="00047D8B">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D96D84A" w14:textId="77777777" w:rsidR="00BE0ED8" w:rsidRPr="006E08DC" w:rsidRDefault="00BE0ED8" w:rsidP="00257A48">
            <w:pPr>
              <w:ind w:right="175"/>
              <w:contextualSpacing/>
              <w:jc w:val="both"/>
              <w:rPr>
                <w:color w:val="000000"/>
                <w:sz w:val="22"/>
                <w:szCs w:val="22"/>
              </w:rPr>
            </w:pPr>
          </w:p>
        </w:tc>
      </w:tr>
      <w:tr w:rsidR="00DA6894" w:rsidRPr="006E08DC" w14:paraId="6E0976BD" w14:textId="77777777" w:rsidTr="00C17438">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010EF6A2" w14:textId="77777777" w:rsidR="00DA6894" w:rsidRPr="00292991" w:rsidRDefault="00DA6894" w:rsidP="006E08DC">
            <w:pPr>
              <w:contextualSpacing/>
              <w:rPr>
                <w:sz w:val="22"/>
                <w:szCs w:val="22"/>
              </w:rPr>
            </w:pPr>
          </w:p>
          <w:p w14:paraId="36185C60" w14:textId="77777777" w:rsidR="00DA6894" w:rsidRPr="00292991" w:rsidRDefault="00DA6894" w:rsidP="006E08DC">
            <w:pPr>
              <w:contextualSpacing/>
              <w:rPr>
                <w:sz w:val="22"/>
                <w:szCs w:val="22"/>
              </w:rPr>
            </w:pPr>
            <w:r w:rsidRPr="00292991">
              <w:rPr>
                <w:sz w:val="22"/>
                <w:szCs w:val="22"/>
              </w:rPr>
              <w:t>Státní veterinární správa</w:t>
            </w:r>
          </w:p>
        </w:tc>
        <w:tc>
          <w:tcPr>
            <w:tcW w:w="5879" w:type="dxa"/>
            <w:tcBorders>
              <w:top w:val="single" w:sz="4" w:space="0" w:color="auto"/>
              <w:left w:val="single" w:sz="4" w:space="0" w:color="auto"/>
              <w:bottom w:val="single" w:sz="4" w:space="0" w:color="auto"/>
              <w:right w:val="single" w:sz="4" w:space="0" w:color="auto"/>
            </w:tcBorders>
          </w:tcPr>
          <w:p w14:paraId="5F9C9934" w14:textId="77777777" w:rsidR="00DA6894" w:rsidRPr="00292991" w:rsidRDefault="00DA6894" w:rsidP="00DA6894">
            <w:pPr>
              <w:pStyle w:val="Zkladntext"/>
              <w:ind w:left="34"/>
              <w:contextualSpacing/>
              <w:rPr>
                <w:sz w:val="22"/>
                <w:szCs w:val="22"/>
              </w:rPr>
            </w:pPr>
          </w:p>
          <w:p w14:paraId="15AE4C64" w14:textId="77777777" w:rsidR="00DA6894" w:rsidRPr="00292991" w:rsidRDefault="00DA6894" w:rsidP="00DA6894">
            <w:pPr>
              <w:pStyle w:val="Zkladntext"/>
              <w:ind w:left="34"/>
              <w:contextualSpacing/>
              <w:rPr>
                <w:sz w:val="22"/>
                <w:szCs w:val="22"/>
              </w:rPr>
            </w:pPr>
            <w:r w:rsidRPr="00292991">
              <w:rPr>
                <w:sz w:val="22"/>
                <w:szCs w:val="22"/>
              </w:rPr>
              <w:t>Bez připomínek.</w:t>
            </w:r>
          </w:p>
          <w:p w14:paraId="5AB54C67" w14:textId="77777777" w:rsidR="00DA6894" w:rsidRPr="00292991" w:rsidRDefault="00DA6894" w:rsidP="00047D8B">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7840EE78" w14:textId="77777777" w:rsidR="00DA6894" w:rsidRPr="006E08DC" w:rsidRDefault="00DA6894" w:rsidP="00257A48">
            <w:pPr>
              <w:ind w:right="175"/>
              <w:contextualSpacing/>
              <w:jc w:val="both"/>
              <w:rPr>
                <w:color w:val="000000"/>
                <w:sz w:val="22"/>
                <w:szCs w:val="22"/>
              </w:rPr>
            </w:pPr>
          </w:p>
        </w:tc>
      </w:tr>
      <w:tr w:rsidR="0097625C" w:rsidRPr="006E08DC" w14:paraId="0322CDD1" w14:textId="77777777" w:rsidTr="00C17438">
        <w:trPr>
          <w:cantSplit/>
          <w:trHeight w:val="1104"/>
        </w:trPr>
        <w:tc>
          <w:tcPr>
            <w:tcW w:w="2309" w:type="dxa"/>
            <w:tcBorders>
              <w:top w:val="single" w:sz="4" w:space="0" w:color="auto"/>
              <w:left w:val="single" w:sz="4" w:space="0" w:color="auto"/>
              <w:bottom w:val="single" w:sz="4" w:space="0" w:color="auto"/>
              <w:right w:val="single" w:sz="4" w:space="0" w:color="auto"/>
            </w:tcBorders>
          </w:tcPr>
          <w:p w14:paraId="7C1D2851" w14:textId="77777777" w:rsidR="0097625C" w:rsidRDefault="0097625C" w:rsidP="006E08DC">
            <w:pPr>
              <w:contextualSpacing/>
              <w:rPr>
                <w:sz w:val="22"/>
                <w:szCs w:val="22"/>
              </w:rPr>
            </w:pPr>
          </w:p>
          <w:p w14:paraId="05A0AEC7" w14:textId="77777777" w:rsidR="0097625C" w:rsidRDefault="0097625C" w:rsidP="006E08DC">
            <w:pPr>
              <w:contextualSpacing/>
              <w:rPr>
                <w:sz w:val="22"/>
                <w:szCs w:val="22"/>
              </w:rPr>
            </w:pPr>
            <w:r w:rsidRPr="0097625C">
              <w:rPr>
                <w:sz w:val="22"/>
                <w:szCs w:val="22"/>
              </w:rPr>
              <w:t xml:space="preserve">Výzkumný ústav veterinárního lékařství, v. v. i.  </w:t>
            </w:r>
          </w:p>
        </w:tc>
        <w:tc>
          <w:tcPr>
            <w:tcW w:w="5879" w:type="dxa"/>
            <w:tcBorders>
              <w:top w:val="single" w:sz="4" w:space="0" w:color="auto"/>
              <w:left w:val="single" w:sz="4" w:space="0" w:color="auto"/>
              <w:bottom w:val="single" w:sz="4" w:space="0" w:color="auto"/>
              <w:right w:val="single" w:sz="4" w:space="0" w:color="auto"/>
            </w:tcBorders>
          </w:tcPr>
          <w:p w14:paraId="005DCBCF" w14:textId="77777777" w:rsidR="0097625C" w:rsidRDefault="0097625C" w:rsidP="00047D8B">
            <w:pPr>
              <w:pStyle w:val="Zkladntext"/>
              <w:ind w:left="34"/>
              <w:contextualSpacing/>
              <w:rPr>
                <w:sz w:val="22"/>
                <w:szCs w:val="22"/>
              </w:rPr>
            </w:pPr>
          </w:p>
          <w:p w14:paraId="29606A90" w14:textId="77777777" w:rsidR="0097625C" w:rsidRPr="006E08DC" w:rsidRDefault="0097625C" w:rsidP="0097625C">
            <w:pPr>
              <w:pStyle w:val="Zkladntext"/>
              <w:ind w:left="34"/>
              <w:contextualSpacing/>
              <w:rPr>
                <w:sz w:val="22"/>
                <w:szCs w:val="22"/>
              </w:rPr>
            </w:pPr>
            <w:r w:rsidRPr="006E08DC">
              <w:rPr>
                <w:sz w:val="22"/>
                <w:szCs w:val="22"/>
              </w:rPr>
              <w:t xml:space="preserve">Bez </w:t>
            </w:r>
            <w:r w:rsidR="00292991">
              <w:rPr>
                <w:sz w:val="22"/>
                <w:szCs w:val="22"/>
              </w:rPr>
              <w:t>vyjádření</w:t>
            </w:r>
            <w:r w:rsidRPr="006E08DC">
              <w:rPr>
                <w:sz w:val="22"/>
                <w:szCs w:val="22"/>
              </w:rPr>
              <w:t>.</w:t>
            </w:r>
          </w:p>
          <w:p w14:paraId="72E4F026" w14:textId="77777777" w:rsidR="0097625C" w:rsidRDefault="0097625C" w:rsidP="00047D8B">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3DDE83A" w14:textId="77777777" w:rsidR="0097625C" w:rsidRPr="006E08DC" w:rsidRDefault="0097625C" w:rsidP="00257A48">
            <w:pPr>
              <w:ind w:right="175"/>
              <w:contextualSpacing/>
              <w:jc w:val="both"/>
              <w:rPr>
                <w:color w:val="000000"/>
                <w:sz w:val="22"/>
                <w:szCs w:val="22"/>
              </w:rPr>
            </w:pPr>
          </w:p>
        </w:tc>
      </w:tr>
      <w:tr w:rsidR="00EF7B6C" w:rsidRPr="006E08DC" w14:paraId="48B00AEB" w14:textId="77777777" w:rsidTr="00E40E2E">
        <w:trPr>
          <w:trHeight w:val="1104"/>
        </w:trPr>
        <w:tc>
          <w:tcPr>
            <w:tcW w:w="2309" w:type="dxa"/>
            <w:tcBorders>
              <w:top w:val="single" w:sz="4" w:space="0" w:color="auto"/>
              <w:left w:val="single" w:sz="4" w:space="0" w:color="auto"/>
              <w:bottom w:val="single" w:sz="4" w:space="0" w:color="auto"/>
              <w:right w:val="single" w:sz="4" w:space="0" w:color="auto"/>
            </w:tcBorders>
          </w:tcPr>
          <w:p w14:paraId="693E8F1C" w14:textId="77777777" w:rsidR="00EF7B6C" w:rsidRDefault="00EF7B6C" w:rsidP="00EF7B6C">
            <w:pPr>
              <w:contextualSpacing/>
              <w:rPr>
                <w:sz w:val="22"/>
                <w:szCs w:val="22"/>
              </w:rPr>
            </w:pPr>
          </w:p>
          <w:p w14:paraId="20050A41" w14:textId="77777777" w:rsidR="00EF7B6C" w:rsidRDefault="00EF7B6C" w:rsidP="00EF7B6C">
            <w:pPr>
              <w:contextualSpacing/>
              <w:rPr>
                <w:sz w:val="22"/>
                <w:szCs w:val="22"/>
              </w:rPr>
            </w:pPr>
            <w:r>
              <w:rPr>
                <w:sz w:val="22"/>
                <w:szCs w:val="22"/>
              </w:rPr>
              <w:t>Potravinářská komora ČR</w:t>
            </w:r>
          </w:p>
        </w:tc>
        <w:tc>
          <w:tcPr>
            <w:tcW w:w="5879" w:type="dxa"/>
            <w:tcBorders>
              <w:top w:val="single" w:sz="4" w:space="0" w:color="auto"/>
              <w:left w:val="single" w:sz="4" w:space="0" w:color="auto"/>
              <w:bottom w:val="single" w:sz="4" w:space="0" w:color="auto"/>
              <w:right w:val="single" w:sz="4" w:space="0" w:color="auto"/>
            </w:tcBorders>
          </w:tcPr>
          <w:p w14:paraId="7C672B5D" w14:textId="6987F034" w:rsidR="00EF7B6C" w:rsidRPr="00EB7DBB" w:rsidRDefault="00EF7B6C" w:rsidP="00EF7B6C">
            <w:pPr>
              <w:ind w:right="141"/>
              <w:jc w:val="both"/>
              <w:rPr>
                <w:sz w:val="22"/>
                <w:szCs w:val="22"/>
              </w:rPr>
            </w:pPr>
            <w:r w:rsidRPr="00EB7DBB">
              <w:rPr>
                <w:sz w:val="22"/>
                <w:szCs w:val="22"/>
              </w:rPr>
              <w:t>V oblasti teplotního požadavku  na studené pokrmy. Ve zdůvodnění  mikroorganismů (viz KORNC8CMSN27 – doplnění) je obvykle napsáno že vzhledem prediktivní mikrobiologii je nutné udržovat teploty pod bez rychlého rozvoje. V KORNC8CMSN27 - doplnění (např. u Salmonella spp., Shiga toxin produkující Escherichia coli,  Yersinia enterocolitica, Yersinia pseudotuberculosis)  vyplývá, že na „udržení mikroorganismů na uzdě“ by byla spíše vhodnější teplota nižší, která je např. v současné době uvedena u zchlazovaných pokrmů  a to +4° Celsia jak je uvedeno v požadavcích vyhlášky 137/2004 Sb., ve znění vyh.č.</w:t>
            </w:r>
            <w:r w:rsidR="00D10D74">
              <w:rPr>
                <w:sz w:val="22"/>
                <w:szCs w:val="22"/>
              </w:rPr>
              <w:t xml:space="preserve"> </w:t>
            </w:r>
            <w:r w:rsidRPr="00EB7DBB">
              <w:rPr>
                <w:sz w:val="22"/>
                <w:szCs w:val="22"/>
              </w:rPr>
              <w:t>60</w:t>
            </w:r>
            <w:r w:rsidR="00D10D74">
              <w:rPr>
                <w:sz w:val="22"/>
                <w:szCs w:val="22"/>
              </w:rPr>
              <w:t>9</w:t>
            </w:r>
            <w:r w:rsidRPr="00EB7DBB">
              <w:rPr>
                <w:sz w:val="22"/>
                <w:szCs w:val="22"/>
              </w:rPr>
              <w:t>/2006 Sb. Codex alimentarius pro vařené a předvařené pod krémy z roku 1993 jako opora nařízení Evropské unie 852/2004,  i v návrhu této vyhlášky. (původně byla tato hodnota max +4°C pro studené pokrmy  i v</w:t>
            </w:r>
            <w:r w:rsidR="00D10D74">
              <w:rPr>
                <w:sz w:val="22"/>
                <w:szCs w:val="22"/>
              </w:rPr>
              <w:t>e</w:t>
            </w:r>
            <w:r w:rsidRPr="00EB7DBB">
              <w:rPr>
                <w:sz w:val="22"/>
                <w:szCs w:val="22"/>
              </w:rPr>
              <w:t xml:space="preserve"> vyh. č. 107/2001 Sb.)</w:t>
            </w:r>
          </w:p>
          <w:p w14:paraId="1CF78121" w14:textId="77777777" w:rsidR="00EF7B6C" w:rsidRPr="00EB7DBB" w:rsidRDefault="00EF7B6C" w:rsidP="00EF7B6C">
            <w:pPr>
              <w:ind w:right="141"/>
              <w:jc w:val="both"/>
              <w:rPr>
                <w:sz w:val="22"/>
                <w:szCs w:val="22"/>
              </w:rPr>
            </w:pPr>
            <w:r w:rsidRPr="00EB7DBB">
              <w:rPr>
                <w:sz w:val="22"/>
                <w:szCs w:val="22"/>
              </w:rPr>
              <w:t xml:space="preserve">Je nutné především se podívat na soubor surovin ze kterých je výrobek vyráběn, často bez další tepelné či jiné úpravy. Většina těchto surovin například šunka, sýry, tvarohy, a další mají obvykle předepsanou teplotu do max +5°C, tedy je obtížné se domnívat, že výsledný výrobek který bude skladován v max +8°C bude ve shodě s požadavky dodavatelských organizací. Nutno také říci že právě suroviny typu sýr, salám, šunka, jsou často finální upravovány úpravou, ve kterých dochází často ke kontaminaci produktu, a tím naopak bychom měli tento produkt držet v takových podmínkách, aby by nemohlo dojít k rozvoji patogenních a potenciální patogenní a především toxinogenních mikroorganismů typu St. aureus, Bacillus cereus , Salmonella spp, Yersinia enterocolitica a další. Dle  mého názoru max +8°C je teplota, v kterých může docházet k rozvoji těchto mikroorganismů, a pokud jsme stanovili tuto teplotu, pak by bylo asi vhodné stanovit dobu použitelnosti produktu,  která by měla být patřičně přizpůsobena právě k rozvoji mikroorganismů v těchto produktech. Například za pomocí prediktivní mikrobiologie, skladovacích pokusů a dalších. Nemalým argumentem, je i skutečnost, že některé nadnárodní řetězce působící v ČR  vyžadují na </w:t>
            </w:r>
            <w:r w:rsidRPr="00EB7DBB">
              <w:rPr>
                <w:sz w:val="22"/>
                <w:szCs w:val="22"/>
              </w:rPr>
              <w:lastRenderedPageBreak/>
              <w:t xml:space="preserve">svých produktech  teploty výrazně nižší, než je tato navrhovaná teplota  (max+8°C). </w:t>
            </w:r>
          </w:p>
          <w:p w14:paraId="5E2189A8" w14:textId="77777777" w:rsidR="00EF7B6C" w:rsidRPr="00EB7DBB" w:rsidRDefault="00EF7B6C" w:rsidP="00EF7B6C">
            <w:pPr>
              <w:ind w:right="141"/>
              <w:jc w:val="both"/>
              <w:rPr>
                <w:sz w:val="22"/>
                <w:szCs w:val="22"/>
              </w:rPr>
            </w:pPr>
            <w:r w:rsidRPr="00EB7DBB">
              <w:rPr>
                <w:sz w:val="22"/>
                <w:szCs w:val="22"/>
              </w:rPr>
              <w:t xml:space="preserve">Další možností  je: jestliže jsme nechali na provozovateli aby on sám rozhodl o délce použitelnosti produktu, pak je asi i vhodné ponechat na jeho úvaze SVP (HACCP) jakou teplotu  v rámci skladování  navrhne (jak je tomu doposud). </w:t>
            </w:r>
          </w:p>
          <w:p w14:paraId="47AAD47D" w14:textId="3AF51545" w:rsidR="00EF7B6C" w:rsidRDefault="00EF7B6C" w:rsidP="00EF7B6C">
            <w:pPr>
              <w:ind w:right="141"/>
              <w:jc w:val="both"/>
              <w:rPr>
                <w:sz w:val="22"/>
                <w:szCs w:val="22"/>
              </w:rPr>
            </w:pPr>
            <w:r w:rsidRPr="00EB7DBB">
              <w:rPr>
                <w:sz w:val="22"/>
                <w:szCs w:val="22"/>
              </w:rPr>
              <w:t>Stejně tak v oblasti cukrářských výrobků  se domníváme, že navrhovaná teplota  není vhodná na skladov</w:t>
            </w:r>
            <w:r w:rsidR="00B17401">
              <w:rPr>
                <w:sz w:val="22"/>
                <w:szCs w:val="22"/>
              </w:rPr>
              <w:t xml:space="preserve">ání např. šlehačkových  dortů, </w:t>
            </w:r>
            <w:r w:rsidRPr="00EB7DBB">
              <w:rPr>
                <w:sz w:val="22"/>
                <w:szCs w:val="22"/>
              </w:rPr>
              <w:t xml:space="preserve">větrníků,  či jinak velmi epidemiologicky závažných produktů, zvláště pak při současném požadavku na dlouhodobou dobu použitelnosti. </w:t>
            </w:r>
          </w:p>
          <w:p w14:paraId="7FA68CCF" w14:textId="77777777" w:rsidR="00EF7B6C" w:rsidRPr="00EB7DBB" w:rsidRDefault="00EF7B6C" w:rsidP="00EF7B6C">
            <w:pPr>
              <w:ind w:right="141"/>
              <w:jc w:val="both"/>
              <w:rPr>
                <w:sz w:val="22"/>
                <w:szCs w:val="22"/>
              </w:rPr>
            </w:pPr>
          </w:p>
          <w:p w14:paraId="3374D364" w14:textId="77777777" w:rsidR="00EF7B6C" w:rsidRPr="004F0460" w:rsidRDefault="00EF7B6C" w:rsidP="00EF7B6C">
            <w:pPr>
              <w:ind w:right="141"/>
              <w:jc w:val="both"/>
              <w:rPr>
                <w:b/>
                <w:sz w:val="22"/>
                <w:szCs w:val="22"/>
                <w:u w:val="single"/>
              </w:rPr>
            </w:pPr>
            <w:r w:rsidRPr="004F0460">
              <w:rPr>
                <w:b/>
                <w:sz w:val="22"/>
                <w:szCs w:val="22"/>
                <w:u w:val="single"/>
              </w:rPr>
              <w:t xml:space="preserve">Teď k limitům </w:t>
            </w:r>
          </w:p>
          <w:p w14:paraId="23DE7647" w14:textId="77777777" w:rsidR="00EF7B6C" w:rsidRPr="004F0460" w:rsidRDefault="00EF7B6C" w:rsidP="00EF7B6C">
            <w:pPr>
              <w:ind w:right="141"/>
              <w:jc w:val="both"/>
              <w:rPr>
                <w:sz w:val="22"/>
                <w:szCs w:val="22"/>
              </w:rPr>
            </w:pPr>
            <w:r w:rsidRPr="004F0460">
              <w:rPr>
                <w:sz w:val="22"/>
                <w:szCs w:val="22"/>
              </w:rPr>
              <w:t xml:space="preserve">Jestli dostatečně dobře chápeme ustanovení v tabulce 1 (v KORNC8CMSMAS doplnění) pak je tedy omezení i pro mikroorganismy,  které jsou součástí kulturní mikroflóry.  Zdá se nám,  že buď je  toto ustanovení špatně formulováno, a nebo odůvodnění,  tedy,  že prostředí, které mikroorganismy vyvolají,  snižuje množství mikroorganismů startovací kultury,  je dle  našeho názoru pochybné. Zvláště pak ze zkušenosti některých produktech typu sýr, jogurt a podobně se vyskytují v densitach vyšších než je stanovena hranice pro správnou výrobní praxi. </w:t>
            </w:r>
          </w:p>
          <w:p w14:paraId="286C3831" w14:textId="77777777" w:rsidR="00EF7B6C" w:rsidRPr="004F0460" w:rsidRDefault="00EF7B6C" w:rsidP="00EF7B6C">
            <w:pPr>
              <w:ind w:right="141"/>
              <w:jc w:val="both"/>
              <w:rPr>
                <w:sz w:val="22"/>
                <w:szCs w:val="22"/>
              </w:rPr>
            </w:pPr>
            <w:r w:rsidRPr="004F0460">
              <w:rPr>
                <w:sz w:val="22"/>
                <w:szCs w:val="22"/>
              </w:rPr>
              <w:t xml:space="preserve">Navrhujeme znění např.  </w:t>
            </w:r>
          </w:p>
          <w:p w14:paraId="5AB484B1" w14:textId="77777777" w:rsidR="00EF7B6C" w:rsidRPr="004F0460" w:rsidRDefault="00EF7B6C" w:rsidP="00EF7B6C">
            <w:pPr>
              <w:ind w:right="141"/>
              <w:jc w:val="both"/>
              <w:rPr>
                <w:sz w:val="22"/>
                <w:szCs w:val="22"/>
              </w:rPr>
            </w:pPr>
            <w:r w:rsidRPr="004F0460">
              <w:rPr>
                <w:sz w:val="22"/>
                <w:szCs w:val="22"/>
              </w:rPr>
              <w:t xml:space="preserve"> </w:t>
            </w:r>
          </w:p>
          <w:p w14:paraId="5A5372C9" w14:textId="77777777" w:rsidR="00EF7B6C" w:rsidRPr="004F0460" w:rsidRDefault="00EF7B6C" w:rsidP="00EF7B6C">
            <w:pPr>
              <w:ind w:right="141"/>
              <w:jc w:val="both"/>
              <w:rPr>
                <w:sz w:val="22"/>
                <w:szCs w:val="22"/>
              </w:rPr>
            </w:pPr>
            <w:r w:rsidRPr="004F0460">
              <w:rPr>
                <w:sz w:val="22"/>
                <w:szCs w:val="22"/>
              </w:rPr>
              <w:t>pokrmy živočišného původu, určené k přímé spotřebě s výjimkou potravin, kde jsou takové mikroorganismy součástí kulturní mikroflóry</w:t>
            </w:r>
          </w:p>
          <w:p w14:paraId="4E6765DB" w14:textId="77777777" w:rsidR="00EF7B6C" w:rsidRPr="004F0460" w:rsidRDefault="00EF7B6C" w:rsidP="00EF7B6C">
            <w:pPr>
              <w:ind w:right="141"/>
              <w:jc w:val="both"/>
              <w:rPr>
                <w:sz w:val="22"/>
                <w:szCs w:val="22"/>
              </w:rPr>
            </w:pPr>
            <w:r w:rsidRPr="004F0460">
              <w:rPr>
                <w:sz w:val="22"/>
                <w:szCs w:val="22"/>
              </w:rPr>
              <w:t xml:space="preserve">resp. </w:t>
            </w:r>
          </w:p>
          <w:p w14:paraId="6FBB5E6B" w14:textId="77777777" w:rsidR="00EF7B6C" w:rsidRPr="004F0460" w:rsidRDefault="00EF7B6C" w:rsidP="00EF7B6C">
            <w:pPr>
              <w:ind w:right="141"/>
              <w:jc w:val="both"/>
              <w:rPr>
                <w:sz w:val="22"/>
                <w:szCs w:val="22"/>
              </w:rPr>
            </w:pPr>
            <w:r w:rsidRPr="004F0460">
              <w:rPr>
                <w:sz w:val="22"/>
                <w:szCs w:val="22"/>
              </w:rPr>
              <w:t>pokrmy rostlinného  původu, určené k přímé spotřebě s výjimkou potravin, kde jsou takové mikroorganismy součástí kulturní mikroflóry</w:t>
            </w:r>
          </w:p>
          <w:p w14:paraId="0222233D" w14:textId="77777777" w:rsidR="00EF7B6C" w:rsidRPr="004F0460" w:rsidRDefault="00EF7B6C" w:rsidP="00EF7B6C">
            <w:pPr>
              <w:ind w:right="141"/>
              <w:jc w:val="both"/>
              <w:rPr>
                <w:sz w:val="22"/>
                <w:szCs w:val="22"/>
              </w:rPr>
            </w:pPr>
            <w:r w:rsidRPr="004F0460">
              <w:rPr>
                <w:sz w:val="22"/>
                <w:szCs w:val="22"/>
              </w:rPr>
              <w:t xml:space="preserve"> </w:t>
            </w:r>
          </w:p>
          <w:p w14:paraId="72AE9214" w14:textId="77777777" w:rsidR="00EF7B6C" w:rsidRPr="00EB7DBB" w:rsidRDefault="00EF7B6C" w:rsidP="00EF7B6C">
            <w:pPr>
              <w:ind w:right="141"/>
              <w:jc w:val="both"/>
              <w:rPr>
                <w:sz w:val="22"/>
                <w:szCs w:val="22"/>
              </w:rPr>
            </w:pPr>
            <w:r w:rsidRPr="004F0460">
              <w:rPr>
                <w:sz w:val="22"/>
                <w:szCs w:val="22"/>
              </w:rPr>
              <w:t xml:space="preserve"> viz znění např.  norma ČSN 56 9609     Tabulka B.7 - Původci kažení</w:t>
            </w:r>
          </w:p>
          <w:p w14:paraId="2E270EF1" w14:textId="77777777" w:rsidR="00EF7B6C" w:rsidRPr="00EB7DBB" w:rsidRDefault="00EF7B6C" w:rsidP="00EF7B6C">
            <w:pPr>
              <w:ind w:right="141"/>
              <w:jc w:val="both"/>
              <w:rPr>
                <w:sz w:val="22"/>
                <w:szCs w:val="22"/>
              </w:rPr>
            </w:pPr>
            <w:r w:rsidRPr="00EB7DBB">
              <w:rPr>
                <w:sz w:val="22"/>
                <w:szCs w:val="22"/>
              </w:rPr>
              <w:t xml:space="preserve"> </w:t>
            </w:r>
          </w:p>
          <w:p w14:paraId="2B74FFE7" w14:textId="77777777" w:rsidR="00EF7B6C" w:rsidRPr="00F67D4D" w:rsidRDefault="00EF7B6C" w:rsidP="00EF7B6C">
            <w:pPr>
              <w:ind w:right="141"/>
              <w:jc w:val="both"/>
              <w:rPr>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28A1E47" w14:textId="77777777" w:rsidR="00EF7B6C" w:rsidRPr="00EF7B6C" w:rsidRDefault="00EF7B6C" w:rsidP="00EF7B6C">
            <w:pPr>
              <w:ind w:right="175"/>
              <w:contextualSpacing/>
              <w:jc w:val="both"/>
              <w:rPr>
                <w:b/>
                <w:color w:val="000000"/>
                <w:sz w:val="22"/>
                <w:szCs w:val="22"/>
              </w:rPr>
            </w:pPr>
            <w:r w:rsidRPr="00EF7B6C">
              <w:rPr>
                <w:b/>
                <w:color w:val="000000"/>
                <w:sz w:val="22"/>
                <w:szCs w:val="22"/>
              </w:rPr>
              <w:lastRenderedPageBreak/>
              <w:t>Vysvětleno.</w:t>
            </w:r>
          </w:p>
          <w:p w14:paraId="433612C7" w14:textId="3DB87523" w:rsidR="00A55DB6" w:rsidRDefault="00EF7B6C" w:rsidP="00A55DB6">
            <w:pPr>
              <w:ind w:right="175"/>
              <w:contextualSpacing/>
              <w:jc w:val="both"/>
              <w:rPr>
                <w:color w:val="000000"/>
                <w:sz w:val="22"/>
                <w:szCs w:val="22"/>
                <w:highlight w:val="yellow"/>
              </w:rPr>
            </w:pPr>
            <w:r w:rsidRPr="004F744E">
              <w:rPr>
                <w:color w:val="000000"/>
                <w:sz w:val="22"/>
                <w:szCs w:val="22"/>
              </w:rPr>
              <w:t>Potravina nesmí být uvedena na trh, není-li bezpečná. Za bezpečnost potraviny odpovídá provozovatel potravinářského podniku. Provozovatel potravinářského podniku je povinen uchovávat potraviny při teplotách stanovených</w:t>
            </w:r>
            <w:r w:rsidR="00A55DB6" w:rsidRPr="004F744E">
              <w:rPr>
                <w:color w:val="000000"/>
                <w:sz w:val="22"/>
                <w:szCs w:val="22"/>
              </w:rPr>
              <w:t xml:space="preserve"> platnými právními předpisy</w:t>
            </w:r>
            <w:r w:rsidRPr="004F744E">
              <w:rPr>
                <w:color w:val="000000"/>
                <w:sz w:val="22"/>
                <w:szCs w:val="22"/>
              </w:rPr>
              <w:t>, a pokud tyto požadavky nejsou právními předpisy stanoveny, uchovávat potraviny při teplotách stanovených provozovatelem potravinářského podniku, který potravinu vyrobil. Návrh vyhlášky pouze stanovuje maximální limit</w:t>
            </w:r>
            <w:r w:rsidR="00A55DB6" w:rsidRPr="004F744E">
              <w:rPr>
                <w:color w:val="000000"/>
                <w:sz w:val="22"/>
                <w:szCs w:val="22"/>
              </w:rPr>
              <w:t xml:space="preserve"> </w:t>
            </w:r>
            <w:r w:rsidR="00A55DB6" w:rsidRPr="00A55DB6">
              <w:rPr>
                <w:color w:val="000000"/>
                <w:sz w:val="22"/>
                <w:szCs w:val="22"/>
                <w:shd w:val="clear" w:color="auto" w:fill="FFFFFF" w:themeFill="background1"/>
              </w:rPr>
              <w:t>vycházející ze zaužívané praxe. Provozovatel potravinářského podniku by měl konkrétní teplotní podmínky pro uvádění studených pokrmů,</w:t>
            </w:r>
            <w:r w:rsidR="00A55DB6" w:rsidRPr="00A55DB6">
              <w:rPr>
                <w:color w:val="000000"/>
                <w:sz w:val="22"/>
                <w:szCs w:val="22"/>
              </w:rPr>
              <w:t xml:space="preserve"> jež mají charakter cukrářského a lahůdkářského výrobku, stanovit na základě analýzy rizika (při zohlednění dílčích hledisek - použité suroviny, technologie výroby, datum použitelnosti apod.). Výše uvedená zásada byla doplněna do předmětného ustanovení návrhu vyhlášky:</w:t>
            </w:r>
          </w:p>
          <w:p w14:paraId="0C7B3204" w14:textId="77777777" w:rsidR="00A55DB6" w:rsidRDefault="00A55DB6" w:rsidP="00A55DB6">
            <w:pPr>
              <w:ind w:right="175"/>
              <w:contextualSpacing/>
              <w:jc w:val="both"/>
              <w:rPr>
                <w:color w:val="000000"/>
                <w:sz w:val="22"/>
                <w:szCs w:val="22"/>
                <w:highlight w:val="yellow"/>
              </w:rPr>
            </w:pPr>
          </w:p>
          <w:p w14:paraId="6D3A6F22" w14:textId="77777777" w:rsidR="00A55DB6" w:rsidRDefault="00A55DB6" w:rsidP="00EA6684">
            <w:pPr>
              <w:ind w:firstLine="567"/>
              <w:jc w:val="both"/>
              <w:rPr>
                <w:i/>
                <w:sz w:val="22"/>
                <w:szCs w:val="22"/>
              </w:rPr>
            </w:pPr>
            <w:r w:rsidRPr="00A55DB6">
              <w:rPr>
                <w:i/>
                <w:color w:val="000000"/>
                <w:sz w:val="22"/>
                <w:szCs w:val="22"/>
              </w:rPr>
              <w:t>„</w:t>
            </w:r>
            <w:r>
              <w:rPr>
                <w:i/>
                <w:sz w:val="22"/>
                <w:szCs w:val="22"/>
              </w:rPr>
              <w:t>(5) Studené pokrmy, které mají charakter cukrářského nebo lahůdkářského výrobku, se uvádějí na trh při teplotách stanovených provozovatelem potravinářského podniku v rámci postupů založených na zásadách analýzy rizik a kritických kontrolních bodů</w:t>
            </w:r>
            <w:r>
              <w:rPr>
                <w:i/>
                <w:sz w:val="22"/>
                <w:szCs w:val="22"/>
                <w:vertAlign w:val="superscript"/>
              </w:rPr>
              <w:t>2)</w:t>
            </w:r>
            <w:r>
              <w:rPr>
                <w:i/>
                <w:sz w:val="22"/>
                <w:szCs w:val="22"/>
              </w:rPr>
              <w:t>, a to nejvýše do + 8 °C.“</w:t>
            </w:r>
          </w:p>
          <w:p w14:paraId="35887A59" w14:textId="4ED874C2" w:rsidR="00EF7B6C" w:rsidRDefault="00B17401" w:rsidP="00EF7B6C">
            <w:pPr>
              <w:ind w:right="175"/>
              <w:contextualSpacing/>
              <w:jc w:val="both"/>
              <w:rPr>
                <w:color w:val="000000"/>
                <w:sz w:val="22"/>
                <w:szCs w:val="22"/>
                <w:highlight w:val="yellow"/>
              </w:rPr>
            </w:pPr>
            <w:r>
              <w:rPr>
                <w:color w:val="000000"/>
                <w:sz w:val="22"/>
                <w:szCs w:val="22"/>
                <w:highlight w:val="yellow"/>
              </w:rPr>
              <w:t xml:space="preserve"> </w:t>
            </w:r>
          </w:p>
          <w:p w14:paraId="4FCA6985" w14:textId="77777777" w:rsidR="00411217" w:rsidRDefault="00411217" w:rsidP="00EF7B6C">
            <w:pPr>
              <w:ind w:right="175"/>
              <w:contextualSpacing/>
              <w:jc w:val="both"/>
              <w:rPr>
                <w:color w:val="000000"/>
                <w:sz w:val="22"/>
                <w:szCs w:val="22"/>
                <w:highlight w:val="yellow"/>
              </w:rPr>
            </w:pPr>
          </w:p>
          <w:p w14:paraId="038E8BBB" w14:textId="09046F14" w:rsidR="00411217" w:rsidRDefault="00411217" w:rsidP="00411217">
            <w:pPr>
              <w:ind w:right="175"/>
              <w:contextualSpacing/>
              <w:jc w:val="both"/>
              <w:rPr>
                <w:color w:val="000000"/>
                <w:sz w:val="22"/>
                <w:szCs w:val="22"/>
              </w:rPr>
            </w:pPr>
            <w:r>
              <w:rPr>
                <w:color w:val="000000"/>
                <w:sz w:val="22"/>
                <w:szCs w:val="22"/>
              </w:rPr>
              <w:t>V případě cukrářských výrobků je teplota do 8°C pro jejich uvádění na trh stanovena v § 10 odst. 5 vyhlášky 18/2020 Sb.</w:t>
            </w:r>
            <w:r w:rsidR="00652C57">
              <w:rPr>
                <w:color w:val="000000"/>
                <w:sz w:val="22"/>
                <w:szCs w:val="22"/>
              </w:rPr>
              <w:t xml:space="preserve">, </w:t>
            </w:r>
            <w:r w:rsidR="00003645">
              <w:rPr>
                <w:color w:val="000000"/>
                <w:sz w:val="22"/>
                <w:szCs w:val="22"/>
              </w:rPr>
              <w:t>o požadavcích na mlýnské obilné výrobky, těstoviny, pekařské výrobky a cukrářské výrobky a těsta</w:t>
            </w:r>
            <w:r>
              <w:rPr>
                <w:rStyle w:val="h1a6"/>
                <w:color w:val="43494D"/>
                <w:kern w:val="36"/>
                <w:sz w:val="22"/>
                <w:szCs w:val="22"/>
                <w:specVanish w:val="0"/>
              </w:rPr>
              <w:t>o požadavcích na mlýnské obilné výrobky, těstoviny, pekařské výrobky a cukrářské výrobky a těsta</w:t>
            </w:r>
            <w:r>
              <w:rPr>
                <w:color w:val="000000"/>
                <w:sz w:val="22"/>
                <w:szCs w:val="22"/>
              </w:rPr>
              <w:t>. Z těchto důvodů navrhujeme uplatnit tuto teplotu i v  návrhu předkládané vyhlášky.</w:t>
            </w:r>
          </w:p>
          <w:p w14:paraId="5233CC82" w14:textId="77777777" w:rsidR="006074F6" w:rsidRDefault="006074F6" w:rsidP="00411217">
            <w:pPr>
              <w:ind w:right="175"/>
              <w:contextualSpacing/>
              <w:jc w:val="both"/>
              <w:rPr>
                <w:color w:val="000000"/>
                <w:sz w:val="22"/>
                <w:szCs w:val="22"/>
              </w:rPr>
            </w:pPr>
          </w:p>
          <w:p w14:paraId="185BE48F" w14:textId="77777777" w:rsidR="006074F6" w:rsidRDefault="006074F6" w:rsidP="00411217">
            <w:pPr>
              <w:ind w:right="175"/>
              <w:contextualSpacing/>
              <w:jc w:val="both"/>
              <w:rPr>
                <w:color w:val="000000"/>
                <w:sz w:val="22"/>
                <w:szCs w:val="22"/>
              </w:rPr>
            </w:pPr>
          </w:p>
          <w:p w14:paraId="3E71EE08" w14:textId="77777777" w:rsidR="006074F6" w:rsidRDefault="006074F6" w:rsidP="00411217">
            <w:pPr>
              <w:ind w:right="175"/>
              <w:contextualSpacing/>
              <w:jc w:val="both"/>
              <w:rPr>
                <w:color w:val="000000"/>
                <w:sz w:val="22"/>
                <w:szCs w:val="22"/>
              </w:rPr>
            </w:pPr>
          </w:p>
          <w:p w14:paraId="33C577F5" w14:textId="77777777" w:rsidR="006074F6" w:rsidRDefault="006074F6" w:rsidP="00411217">
            <w:pPr>
              <w:ind w:right="175"/>
              <w:contextualSpacing/>
              <w:jc w:val="both"/>
              <w:rPr>
                <w:color w:val="000000"/>
                <w:sz w:val="22"/>
                <w:szCs w:val="22"/>
              </w:rPr>
            </w:pPr>
          </w:p>
          <w:p w14:paraId="3997BDAF" w14:textId="77777777" w:rsidR="006074F6" w:rsidRDefault="006074F6" w:rsidP="00411217">
            <w:pPr>
              <w:ind w:right="175"/>
              <w:contextualSpacing/>
              <w:jc w:val="both"/>
              <w:rPr>
                <w:color w:val="000000"/>
                <w:sz w:val="22"/>
                <w:szCs w:val="22"/>
              </w:rPr>
            </w:pPr>
          </w:p>
          <w:p w14:paraId="0D54A796" w14:textId="77777777" w:rsidR="006074F6" w:rsidRDefault="006074F6" w:rsidP="00411217">
            <w:pPr>
              <w:ind w:right="175"/>
              <w:contextualSpacing/>
              <w:jc w:val="both"/>
              <w:rPr>
                <w:color w:val="000000"/>
                <w:sz w:val="22"/>
                <w:szCs w:val="22"/>
              </w:rPr>
            </w:pPr>
          </w:p>
          <w:p w14:paraId="03ADE423" w14:textId="77777777" w:rsidR="006074F6" w:rsidRDefault="006074F6" w:rsidP="00411217">
            <w:pPr>
              <w:ind w:right="175"/>
              <w:contextualSpacing/>
              <w:jc w:val="both"/>
              <w:rPr>
                <w:color w:val="000000"/>
                <w:sz w:val="22"/>
                <w:szCs w:val="22"/>
              </w:rPr>
            </w:pPr>
          </w:p>
          <w:p w14:paraId="4115C07F" w14:textId="77777777" w:rsidR="006074F6" w:rsidRDefault="006074F6" w:rsidP="00411217">
            <w:pPr>
              <w:ind w:right="175"/>
              <w:contextualSpacing/>
              <w:jc w:val="both"/>
              <w:rPr>
                <w:color w:val="000000"/>
                <w:sz w:val="22"/>
                <w:szCs w:val="22"/>
              </w:rPr>
            </w:pPr>
          </w:p>
          <w:p w14:paraId="7A86A14C" w14:textId="77777777" w:rsidR="006074F6" w:rsidRDefault="006074F6" w:rsidP="00411217">
            <w:pPr>
              <w:ind w:right="175"/>
              <w:contextualSpacing/>
              <w:jc w:val="both"/>
              <w:rPr>
                <w:color w:val="000000"/>
                <w:sz w:val="22"/>
                <w:szCs w:val="22"/>
              </w:rPr>
            </w:pPr>
          </w:p>
          <w:p w14:paraId="185C0144" w14:textId="77777777" w:rsidR="006074F6" w:rsidRDefault="006074F6" w:rsidP="00411217">
            <w:pPr>
              <w:ind w:right="175"/>
              <w:contextualSpacing/>
              <w:jc w:val="both"/>
              <w:rPr>
                <w:color w:val="000000"/>
                <w:sz w:val="22"/>
                <w:szCs w:val="22"/>
              </w:rPr>
            </w:pPr>
          </w:p>
          <w:p w14:paraId="03E17792" w14:textId="77777777" w:rsidR="002154EA" w:rsidRDefault="002154EA" w:rsidP="00411217">
            <w:pPr>
              <w:ind w:right="175"/>
              <w:contextualSpacing/>
              <w:jc w:val="both"/>
              <w:rPr>
                <w:color w:val="000000"/>
                <w:sz w:val="22"/>
                <w:szCs w:val="22"/>
              </w:rPr>
            </w:pPr>
          </w:p>
          <w:p w14:paraId="1CA953D7" w14:textId="77777777" w:rsidR="006074F6" w:rsidRDefault="006074F6" w:rsidP="00411217">
            <w:pPr>
              <w:ind w:right="175"/>
              <w:contextualSpacing/>
              <w:jc w:val="both"/>
              <w:rPr>
                <w:color w:val="000000"/>
                <w:sz w:val="22"/>
                <w:szCs w:val="22"/>
              </w:rPr>
            </w:pPr>
          </w:p>
          <w:p w14:paraId="0D7B8C49" w14:textId="22ADE4C1" w:rsidR="006074F6" w:rsidRDefault="009542D4" w:rsidP="006074F6">
            <w:pPr>
              <w:ind w:right="175"/>
              <w:contextualSpacing/>
              <w:jc w:val="both"/>
              <w:rPr>
                <w:sz w:val="22"/>
                <w:szCs w:val="22"/>
                <w:shd w:val="clear" w:color="auto" w:fill="FFFFFF"/>
              </w:rPr>
            </w:pPr>
            <w:r>
              <w:rPr>
                <w:color w:val="000000"/>
                <w:sz w:val="22"/>
                <w:szCs w:val="22"/>
              </w:rPr>
              <w:t xml:space="preserve">Limity uvedené v tabulce č. </w:t>
            </w:r>
            <w:r w:rsidR="006074F6">
              <w:rPr>
                <w:color w:val="000000"/>
                <w:sz w:val="22"/>
                <w:szCs w:val="22"/>
              </w:rPr>
              <w:t xml:space="preserve">1 pro </w:t>
            </w:r>
            <w:r w:rsidR="006074F6">
              <w:rPr>
                <w:b/>
                <w:sz w:val="22"/>
                <w:szCs w:val="22"/>
              </w:rPr>
              <w:t>bakteriální původce onemocnění</w:t>
            </w:r>
            <w:r w:rsidR="006074F6">
              <w:rPr>
                <w:sz w:val="22"/>
                <w:szCs w:val="22"/>
              </w:rPr>
              <w:t xml:space="preserve"> se vztahují na všechny pokrmy včetně těch, které obsahují kulturní mikroflóru.</w:t>
            </w:r>
          </w:p>
          <w:p w14:paraId="57C1816B" w14:textId="77777777" w:rsidR="006074F6" w:rsidRDefault="006074F6" w:rsidP="006074F6">
            <w:pPr>
              <w:ind w:right="175"/>
              <w:contextualSpacing/>
              <w:jc w:val="both"/>
              <w:rPr>
                <w:sz w:val="22"/>
                <w:szCs w:val="22"/>
                <w:shd w:val="clear" w:color="auto" w:fill="FFFFFF"/>
              </w:rPr>
            </w:pPr>
          </w:p>
          <w:p w14:paraId="2F710B58" w14:textId="0DD39E64" w:rsidR="00AF3648" w:rsidRDefault="006074F6" w:rsidP="006074F6">
            <w:pPr>
              <w:jc w:val="both"/>
              <w:rPr>
                <w:sz w:val="22"/>
                <w:szCs w:val="22"/>
                <w:shd w:val="clear" w:color="auto" w:fill="FFFFFF"/>
              </w:rPr>
            </w:pPr>
            <w:r>
              <w:rPr>
                <w:sz w:val="22"/>
                <w:szCs w:val="22"/>
                <w:shd w:val="clear" w:color="auto" w:fill="FFFFFF"/>
              </w:rPr>
              <w:t xml:space="preserve">Pokud se má námitka vztahovat k tabulce </w:t>
            </w:r>
            <w:r w:rsidR="009542D4">
              <w:rPr>
                <w:sz w:val="22"/>
                <w:szCs w:val="22"/>
                <w:shd w:val="clear" w:color="auto" w:fill="FFFFFF"/>
              </w:rPr>
              <w:t xml:space="preserve">č. </w:t>
            </w:r>
            <w:r>
              <w:rPr>
                <w:sz w:val="22"/>
                <w:szCs w:val="22"/>
                <w:shd w:val="clear" w:color="auto" w:fill="FFFFFF"/>
              </w:rPr>
              <w:t xml:space="preserve">2 pro </w:t>
            </w:r>
            <w:r>
              <w:rPr>
                <w:b/>
                <w:sz w:val="22"/>
                <w:szCs w:val="22"/>
                <w:shd w:val="clear" w:color="auto" w:fill="FFFFFF"/>
              </w:rPr>
              <w:t>indikátorové mikroorganismy</w:t>
            </w:r>
            <w:r>
              <w:rPr>
                <w:sz w:val="22"/>
                <w:szCs w:val="22"/>
                <w:shd w:val="clear" w:color="auto" w:fill="FFFFFF"/>
              </w:rPr>
              <w:t>, konkrétně k mikroorganismu</w:t>
            </w:r>
            <w:r>
              <w:rPr>
                <w:b/>
                <w:sz w:val="22"/>
                <w:szCs w:val="22"/>
                <w:shd w:val="clear" w:color="auto" w:fill="FFFFFF"/>
              </w:rPr>
              <w:t xml:space="preserve"> </w:t>
            </w:r>
            <w:r>
              <w:rPr>
                <w:color w:val="000000"/>
                <w:sz w:val="22"/>
                <w:szCs w:val="22"/>
              </w:rPr>
              <w:t>aerobní mezofilní mikroorganismy (celkový</w:t>
            </w:r>
            <w:r w:rsidR="0032767D">
              <w:rPr>
                <w:color w:val="000000"/>
                <w:sz w:val="22"/>
                <w:szCs w:val="22"/>
              </w:rPr>
              <w:t xml:space="preserve"> počet mikroorganismů), tak byl</w:t>
            </w:r>
            <w:r>
              <w:rPr>
                <w:color w:val="000000"/>
                <w:sz w:val="22"/>
                <w:szCs w:val="22"/>
              </w:rPr>
              <w:t xml:space="preserve"> návrh vyhlášky upraven dle připomínek zaslaných SZPI, a to, že se nebude ukazatel CPM sledovat ve </w:t>
            </w:r>
            <w:r>
              <w:rPr>
                <w:sz w:val="22"/>
                <w:szCs w:val="22"/>
              </w:rPr>
              <w:t xml:space="preserve">fermentovaných pokrmech včetně pokrmů, které </w:t>
            </w:r>
            <w:r>
              <w:rPr>
                <w:sz w:val="22"/>
                <w:szCs w:val="22"/>
                <w:shd w:val="clear" w:color="auto" w:fill="FFFFFF"/>
              </w:rPr>
              <w:t>obsahují jako složku potraviny s kulturní mikroflórou a neprošly následnou tepelnou úpravou:</w:t>
            </w:r>
          </w:p>
          <w:p w14:paraId="39289245" w14:textId="77777777" w:rsidR="00AF3648" w:rsidRDefault="00AF3648" w:rsidP="006074F6">
            <w:pPr>
              <w:jc w:val="both"/>
              <w:rPr>
                <w:sz w:val="22"/>
                <w:szCs w:val="22"/>
                <w:shd w:val="clear" w:color="auto" w:fill="FFFFFF"/>
              </w:rPr>
            </w:pPr>
          </w:p>
          <w:p w14:paraId="358EC8DA" w14:textId="44B33852" w:rsidR="006074F6" w:rsidRDefault="006074F6" w:rsidP="006074F6">
            <w:pPr>
              <w:jc w:val="both"/>
              <w:rPr>
                <w:color w:val="000000"/>
                <w:sz w:val="22"/>
                <w:szCs w:val="22"/>
              </w:rPr>
            </w:pPr>
            <w:r>
              <w:rPr>
                <w:color w:val="000000"/>
                <w:sz w:val="22"/>
                <w:szCs w:val="22"/>
              </w:rPr>
              <w:lastRenderedPageBreak/>
              <w:t xml:space="preserve"> </w:t>
            </w:r>
            <w:r w:rsidR="0032767D">
              <w:rPr>
                <w:noProof/>
              </w:rPr>
              <w:drawing>
                <wp:inline distT="0" distB="0" distL="0" distR="0" wp14:anchorId="2A847E41" wp14:editId="37EC3CA2">
                  <wp:extent cx="3823335" cy="3816350"/>
                  <wp:effectExtent l="0" t="0" r="571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23335" cy="3816350"/>
                          </a:xfrm>
                          <a:prstGeom prst="rect">
                            <a:avLst/>
                          </a:prstGeom>
                        </pic:spPr>
                      </pic:pic>
                    </a:graphicData>
                  </a:graphic>
                </wp:inline>
              </w:drawing>
            </w:r>
          </w:p>
          <w:p w14:paraId="41BC2B03" w14:textId="77777777" w:rsidR="006074F6" w:rsidRDefault="006074F6" w:rsidP="006074F6">
            <w:pPr>
              <w:ind w:right="175"/>
              <w:contextualSpacing/>
              <w:jc w:val="both"/>
              <w:rPr>
                <w:color w:val="000000"/>
                <w:sz w:val="22"/>
                <w:szCs w:val="22"/>
                <w:highlight w:val="yellow"/>
              </w:rPr>
            </w:pPr>
          </w:p>
          <w:p w14:paraId="6F50D010" w14:textId="77777777" w:rsidR="006074F6" w:rsidRDefault="006074F6" w:rsidP="006074F6">
            <w:pPr>
              <w:ind w:right="175"/>
              <w:contextualSpacing/>
              <w:jc w:val="both"/>
              <w:rPr>
                <w:color w:val="000000"/>
                <w:sz w:val="22"/>
                <w:szCs w:val="22"/>
                <w:highlight w:val="yellow"/>
              </w:rPr>
            </w:pPr>
          </w:p>
          <w:p w14:paraId="09B03A0F" w14:textId="4EACF9AB" w:rsidR="00411217" w:rsidRPr="009B5969" w:rsidRDefault="00411217" w:rsidP="00082334">
            <w:pPr>
              <w:jc w:val="both"/>
              <w:rPr>
                <w:color w:val="000000"/>
                <w:sz w:val="22"/>
                <w:szCs w:val="22"/>
                <w:highlight w:val="yellow"/>
              </w:rPr>
            </w:pPr>
          </w:p>
        </w:tc>
      </w:tr>
      <w:tr w:rsidR="00EF7B6C" w:rsidRPr="006E08DC" w14:paraId="5B90A006" w14:textId="77777777" w:rsidTr="00E40E2E">
        <w:trPr>
          <w:trHeight w:val="1104"/>
        </w:trPr>
        <w:tc>
          <w:tcPr>
            <w:tcW w:w="2309" w:type="dxa"/>
            <w:tcBorders>
              <w:top w:val="single" w:sz="4" w:space="0" w:color="auto"/>
              <w:left w:val="single" w:sz="4" w:space="0" w:color="auto"/>
              <w:bottom w:val="single" w:sz="4" w:space="0" w:color="auto"/>
              <w:right w:val="single" w:sz="4" w:space="0" w:color="auto"/>
            </w:tcBorders>
          </w:tcPr>
          <w:p w14:paraId="249FBF6D" w14:textId="77777777" w:rsidR="00EF7B6C" w:rsidRDefault="00EF7B6C" w:rsidP="00EF7B6C">
            <w:pPr>
              <w:contextualSpacing/>
              <w:rPr>
                <w:sz w:val="22"/>
                <w:szCs w:val="22"/>
              </w:rPr>
            </w:pPr>
          </w:p>
          <w:p w14:paraId="1F7F7B36" w14:textId="77777777" w:rsidR="00EF7B6C" w:rsidRDefault="00EF7B6C" w:rsidP="00EF7B6C">
            <w:pPr>
              <w:contextualSpacing/>
              <w:rPr>
                <w:sz w:val="22"/>
                <w:szCs w:val="22"/>
              </w:rPr>
            </w:pPr>
            <w:r>
              <w:rPr>
                <w:sz w:val="22"/>
                <w:szCs w:val="22"/>
              </w:rPr>
              <w:t>Potravinářská komora ČR</w:t>
            </w:r>
          </w:p>
        </w:tc>
        <w:tc>
          <w:tcPr>
            <w:tcW w:w="5879" w:type="dxa"/>
            <w:tcBorders>
              <w:top w:val="single" w:sz="4" w:space="0" w:color="auto"/>
              <w:left w:val="single" w:sz="4" w:space="0" w:color="auto"/>
              <w:bottom w:val="single" w:sz="4" w:space="0" w:color="auto"/>
              <w:right w:val="single" w:sz="4" w:space="0" w:color="auto"/>
            </w:tcBorders>
          </w:tcPr>
          <w:p w14:paraId="78A68C72" w14:textId="77777777" w:rsidR="00EF7B6C" w:rsidRPr="00F67D4D" w:rsidRDefault="00EF7B6C" w:rsidP="00EF7B6C">
            <w:pPr>
              <w:ind w:right="141"/>
              <w:jc w:val="both"/>
              <w:rPr>
                <w:b/>
                <w:sz w:val="22"/>
                <w:szCs w:val="22"/>
              </w:rPr>
            </w:pPr>
            <w:r w:rsidRPr="00F67D4D">
              <w:rPr>
                <w:b/>
                <w:sz w:val="22"/>
                <w:szCs w:val="22"/>
              </w:rPr>
              <w:t>Konkrétní připomínky k vyhlášce:</w:t>
            </w:r>
          </w:p>
          <w:p w14:paraId="2866FCB5" w14:textId="77777777" w:rsidR="00EF7B6C" w:rsidRPr="00F67D4D" w:rsidRDefault="00EF7B6C" w:rsidP="00EF7B6C">
            <w:pPr>
              <w:widowControl w:val="0"/>
              <w:autoSpaceDE w:val="0"/>
              <w:autoSpaceDN w:val="0"/>
              <w:adjustRightInd w:val="0"/>
              <w:rPr>
                <w:b/>
                <w:sz w:val="22"/>
                <w:szCs w:val="22"/>
                <w:u w:val="single"/>
              </w:rPr>
            </w:pPr>
          </w:p>
          <w:p w14:paraId="11F97902" w14:textId="77777777" w:rsidR="00EF7B6C" w:rsidRPr="00F67D4D" w:rsidRDefault="00EF7B6C" w:rsidP="00EF7B6C">
            <w:pPr>
              <w:widowControl w:val="0"/>
              <w:autoSpaceDE w:val="0"/>
              <w:autoSpaceDN w:val="0"/>
              <w:adjustRightInd w:val="0"/>
              <w:rPr>
                <w:b/>
                <w:sz w:val="22"/>
                <w:szCs w:val="22"/>
                <w:u w:val="single"/>
              </w:rPr>
            </w:pPr>
            <w:r w:rsidRPr="00F67D4D">
              <w:rPr>
                <w:b/>
                <w:sz w:val="22"/>
                <w:szCs w:val="22"/>
                <w:u w:val="single"/>
              </w:rPr>
              <w:t>§ 2 – Způsob uvádění pokrmů na trh</w:t>
            </w:r>
          </w:p>
          <w:p w14:paraId="2AA3FF9E" w14:textId="77777777" w:rsidR="00EF7B6C" w:rsidRPr="00F67D4D" w:rsidRDefault="00EF7B6C" w:rsidP="00EF7B6C">
            <w:pPr>
              <w:widowControl w:val="0"/>
              <w:autoSpaceDE w:val="0"/>
              <w:autoSpaceDN w:val="0"/>
              <w:adjustRightInd w:val="0"/>
              <w:rPr>
                <w:b/>
                <w:bCs/>
                <w:sz w:val="22"/>
                <w:szCs w:val="22"/>
                <w:u w:val="single"/>
              </w:rPr>
            </w:pPr>
          </w:p>
          <w:p w14:paraId="70922B95" w14:textId="77777777" w:rsidR="00EF7B6C" w:rsidRPr="00F67D4D" w:rsidRDefault="00EF7B6C" w:rsidP="00EF7B6C">
            <w:pPr>
              <w:ind w:firstLine="567"/>
              <w:rPr>
                <w:sz w:val="22"/>
                <w:szCs w:val="22"/>
              </w:rPr>
            </w:pPr>
            <w:r w:rsidRPr="00F67D4D">
              <w:rPr>
                <w:bCs/>
                <w:sz w:val="22"/>
                <w:szCs w:val="22"/>
              </w:rPr>
              <w:t xml:space="preserve">K odstavci (5) </w:t>
            </w:r>
            <w:r w:rsidRPr="00F67D4D">
              <w:rPr>
                <w:i/>
                <w:iCs/>
                <w:sz w:val="22"/>
                <w:szCs w:val="22"/>
              </w:rPr>
              <w:t xml:space="preserve">Studené pokrmy, které mají charakter cukrářského nebo </w:t>
            </w:r>
            <w:r w:rsidRPr="00F67D4D">
              <w:rPr>
                <w:b/>
                <w:bCs/>
                <w:i/>
                <w:iCs/>
                <w:sz w:val="22"/>
                <w:szCs w:val="22"/>
              </w:rPr>
              <w:t>lahůdkářského výrobku</w:t>
            </w:r>
            <w:r w:rsidRPr="00F67D4D">
              <w:rPr>
                <w:i/>
                <w:iCs/>
                <w:sz w:val="22"/>
                <w:szCs w:val="22"/>
              </w:rPr>
              <w:t>, se uvádějí na trh při teplotách do + 8 °C.</w:t>
            </w:r>
          </w:p>
          <w:p w14:paraId="329EF581" w14:textId="77777777" w:rsidR="00EF7B6C" w:rsidRPr="00F67D4D" w:rsidRDefault="00EF7B6C" w:rsidP="00EF7B6C">
            <w:pPr>
              <w:ind w:firstLine="426"/>
              <w:contextualSpacing/>
              <w:jc w:val="both"/>
              <w:rPr>
                <w:b/>
                <w:bCs/>
                <w:sz w:val="22"/>
                <w:szCs w:val="22"/>
              </w:rPr>
            </w:pPr>
          </w:p>
          <w:p w14:paraId="173D31CE" w14:textId="77777777" w:rsidR="00EF7B6C" w:rsidRPr="00F67D4D" w:rsidRDefault="00EF7B6C" w:rsidP="00EF7B6C">
            <w:pPr>
              <w:widowControl w:val="0"/>
              <w:autoSpaceDE w:val="0"/>
              <w:autoSpaceDN w:val="0"/>
              <w:adjustRightInd w:val="0"/>
              <w:rPr>
                <w:bCs/>
                <w:sz w:val="22"/>
                <w:szCs w:val="22"/>
              </w:rPr>
            </w:pPr>
            <w:r w:rsidRPr="00DD382F">
              <w:rPr>
                <w:bCs/>
                <w:sz w:val="22"/>
                <w:szCs w:val="22"/>
              </w:rPr>
              <w:t>Spatřujeme nedostatek v chybějící definici lahůdkářského výrobk</w:t>
            </w:r>
            <w:r w:rsidRPr="009305FC">
              <w:rPr>
                <w:bCs/>
                <w:sz w:val="22"/>
                <w:szCs w:val="22"/>
              </w:rPr>
              <w:t>u.</w:t>
            </w:r>
            <w:r w:rsidRPr="00F67D4D">
              <w:rPr>
                <w:bCs/>
                <w:sz w:val="22"/>
                <w:szCs w:val="22"/>
              </w:rPr>
              <w:t xml:space="preserve"> </w:t>
            </w:r>
          </w:p>
          <w:p w14:paraId="21AC5A72" w14:textId="77777777" w:rsidR="00EF7B6C" w:rsidRDefault="00EF7B6C" w:rsidP="00EF7B6C">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6C167A23" w14:textId="77777777" w:rsidR="00EF7B6C" w:rsidRPr="00B73691" w:rsidRDefault="00EF7B6C" w:rsidP="00EF7B6C">
            <w:pPr>
              <w:ind w:right="175"/>
              <w:contextualSpacing/>
              <w:jc w:val="both"/>
              <w:rPr>
                <w:b/>
                <w:color w:val="000000"/>
                <w:sz w:val="22"/>
                <w:szCs w:val="22"/>
              </w:rPr>
            </w:pPr>
            <w:r w:rsidRPr="00B73691">
              <w:rPr>
                <w:b/>
                <w:color w:val="000000"/>
                <w:sz w:val="22"/>
                <w:szCs w:val="22"/>
              </w:rPr>
              <w:t>Vysvětleno.</w:t>
            </w:r>
          </w:p>
          <w:p w14:paraId="35588FCB" w14:textId="77777777" w:rsidR="00EF7B6C" w:rsidRDefault="00EF7B6C" w:rsidP="00EF7B6C">
            <w:pPr>
              <w:ind w:right="175"/>
              <w:contextualSpacing/>
              <w:jc w:val="both"/>
              <w:rPr>
                <w:color w:val="000000"/>
                <w:sz w:val="22"/>
                <w:szCs w:val="22"/>
              </w:rPr>
            </w:pPr>
            <w:r>
              <w:rPr>
                <w:color w:val="000000"/>
                <w:sz w:val="22"/>
                <w:szCs w:val="22"/>
              </w:rPr>
              <w:t>V II. návrhu vyhlášky nově přesunuto pod § 3.</w:t>
            </w:r>
          </w:p>
          <w:p w14:paraId="21913AFC" w14:textId="77777777" w:rsidR="00EF7B6C" w:rsidRPr="006E08DC" w:rsidRDefault="00EF7B6C" w:rsidP="00EF7B6C">
            <w:pPr>
              <w:ind w:right="175"/>
              <w:contextualSpacing/>
              <w:jc w:val="both"/>
              <w:rPr>
                <w:color w:val="000000"/>
                <w:sz w:val="22"/>
                <w:szCs w:val="22"/>
              </w:rPr>
            </w:pPr>
            <w:r w:rsidRPr="004F0460">
              <w:rPr>
                <w:color w:val="000000"/>
                <w:sz w:val="22"/>
                <w:szCs w:val="22"/>
              </w:rPr>
              <w:t>Lahůdkářský výrobek není nutno definovat, jedná se o obecně srozumitelný termín, jehož výklad nečiní dozorovým orgánům komplikace.</w:t>
            </w:r>
          </w:p>
        </w:tc>
      </w:tr>
      <w:tr w:rsidR="00EF7B6C" w:rsidRPr="006E08DC" w14:paraId="4525ACED" w14:textId="77777777" w:rsidTr="00E40E2E">
        <w:trPr>
          <w:trHeight w:val="1104"/>
        </w:trPr>
        <w:tc>
          <w:tcPr>
            <w:tcW w:w="2309" w:type="dxa"/>
            <w:tcBorders>
              <w:top w:val="single" w:sz="4" w:space="0" w:color="auto"/>
              <w:left w:val="single" w:sz="4" w:space="0" w:color="auto"/>
              <w:bottom w:val="single" w:sz="4" w:space="0" w:color="auto"/>
              <w:right w:val="single" w:sz="4" w:space="0" w:color="auto"/>
            </w:tcBorders>
          </w:tcPr>
          <w:p w14:paraId="5657F526" w14:textId="77777777" w:rsidR="00EF7B6C" w:rsidRDefault="00EF7B6C" w:rsidP="00EF7B6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07648D06" w14:textId="77777777" w:rsidR="00EF7B6C" w:rsidRDefault="00EF7B6C" w:rsidP="00EF7B6C">
            <w:pPr>
              <w:widowControl w:val="0"/>
              <w:autoSpaceDE w:val="0"/>
              <w:autoSpaceDN w:val="0"/>
              <w:adjustRightInd w:val="0"/>
              <w:rPr>
                <w:b/>
                <w:sz w:val="22"/>
                <w:szCs w:val="22"/>
                <w:u w:val="single"/>
              </w:rPr>
            </w:pPr>
            <w:r>
              <w:rPr>
                <w:b/>
                <w:sz w:val="22"/>
                <w:szCs w:val="22"/>
                <w:u w:val="single"/>
              </w:rPr>
              <w:t>§ 4 – Technologické požadavky na výrobu pokrmů</w:t>
            </w:r>
          </w:p>
          <w:p w14:paraId="3782C6F8" w14:textId="77777777" w:rsidR="00EF7B6C" w:rsidRPr="00A616F9" w:rsidRDefault="00EF7B6C" w:rsidP="00EF7B6C">
            <w:pPr>
              <w:widowControl w:val="0"/>
              <w:autoSpaceDE w:val="0"/>
              <w:autoSpaceDN w:val="0"/>
              <w:adjustRightInd w:val="0"/>
              <w:rPr>
                <w:b/>
                <w:bCs/>
                <w:sz w:val="21"/>
                <w:szCs w:val="21"/>
                <w:u w:val="single"/>
              </w:rPr>
            </w:pPr>
          </w:p>
          <w:p w14:paraId="2F17DCE1" w14:textId="77777777" w:rsidR="00EF7B6C" w:rsidRPr="004F0460" w:rsidRDefault="00EF7B6C" w:rsidP="00EF7B6C">
            <w:pPr>
              <w:ind w:firstLine="426"/>
              <w:contextualSpacing/>
              <w:jc w:val="both"/>
              <w:rPr>
                <w:b/>
                <w:bCs/>
                <w:sz w:val="21"/>
                <w:szCs w:val="21"/>
              </w:rPr>
            </w:pPr>
            <w:r w:rsidRPr="00A616F9">
              <w:rPr>
                <w:bCs/>
                <w:sz w:val="21"/>
                <w:szCs w:val="21"/>
              </w:rPr>
              <w:t xml:space="preserve">K odstavci (2) </w:t>
            </w:r>
            <w:r w:rsidRPr="00A616F9">
              <w:rPr>
                <w:i/>
                <w:iCs/>
                <w:sz w:val="21"/>
                <w:szCs w:val="21"/>
              </w:rPr>
              <w:t xml:space="preserve">K fritování lze použít pouze oleje a tuky, které jsou stabilní při vysokých teplotách, s číslem kyselosti nejvýše 0,6, bodem zakouření nejméně + 205 °C a peroxidovým číslem nejvýše 2 μmol (1/2 ROOH) / </w:t>
            </w:r>
            <w:r w:rsidRPr="004F0460">
              <w:rPr>
                <w:i/>
                <w:iCs/>
                <w:sz w:val="21"/>
                <w:szCs w:val="21"/>
              </w:rPr>
              <w:t xml:space="preserve">gram </w:t>
            </w:r>
            <w:r w:rsidRPr="004F0460">
              <w:rPr>
                <w:b/>
                <w:bCs/>
                <w:i/>
                <w:iCs/>
                <w:sz w:val="21"/>
                <w:szCs w:val="21"/>
              </w:rPr>
              <w:t>tuku.</w:t>
            </w:r>
          </w:p>
          <w:p w14:paraId="418173D6" w14:textId="77777777" w:rsidR="00EF7B6C" w:rsidRPr="004F0460" w:rsidRDefault="00EF7B6C" w:rsidP="00EF7B6C">
            <w:pPr>
              <w:widowControl w:val="0"/>
              <w:autoSpaceDE w:val="0"/>
              <w:autoSpaceDN w:val="0"/>
              <w:adjustRightInd w:val="0"/>
              <w:rPr>
                <w:b/>
                <w:sz w:val="22"/>
                <w:szCs w:val="22"/>
                <w:u w:val="single"/>
              </w:rPr>
            </w:pPr>
          </w:p>
          <w:p w14:paraId="1E45B941" w14:textId="77777777" w:rsidR="00EF7B6C" w:rsidRPr="004F0460" w:rsidRDefault="00EF7B6C" w:rsidP="00EF7B6C">
            <w:pPr>
              <w:ind w:right="283"/>
              <w:jc w:val="both"/>
              <w:rPr>
                <w:sz w:val="22"/>
                <w:szCs w:val="22"/>
                <w:u w:val="single"/>
              </w:rPr>
            </w:pPr>
            <w:r w:rsidRPr="004F0460">
              <w:rPr>
                <w:sz w:val="22"/>
                <w:szCs w:val="22"/>
                <w:u w:val="single"/>
              </w:rPr>
              <w:t xml:space="preserve">Odůvodnění: </w:t>
            </w:r>
          </w:p>
          <w:p w14:paraId="73E0A44A" w14:textId="77777777" w:rsidR="00EF7B6C" w:rsidRDefault="00EF7B6C" w:rsidP="00EF7B6C">
            <w:pPr>
              <w:ind w:right="283"/>
              <w:jc w:val="both"/>
              <w:rPr>
                <w:b/>
                <w:sz w:val="22"/>
                <w:szCs w:val="22"/>
                <w:u w:val="single"/>
              </w:rPr>
            </w:pPr>
            <w:r w:rsidRPr="004F0460">
              <w:rPr>
                <w:sz w:val="22"/>
                <w:szCs w:val="22"/>
              </w:rPr>
              <w:t>Tyto hodnoty (údaje) nejsou na etiketách olejů a tuků uváděny. Provozovatel stravovacího provozu tedy není schopen „identifikovat“, zda daný tuk, olej má dané hodnoty. Jak bude v praxi ze strany dozoru kontrolováno, že používaný tuk, olej splňuje tyto hodnoty? Výrobci olejů pak musí mít povinnost předat specifikace zpracovateli. Zpracovatel by nemohl použít oleje a tuky ve spotřebitelském balení.</w:t>
            </w:r>
          </w:p>
          <w:p w14:paraId="0C0B9522" w14:textId="77777777" w:rsidR="00EF7B6C" w:rsidRPr="00854611" w:rsidRDefault="00EF7B6C" w:rsidP="00EF7B6C">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168B455" w14:textId="7FC5E093" w:rsidR="00FD4968" w:rsidRPr="004F0460" w:rsidRDefault="004F0460" w:rsidP="00EF7B6C">
            <w:pPr>
              <w:ind w:right="175"/>
              <w:contextualSpacing/>
              <w:jc w:val="both"/>
              <w:rPr>
                <w:b/>
                <w:color w:val="000000"/>
                <w:sz w:val="22"/>
                <w:szCs w:val="22"/>
              </w:rPr>
            </w:pPr>
            <w:r w:rsidRPr="004F0460">
              <w:rPr>
                <w:b/>
                <w:color w:val="000000"/>
                <w:sz w:val="22"/>
                <w:szCs w:val="22"/>
              </w:rPr>
              <w:t>Akceptováno.</w:t>
            </w:r>
          </w:p>
          <w:p w14:paraId="23257C08" w14:textId="332399A9" w:rsidR="00FD4968" w:rsidRDefault="004F0460" w:rsidP="00FD4968">
            <w:pPr>
              <w:ind w:right="175"/>
              <w:contextualSpacing/>
              <w:jc w:val="both"/>
              <w:rPr>
                <w:color w:val="000000"/>
                <w:sz w:val="22"/>
                <w:szCs w:val="22"/>
              </w:rPr>
            </w:pPr>
            <w:r>
              <w:rPr>
                <w:color w:val="000000"/>
                <w:sz w:val="22"/>
                <w:szCs w:val="22"/>
              </w:rPr>
              <w:t>U</w:t>
            </w:r>
            <w:r w:rsidR="00FD4968">
              <w:rPr>
                <w:color w:val="000000"/>
                <w:sz w:val="22"/>
                <w:szCs w:val="22"/>
              </w:rPr>
              <w:t>stanovení § 2, odst. 2 bude vypuštěno.</w:t>
            </w:r>
          </w:p>
          <w:p w14:paraId="701401E4" w14:textId="77777777" w:rsidR="00FD4968" w:rsidRDefault="00FD4968" w:rsidP="00FD4968">
            <w:pPr>
              <w:ind w:right="175"/>
              <w:contextualSpacing/>
              <w:jc w:val="both"/>
              <w:rPr>
                <w:color w:val="000000"/>
                <w:sz w:val="22"/>
                <w:szCs w:val="22"/>
              </w:rPr>
            </w:pPr>
          </w:p>
          <w:p w14:paraId="336502B5" w14:textId="6B40A733" w:rsidR="00FD4968" w:rsidRPr="006E08DC" w:rsidRDefault="00FD4968" w:rsidP="00AF54D0">
            <w:pPr>
              <w:ind w:right="175"/>
              <w:contextualSpacing/>
              <w:jc w:val="both"/>
              <w:rPr>
                <w:color w:val="000000"/>
                <w:sz w:val="22"/>
                <w:szCs w:val="22"/>
              </w:rPr>
            </w:pPr>
          </w:p>
        </w:tc>
      </w:tr>
      <w:tr w:rsidR="00EF7B6C" w:rsidRPr="006E08DC" w14:paraId="21937FCA" w14:textId="77777777" w:rsidTr="00E40E2E">
        <w:trPr>
          <w:trHeight w:val="1104"/>
        </w:trPr>
        <w:tc>
          <w:tcPr>
            <w:tcW w:w="2309" w:type="dxa"/>
            <w:tcBorders>
              <w:top w:val="single" w:sz="4" w:space="0" w:color="auto"/>
              <w:left w:val="single" w:sz="4" w:space="0" w:color="auto"/>
              <w:bottom w:val="single" w:sz="4" w:space="0" w:color="auto"/>
              <w:right w:val="single" w:sz="4" w:space="0" w:color="auto"/>
            </w:tcBorders>
          </w:tcPr>
          <w:p w14:paraId="5167CB66" w14:textId="77777777" w:rsidR="00EF7B6C" w:rsidRDefault="00EF7B6C" w:rsidP="00EF7B6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15F2F6F4" w14:textId="77777777" w:rsidR="00EF7B6C" w:rsidRPr="00DD382F" w:rsidRDefault="00EF7B6C" w:rsidP="00EF7B6C">
            <w:pPr>
              <w:widowControl w:val="0"/>
              <w:autoSpaceDE w:val="0"/>
              <w:autoSpaceDN w:val="0"/>
              <w:adjustRightInd w:val="0"/>
              <w:rPr>
                <w:b/>
                <w:sz w:val="22"/>
                <w:szCs w:val="22"/>
                <w:u w:val="single"/>
              </w:rPr>
            </w:pPr>
            <w:r w:rsidRPr="00DD382F">
              <w:rPr>
                <w:b/>
                <w:sz w:val="22"/>
                <w:szCs w:val="22"/>
                <w:u w:val="single"/>
              </w:rPr>
              <w:t>§ 5 – Smyslové, fyzikální a chemické požadavky na bezpečnost pokrmů</w:t>
            </w:r>
          </w:p>
          <w:p w14:paraId="24F89B86" w14:textId="77777777" w:rsidR="00EF7B6C" w:rsidRPr="00DD382F" w:rsidRDefault="00EF7B6C" w:rsidP="00EF7B6C">
            <w:pPr>
              <w:widowControl w:val="0"/>
              <w:autoSpaceDE w:val="0"/>
              <w:autoSpaceDN w:val="0"/>
              <w:adjustRightInd w:val="0"/>
              <w:rPr>
                <w:b/>
                <w:bCs/>
                <w:sz w:val="22"/>
                <w:szCs w:val="22"/>
                <w:u w:val="single"/>
              </w:rPr>
            </w:pPr>
          </w:p>
          <w:p w14:paraId="707335F3" w14:textId="77777777" w:rsidR="00EF7B6C" w:rsidRPr="00DD382F" w:rsidRDefault="00EF7B6C" w:rsidP="00EF7B6C">
            <w:pPr>
              <w:ind w:firstLine="426"/>
              <w:contextualSpacing/>
              <w:jc w:val="both"/>
              <w:rPr>
                <w:sz w:val="21"/>
                <w:szCs w:val="21"/>
              </w:rPr>
            </w:pPr>
            <w:r w:rsidRPr="00DD382F">
              <w:rPr>
                <w:bCs/>
                <w:sz w:val="21"/>
                <w:szCs w:val="21"/>
              </w:rPr>
              <w:t xml:space="preserve">K odstavci (2) </w:t>
            </w:r>
            <w:r w:rsidRPr="00DD382F">
              <w:rPr>
                <w:i/>
                <w:iCs/>
                <w:sz w:val="21"/>
                <w:szCs w:val="21"/>
              </w:rPr>
              <w:t xml:space="preserve">Průběžná a pravidelná kontrola jednoho nebo více ukazatelů tepelného rozkladu olejů a tuků podle přílohy č. 2 k této vyhlášce musí být zajištěna smyslovým posouzením, </w:t>
            </w:r>
            <w:r w:rsidRPr="00DD382F">
              <w:rPr>
                <w:b/>
                <w:bCs/>
                <w:i/>
                <w:iCs/>
                <w:sz w:val="21"/>
                <w:szCs w:val="21"/>
              </w:rPr>
              <w:t>analytickými rychlotesty nebo laboratorními analýzami</w:t>
            </w:r>
            <w:r w:rsidRPr="00DD382F">
              <w:rPr>
                <w:i/>
                <w:iCs/>
                <w:sz w:val="21"/>
                <w:szCs w:val="21"/>
              </w:rPr>
              <w:t>, a to v průběhu tepelné úpravy pokrmu nebo před dalším použitím těchto olejů nebo tuků.</w:t>
            </w:r>
          </w:p>
          <w:p w14:paraId="0EE9960E" w14:textId="77777777" w:rsidR="00EF7B6C" w:rsidRPr="00DD382F" w:rsidRDefault="00EF7B6C" w:rsidP="00EF7B6C">
            <w:pPr>
              <w:widowControl w:val="0"/>
              <w:autoSpaceDE w:val="0"/>
              <w:autoSpaceDN w:val="0"/>
              <w:adjustRightInd w:val="0"/>
              <w:ind w:left="1080"/>
              <w:rPr>
                <w:b/>
                <w:bCs/>
                <w:sz w:val="22"/>
                <w:szCs w:val="22"/>
                <w:u w:val="single"/>
              </w:rPr>
            </w:pPr>
          </w:p>
          <w:p w14:paraId="322E446B" w14:textId="77777777" w:rsidR="00EF7B6C" w:rsidRPr="00DD382F" w:rsidRDefault="00EF7B6C" w:rsidP="00EF7B6C">
            <w:pPr>
              <w:pStyle w:val="Odstavecseseznamem"/>
              <w:spacing w:after="0" w:line="240" w:lineRule="auto"/>
              <w:ind w:left="0" w:right="283"/>
              <w:jc w:val="both"/>
              <w:rPr>
                <w:rFonts w:ascii="Arial" w:hAnsi="Arial" w:cs="Arial"/>
                <w:bCs/>
                <w:i/>
              </w:rPr>
            </w:pPr>
            <w:r w:rsidRPr="0083050B">
              <w:rPr>
                <w:rFonts w:ascii="Arial" w:hAnsi="Arial" w:cs="Arial"/>
                <w:bCs/>
              </w:rPr>
              <w:t>Navrhujeme upřesnit, o jaké analytické rychlotesty a laboratorní analýzy se konkrétně jedná.</w:t>
            </w:r>
            <w:r w:rsidRPr="00DD382F">
              <w:rPr>
                <w:rFonts w:ascii="Arial" w:hAnsi="Arial" w:cs="Arial"/>
                <w:bCs/>
              </w:rPr>
              <w:t xml:space="preserve"> </w:t>
            </w:r>
          </w:p>
          <w:p w14:paraId="34039297" w14:textId="77777777" w:rsidR="00EF7B6C" w:rsidRPr="00DD382F" w:rsidRDefault="00EF7B6C" w:rsidP="00EF7B6C">
            <w:pPr>
              <w:pStyle w:val="Zkladntext"/>
              <w:ind w:left="34"/>
              <w:contextualSpacing/>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73420879" w14:textId="5D716CED" w:rsidR="0083050B" w:rsidRPr="0083050B" w:rsidRDefault="0083050B" w:rsidP="0083050B">
            <w:pPr>
              <w:ind w:right="175"/>
              <w:contextualSpacing/>
              <w:jc w:val="both"/>
              <w:rPr>
                <w:b/>
                <w:color w:val="000000"/>
                <w:sz w:val="22"/>
                <w:szCs w:val="22"/>
              </w:rPr>
            </w:pPr>
            <w:r w:rsidRPr="0083050B">
              <w:rPr>
                <w:b/>
                <w:color w:val="000000"/>
                <w:sz w:val="22"/>
                <w:szCs w:val="22"/>
              </w:rPr>
              <w:t>Vysvětleno.</w:t>
            </w:r>
          </w:p>
          <w:p w14:paraId="430A03B9" w14:textId="77777777" w:rsidR="00EF7B6C" w:rsidRDefault="00EF7B6C" w:rsidP="00EF7B6C">
            <w:pPr>
              <w:ind w:right="175"/>
              <w:contextualSpacing/>
              <w:jc w:val="both"/>
              <w:rPr>
                <w:color w:val="000000"/>
                <w:sz w:val="22"/>
                <w:szCs w:val="22"/>
              </w:rPr>
            </w:pPr>
            <w:r>
              <w:rPr>
                <w:color w:val="000000"/>
                <w:sz w:val="22"/>
                <w:szCs w:val="22"/>
              </w:rPr>
              <w:t>V II. návrhu vyhlášky nově přesunuto pod § 4.</w:t>
            </w:r>
          </w:p>
          <w:p w14:paraId="723DAE17" w14:textId="77777777" w:rsidR="0098225D" w:rsidRDefault="0098225D" w:rsidP="00EF7B6C">
            <w:pPr>
              <w:ind w:right="175"/>
              <w:contextualSpacing/>
              <w:jc w:val="both"/>
              <w:rPr>
                <w:color w:val="000000"/>
                <w:sz w:val="22"/>
                <w:szCs w:val="22"/>
              </w:rPr>
            </w:pPr>
          </w:p>
          <w:p w14:paraId="081B7CE8" w14:textId="3F35F4D9" w:rsidR="0098225D" w:rsidRPr="006E08DC" w:rsidRDefault="0098225D" w:rsidP="00EA6684">
            <w:pPr>
              <w:ind w:right="175"/>
              <w:contextualSpacing/>
              <w:jc w:val="both"/>
              <w:rPr>
                <w:color w:val="000000"/>
                <w:sz w:val="22"/>
                <w:szCs w:val="22"/>
              </w:rPr>
            </w:pPr>
            <w:r>
              <w:rPr>
                <w:color w:val="000000"/>
                <w:sz w:val="22"/>
                <w:szCs w:val="22"/>
              </w:rPr>
              <w:t>Vhodnými analytickými rychlo</w:t>
            </w:r>
            <w:bookmarkStart w:id="0" w:name="_GoBack"/>
            <w:bookmarkEnd w:id="0"/>
            <w:r>
              <w:rPr>
                <w:color w:val="000000"/>
                <w:sz w:val="22"/>
                <w:szCs w:val="22"/>
              </w:rPr>
              <w:t>testy a laboratorními analýzami mohou být obecně testy a analýzy, které umožňují stanovit analytické ukazatele tepelného rozkladu, jež jsou stanoveny ve vyhlášce: obsah polárních látek a polymerních triacylglycerolů.</w:t>
            </w:r>
          </w:p>
        </w:tc>
      </w:tr>
      <w:tr w:rsidR="00EF7B6C" w:rsidRPr="006E08DC" w14:paraId="09740D66" w14:textId="77777777" w:rsidTr="00E40E2E">
        <w:trPr>
          <w:trHeight w:val="1104"/>
        </w:trPr>
        <w:tc>
          <w:tcPr>
            <w:tcW w:w="2309" w:type="dxa"/>
            <w:tcBorders>
              <w:top w:val="single" w:sz="4" w:space="0" w:color="auto"/>
              <w:left w:val="single" w:sz="4" w:space="0" w:color="auto"/>
              <w:bottom w:val="single" w:sz="4" w:space="0" w:color="auto"/>
              <w:right w:val="single" w:sz="4" w:space="0" w:color="auto"/>
            </w:tcBorders>
          </w:tcPr>
          <w:p w14:paraId="329A2201" w14:textId="77777777" w:rsidR="00EF7B6C" w:rsidRDefault="00EF7B6C" w:rsidP="00EF7B6C">
            <w:pPr>
              <w:contextualSpacing/>
              <w:rPr>
                <w:sz w:val="22"/>
                <w:szCs w:val="22"/>
              </w:rPr>
            </w:pPr>
          </w:p>
        </w:tc>
        <w:tc>
          <w:tcPr>
            <w:tcW w:w="5879" w:type="dxa"/>
            <w:tcBorders>
              <w:top w:val="single" w:sz="4" w:space="0" w:color="auto"/>
              <w:left w:val="single" w:sz="4" w:space="0" w:color="auto"/>
              <w:bottom w:val="single" w:sz="4" w:space="0" w:color="auto"/>
              <w:right w:val="single" w:sz="4" w:space="0" w:color="auto"/>
            </w:tcBorders>
          </w:tcPr>
          <w:p w14:paraId="5E174DFD" w14:textId="77777777" w:rsidR="00EF7B6C" w:rsidRPr="00DD382F" w:rsidRDefault="00EF7B6C" w:rsidP="00EF7B6C">
            <w:pPr>
              <w:widowControl w:val="0"/>
              <w:autoSpaceDE w:val="0"/>
              <w:autoSpaceDN w:val="0"/>
              <w:adjustRightInd w:val="0"/>
              <w:jc w:val="both"/>
              <w:rPr>
                <w:b/>
                <w:sz w:val="22"/>
                <w:szCs w:val="22"/>
                <w:u w:val="single"/>
              </w:rPr>
            </w:pPr>
            <w:r w:rsidRPr="00DD382F">
              <w:rPr>
                <w:b/>
                <w:sz w:val="22"/>
                <w:szCs w:val="22"/>
                <w:u w:val="single"/>
              </w:rPr>
              <w:t>Příloha č. 2 k vyhlášce – Ukazatele tepelného rozkladu olejů a tuků</w:t>
            </w:r>
          </w:p>
          <w:p w14:paraId="3F17C3A5" w14:textId="77777777" w:rsidR="00EF7B6C" w:rsidRPr="00DD382F" w:rsidRDefault="00EF7B6C" w:rsidP="00EF7B6C">
            <w:pPr>
              <w:widowControl w:val="0"/>
              <w:autoSpaceDE w:val="0"/>
              <w:autoSpaceDN w:val="0"/>
              <w:adjustRightInd w:val="0"/>
              <w:jc w:val="both"/>
              <w:rPr>
                <w:b/>
                <w:sz w:val="22"/>
                <w:szCs w:val="22"/>
                <w:u w:val="single"/>
              </w:rPr>
            </w:pPr>
          </w:p>
          <w:p w14:paraId="0DB95787" w14:textId="509D2BC9" w:rsidR="00EF7B6C" w:rsidRPr="00DD382F" w:rsidRDefault="00EF7B6C" w:rsidP="00EF7B6C">
            <w:pPr>
              <w:widowControl w:val="0"/>
              <w:autoSpaceDE w:val="0"/>
              <w:autoSpaceDN w:val="0"/>
              <w:adjustRightInd w:val="0"/>
              <w:jc w:val="both"/>
              <w:rPr>
                <w:bCs/>
                <w:sz w:val="22"/>
                <w:szCs w:val="22"/>
              </w:rPr>
            </w:pPr>
            <w:r w:rsidRPr="00DD382F">
              <w:rPr>
                <w:bCs/>
                <w:sz w:val="22"/>
                <w:szCs w:val="22"/>
              </w:rPr>
              <w:t>Navrhujeme dopln</w:t>
            </w:r>
            <w:r w:rsidR="0083050B">
              <w:rPr>
                <w:bCs/>
                <w:sz w:val="22"/>
                <w:szCs w:val="22"/>
              </w:rPr>
              <w:t>it do tabulky výraz „fritovat“.</w:t>
            </w:r>
          </w:p>
          <w:p w14:paraId="1A5F8D91" w14:textId="77777777" w:rsidR="00EF7B6C" w:rsidRPr="00DD382F" w:rsidRDefault="00EF7B6C" w:rsidP="00EF7B6C">
            <w:pPr>
              <w:widowControl w:val="0"/>
              <w:autoSpaceDE w:val="0"/>
              <w:autoSpaceDN w:val="0"/>
              <w:adjustRightInd w:val="0"/>
              <w:rPr>
                <w:b/>
                <w:sz w:val="22"/>
                <w:szCs w:val="22"/>
                <w:u w:val="single"/>
              </w:rPr>
            </w:pPr>
          </w:p>
        </w:tc>
        <w:tc>
          <w:tcPr>
            <w:tcW w:w="6237" w:type="dxa"/>
            <w:tcBorders>
              <w:top w:val="single" w:sz="4" w:space="0" w:color="auto"/>
              <w:left w:val="single" w:sz="4" w:space="0" w:color="auto"/>
              <w:bottom w:val="single" w:sz="4" w:space="0" w:color="auto"/>
              <w:right w:val="single" w:sz="4" w:space="0" w:color="auto"/>
            </w:tcBorders>
          </w:tcPr>
          <w:p w14:paraId="4D736D09" w14:textId="602ADB64" w:rsidR="002E680A" w:rsidRDefault="002E680A" w:rsidP="00EF539F">
            <w:pPr>
              <w:contextualSpacing/>
              <w:jc w:val="both"/>
              <w:rPr>
                <w:sz w:val="22"/>
                <w:szCs w:val="22"/>
              </w:rPr>
            </w:pPr>
            <w:r w:rsidRPr="007B2790">
              <w:rPr>
                <w:b/>
                <w:color w:val="000000"/>
                <w:sz w:val="22"/>
                <w:szCs w:val="22"/>
              </w:rPr>
              <w:t>Akceptováno.</w:t>
            </w:r>
          </w:p>
          <w:p w14:paraId="1B7C18A0" w14:textId="14058344" w:rsidR="00EF539F" w:rsidRPr="00D43011" w:rsidRDefault="00EF539F" w:rsidP="00EF539F">
            <w:pPr>
              <w:contextualSpacing/>
              <w:jc w:val="both"/>
              <w:rPr>
                <w:sz w:val="22"/>
                <w:szCs w:val="22"/>
              </w:rPr>
            </w:pPr>
            <w:r w:rsidRPr="00D43011">
              <w:rPr>
                <w:sz w:val="22"/>
                <w:szCs w:val="22"/>
              </w:rPr>
              <w:t>V II. návrhu vyhlášk</w:t>
            </w:r>
            <w:r>
              <w:rPr>
                <w:sz w:val="22"/>
                <w:szCs w:val="22"/>
              </w:rPr>
              <w:t>y nově přesunuto pod Přílohu č.</w:t>
            </w:r>
            <w:r w:rsidR="00C677FE">
              <w:rPr>
                <w:sz w:val="22"/>
                <w:szCs w:val="22"/>
              </w:rPr>
              <w:t xml:space="preserve"> </w:t>
            </w:r>
            <w:r>
              <w:rPr>
                <w:sz w:val="22"/>
                <w:szCs w:val="22"/>
              </w:rPr>
              <w:t>1</w:t>
            </w:r>
            <w:r w:rsidRPr="00D43011">
              <w:rPr>
                <w:sz w:val="22"/>
                <w:szCs w:val="22"/>
              </w:rPr>
              <w:t>.</w:t>
            </w:r>
          </w:p>
          <w:p w14:paraId="5BA3A68C" w14:textId="77777777" w:rsidR="00EF539F" w:rsidRDefault="00EF539F" w:rsidP="00EF7B6C">
            <w:pPr>
              <w:ind w:right="175"/>
              <w:contextualSpacing/>
              <w:jc w:val="both"/>
              <w:rPr>
                <w:b/>
                <w:color w:val="000000"/>
                <w:sz w:val="22"/>
                <w:szCs w:val="22"/>
              </w:rPr>
            </w:pPr>
          </w:p>
          <w:p w14:paraId="30392639" w14:textId="77777777" w:rsidR="00EF539F" w:rsidRDefault="00EF539F" w:rsidP="00EF7B6C">
            <w:pPr>
              <w:ind w:right="175"/>
              <w:contextualSpacing/>
              <w:jc w:val="both"/>
              <w:rPr>
                <w:b/>
                <w:color w:val="000000"/>
                <w:sz w:val="22"/>
                <w:szCs w:val="22"/>
              </w:rPr>
            </w:pPr>
          </w:p>
          <w:p w14:paraId="5EC6BE01" w14:textId="672F8576" w:rsidR="00EF7B6C" w:rsidRPr="007B2790" w:rsidRDefault="00EF7B6C" w:rsidP="00EF7B6C">
            <w:pPr>
              <w:ind w:right="175"/>
              <w:contextualSpacing/>
              <w:jc w:val="both"/>
              <w:rPr>
                <w:b/>
                <w:color w:val="000000"/>
                <w:sz w:val="22"/>
                <w:szCs w:val="22"/>
              </w:rPr>
            </w:pPr>
          </w:p>
        </w:tc>
      </w:tr>
    </w:tbl>
    <w:p w14:paraId="4432BE26" w14:textId="77777777" w:rsidR="00F67D4D" w:rsidRPr="00142CBB" w:rsidRDefault="00F67D4D" w:rsidP="00142CBB">
      <w:pPr>
        <w:ind w:left="284" w:hanging="284"/>
        <w:jc w:val="both"/>
        <w:rPr>
          <w:b/>
          <w:sz w:val="22"/>
          <w:szCs w:val="22"/>
        </w:rPr>
      </w:pPr>
    </w:p>
    <w:sectPr w:rsidR="00F67D4D" w:rsidRPr="00142CBB" w:rsidSect="002739F3">
      <w:footerReference w:type="default" r:id="rId12"/>
      <w:type w:val="continuous"/>
      <w:pgSz w:w="16838" w:h="11906" w:orient="landscape"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1AFBE" w14:textId="77777777" w:rsidR="002369BC" w:rsidRDefault="002369BC">
      <w:r>
        <w:separator/>
      </w:r>
    </w:p>
  </w:endnote>
  <w:endnote w:type="continuationSeparator" w:id="0">
    <w:p w14:paraId="3A1B57E8" w14:textId="77777777" w:rsidR="002369BC" w:rsidRDefault="0023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59262" w14:textId="44C007D0" w:rsidR="003B7968" w:rsidRDefault="003B79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A6684">
      <w:rPr>
        <w:rStyle w:val="slostrnky"/>
        <w:noProof/>
      </w:rPr>
      <w:t>25</w:t>
    </w:r>
    <w:r>
      <w:rPr>
        <w:rStyle w:val="slostrnky"/>
      </w:rPr>
      <w:fldChar w:fldCharType="end"/>
    </w:r>
  </w:p>
  <w:p w14:paraId="197DB0BD" w14:textId="77777777" w:rsidR="003B7968" w:rsidRDefault="003B7968">
    <w:pPr>
      <w:pStyle w:val="Zpat"/>
      <w:framePr w:wrap="around" w:vAnchor="text" w:hAnchor="margin" w:xAlign="right" w:y="1"/>
      <w:ind w:right="360"/>
      <w:rPr>
        <w:rStyle w:val="slostrnky"/>
      </w:rPr>
    </w:pPr>
  </w:p>
  <w:p w14:paraId="05F21529" w14:textId="77777777" w:rsidR="003B7968" w:rsidRDefault="003B7968">
    <w:pPr>
      <w:pStyle w:val="Zpat"/>
      <w:framePr w:wrap="auto" w:vAnchor="text" w:hAnchor="margin" w:xAlign="center" w:y="1"/>
      <w:ind w:right="360"/>
      <w:rPr>
        <w:rStyle w:val="slostrnky"/>
      </w:rPr>
    </w:pPr>
  </w:p>
  <w:p w14:paraId="450A77A6" w14:textId="77777777" w:rsidR="005F57B1" w:rsidRDefault="005F57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6350B" w14:textId="77777777" w:rsidR="002369BC" w:rsidRDefault="002369BC">
      <w:r>
        <w:separator/>
      </w:r>
    </w:p>
  </w:footnote>
  <w:footnote w:type="continuationSeparator" w:id="0">
    <w:p w14:paraId="59F577D9" w14:textId="77777777" w:rsidR="002369BC" w:rsidRDefault="00236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4A28"/>
    <w:multiLevelType w:val="hybridMultilevel"/>
    <w:tmpl w:val="642698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4282A"/>
    <w:multiLevelType w:val="hybridMultilevel"/>
    <w:tmpl w:val="F9D2771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73D61BD"/>
    <w:multiLevelType w:val="hybridMultilevel"/>
    <w:tmpl w:val="F162D3BC"/>
    <w:lvl w:ilvl="0" w:tplc="703AFBE0">
      <w:start w:val="1"/>
      <w:numFmt w:val="decimal"/>
      <w:lvlText w:val="%1."/>
      <w:lvlJc w:val="left"/>
      <w:pPr>
        <w:tabs>
          <w:tab w:val="num" w:pos="720"/>
        </w:tabs>
        <w:ind w:left="720" w:hanging="360"/>
      </w:pPr>
      <w:rPr>
        <w:b w:val="0"/>
        <w:b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E132385"/>
    <w:multiLevelType w:val="hybridMultilevel"/>
    <w:tmpl w:val="BC56B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35586"/>
    <w:multiLevelType w:val="hybridMultilevel"/>
    <w:tmpl w:val="6C8823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492DDA"/>
    <w:multiLevelType w:val="hybridMultilevel"/>
    <w:tmpl w:val="8B1C517E"/>
    <w:lvl w:ilvl="0" w:tplc="8CC6231E">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49742E"/>
    <w:multiLevelType w:val="hybridMultilevel"/>
    <w:tmpl w:val="BB7E7010"/>
    <w:lvl w:ilvl="0" w:tplc="16C0167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FD6802"/>
    <w:multiLevelType w:val="hybridMultilevel"/>
    <w:tmpl w:val="907414BA"/>
    <w:lvl w:ilvl="0" w:tplc="B48498E0">
      <w:start w:val="8"/>
      <w:numFmt w:val="bullet"/>
      <w:lvlText w:val="-"/>
      <w:lvlJc w:val="left"/>
      <w:pPr>
        <w:tabs>
          <w:tab w:val="num" w:pos="1380"/>
        </w:tabs>
        <w:ind w:left="1380" w:hanging="360"/>
      </w:pPr>
      <w:rPr>
        <w:rFonts w:ascii="Times New Roman" w:eastAsia="Times New Roman" w:hAnsi="Times New Roman" w:hint="default"/>
      </w:rPr>
    </w:lvl>
    <w:lvl w:ilvl="1" w:tplc="0405000F">
      <w:start w:val="1"/>
      <w:numFmt w:val="decimal"/>
      <w:lvlText w:val="%2."/>
      <w:lvlJc w:val="left"/>
      <w:pPr>
        <w:tabs>
          <w:tab w:val="num" w:pos="1440"/>
        </w:tabs>
        <w:ind w:left="1440" w:hanging="360"/>
      </w:pPr>
      <w:rPr>
        <w:rFonts w:hint="default"/>
      </w:rPr>
    </w:lvl>
    <w:lvl w:ilvl="2" w:tplc="8A567AB0">
      <w:start w:val="1"/>
      <w:numFmt w:val="upperRoman"/>
      <w:lvlText w:val="%3."/>
      <w:lvlJc w:val="left"/>
      <w:pPr>
        <w:tabs>
          <w:tab w:val="num" w:pos="2520"/>
        </w:tabs>
        <w:ind w:left="2520" w:hanging="720"/>
      </w:pPr>
      <w:rPr>
        <w:rFont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0156C31"/>
    <w:multiLevelType w:val="hybridMultilevel"/>
    <w:tmpl w:val="D374A78A"/>
    <w:lvl w:ilvl="0" w:tplc="01881B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C1735"/>
    <w:multiLevelType w:val="hybridMultilevel"/>
    <w:tmpl w:val="FF3E70B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7CB5445"/>
    <w:multiLevelType w:val="hybridMultilevel"/>
    <w:tmpl w:val="866C4056"/>
    <w:lvl w:ilvl="0" w:tplc="A76416E6">
      <w:start w:val="1"/>
      <w:numFmt w:val="lowerRoman"/>
      <w:lvlText w:val="%1)"/>
      <w:lvlJc w:val="left"/>
      <w:pPr>
        <w:ind w:left="1080" w:hanging="72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51675E"/>
    <w:multiLevelType w:val="hybridMultilevel"/>
    <w:tmpl w:val="E752C566"/>
    <w:lvl w:ilvl="0" w:tplc="428A385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631660"/>
    <w:multiLevelType w:val="hybridMultilevel"/>
    <w:tmpl w:val="07EC3890"/>
    <w:lvl w:ilvl="0" w:tplc="C1FA05D4">
      <w:start w:val="2"/>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3" w15:restartNumberingAfterBreak="0">
    <w:nsid w:val="29473DAB"/>
    <w:multiLevelType w:val="hybridMultilevel"/>
    <w:tmpl w:val="35849396"/>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4" w15:restartNumberingAfterBreak="0">
    <w:nsid w:val="2E814B08"/>
    <w:multiLevelType w:val="hybridMultilevel"/>
    <w:tmpl w:val="70F4C34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4A5D1E"/>
    <w:multiLevelType w:val="hybridMultilevel"/>
    <w:tmpl w:val="0414B8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6F4C77"/>
    <w:multiLevelType w:val="hybridMultilevel"/>
    <w:tmpl w:val="17A69366"/>
    <w:lvl w:ilvl="0" w:tplc="FFFFFFFF">
      <w:start w:val="1"/>
      <w:numFmt w:val="decimal"/>
      <w:pStyle w:val="Pipomnkovlist-slovan"/>
      <w:lvlText w:val="%1."/>
      <w:lvlJc w:val="left"/>
      <w:pPr>
        <w:ind w:left="360" w:hanging="360"/>
      </w:pPr>
    </w:lvl>
    <w:lvl w:ilvl="1" w:tplc="FFFFFFFF">
      <w:start w:val="1"/>
      <w:numFmt w:val="lowerLetter"/>
      <w:lvlText w:val="%2."/>
      <w:lvlJc w:val="left"/>
      <w:pPr>
        <w:ind w:left="108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2BC25A0"/>
    <w:multiLevelType w:val="hybridMultilevel"/>
    <w:tmpl w:val="E9FAB7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6C34A3"/>
    <w:multiLevelType w:val="hybridMultilevel"/>
    <w:tmpl w:val="2D50B66E"/>
    <w:lvl w:ilvl="0" w:tplc="B48498E0">
      <w:start w:val="8"/>
      <w:numFmt w:val="bullet"/>
      <w:lvlText w:val="-"/>
      <w:lvlJc w:val="left"/>
      <w:pPr>
        <w:tabs>
          <w:tab w:val="num" w:pos="1380"/>
        </w:tabs>
        <w:ind w:left="138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CB93CA3"/>
    <w:multiLevelType w:val="hybridMultilevel"/>
    <w:tmpl w:val="AC0CBF68"/>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0" w15:restartNumberingAfterBreak="0">
    <w:nsid w:val="413B3310"/>
    <w:multiLevelType w:val="hybridMultilevel"/>
    <w:tmpl w:val="16D687D6"/>
    <w:lvl w:ilvl="0" w:tplc="7F3809D2">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3361C8"/>
    <w:multiLevelType w:val="hybridMultilevel"/>
    <w:tmpl w:val="F072D2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41052C"/>
    <w:multiLevelType w:val="hybridMultilevel"/>
    <w:tmpl w:val="07EC3890"/>
    <w:lvl w:ilvl="0" w:tplc="C1FA05D4">
      <w:start w:val="2"/>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3" w15:restartNumberingAfterBreak="0">
    <w:nsid w:val="4BD85044"/>
    <w:multiLevelType w:val="hybridMultilevel"/>
    <w:tmpl w:val="286050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67812CE"/>
    <w:multiLevelType w:val="hybridMultilevel"/>
    <w:tmpl w:val="17927F30"/>
    <w:lvl w:ilvl="0" w:tplc="0405000F">
      <w:start w:val="1"/>
      <w:numFmt w:val="decimal"/>
      <w:lvlText w:val="%1."/>
      <w:lvlJc w:val="left"/>
      <w:pPr>
        <w:tabs>
          <w:tab w:val="num" w:pos="720"/>
        </w:tabs>
        <w:ind w:left="720" w:hanging="360"/>
      </w:pPr>
    </w:lvl>
    <w:lvl w:ilvl="1" w:tplc="B48498E0">
      <w:start w:val="8"/>
      <w:numFmt w:val="bullet"/>
      <w:lvlText w:val="-"/>
      <w:lvlJc w:val="left"/>
      <w:pPr>
        <w:tabs>
          <w:tab w:val="num" w:pos="1440"/>
        </w:tabs>
        <w:ind w:left="1440" w:hanging="360"/>
      </w:pPr>
      <w:rPr>
        <w:rFonts w:ascii="Times New Roman" w:eastAsia="Times New Roman" w:hAnsi="Times New Roman" w:hint="default"/>
      </w:rPr>
    </w:lvl>
    <w:lvl w:ilvl="2" w:tplc="0405000F">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5C5D157D"/>
    <w:multiLevelType w:val="hybridMultilevel"/>
    <w:tmpl w:val="61346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301A3A"/>
    <w:multiLevelType w:val="hybridMultilevel"/>
    <w:tmpl w:val="71D44CE6"/>
    <w:lvl w:ilvl="0" w:tplc="A9F25126">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4E1CE4"/>
    <w:multiLevelType w:val="hybridMultilevel"/>
    <w:tmpl w:val="0C30006A"/>
    <w:lvl w:ilvl="0" w:tplc="F226662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A7688C"/>
    <w:multiLevelType w:val="hybridMultilevel"/>
    <w:tmpl w:val="EA3200E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17D563B"/>
    <w:multiLevelType w:val="hybridMultilevel"/>
    <w:tmpl w:val="4F40D71A"/>
    <w:lvl w:ilvl="0" w:tplc="44A82F26">
      <w:start w:val="8"/>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5D73F64"/>
    <w:multiLevelType w:val="hybridMultilevel"/>
    <w:tmpl w:val="49E2F5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AB3370"/>
    <w:multiLevelType w:val="hybridMultilevel"/>
    <w:tmpl w:val="230E3D62"/>
    <w:lvl w:ilvl="0" w:tplc="0405000F">
      <w:start w:val="1"/>
      <w:numFmt w:val="decimal"/>
      <w:lvlText w:val="%1."/>
      <w:lvlJc w:val="left"/>
      <w:pPr>
        <w:tabs>
          <w:tab w:val="num" w:pos="780"/>
        </w:tabs>
        <w:ind w:left="780" w:hanging="360"/>
      </w:pPr>
    </w:lvl>
    <w:lvl w:ilvl="1" w:tplc="1122A2DC">
      <w:start w:val="13"/>
      <w:numFmt w:val="decimal"/>
      <w:lvlText w:val="%2."/>
      <w:lvlJc w:val="left"/>
      <w:pPr>
        <w:tabs>
          <w:tab w:val="num" w:pos="1500"/>
        </w:tabs>
        <w:ind w:left="1500" w:hanging="360"/>
      </w:pPr>
      <w:rPr>
        <w:rFonts w:hint="default"/>
        <w:b w:val="0"/>
        <w:i w:val="0"/>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2" w15:restartNumberingAfterBreak="0">
    <w:nsid w:val="758716AC"/>
    <w:multiLevelType w:val="hybridMultilevel"/>
    <w:tmpl w:val="53380A2E"/>
    <w:lvl w:ilvl="0" w:tplc="229E6D6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5"/>
  </w:num>
  <w:num w:numId="3">
    <w:abstractNumId w:val="28"/>
  </w:num>
  <w:num w:numId="4">
    <w:abstractNumId w:val="1"/>
  </w:num>
  <w:num w:numId="5">
    <w:abstractNumId w:val="17"/>
  </w:num>
  <w:num w:numId="6">
    <w:abstractNumId w:val="24"/>
  </w:num>
  <w:num w:numId="7">
    <w:abstractNumId w:val="18"/>
  </w:num>
  <w:num w:numId="8">
    <w:abstractNumId w:val="7"/>
  </w:num>
  <w:num w:numId="9">
    <w:abstractNumId w:val="2"/>
  </w:num>
  <w:num w:numId="10">
    <w:abstractNumId w:val="9"/>
  </w:num>
  <w:num w:numId="11">
    <w:abstractNumId w:val="23"/>
  </w:num>
  <w:num w:numId="12">
    <w:abstractNumId w:val="4"/>
  </w:num>
  <w:num w:numId="13">
    <w:abstractNumId w:val="15"/>
  </w:num>
  <w:num w:numId="14">
    <w:abstractNumId w:val="30"/>
  </w:num>
  <w:num w:numId="15">
    <w:abstractNumId w:val="31"/>
  </w:num>
  <w:num w:numId="16">
    <w:abstractNumId w:val="29"/>
  </w:num>
  <w:num w:numId="17">
    <w:abstractNumId w:val="3"/>
  </w:num>
  <w:num w:numId="18">
    <w:abstractNumId w:val="13"/>
  </w:num>
  <w:num w:numId="19">
    <w:abstractNumId w:val="16"/>
  </w:num>
  <w:num w:numId="20">
    <w:abstractNumId w:val="21"/>
  </w:num>
  <w:num w:numId="21">
    <w:abstractNumId w:val="8"/>
  </w:num>
  <w:num w:numId="22">
    <w:abstractNumId w:val="0"/>
  </w:num>
  <w:num w:numId="23">
    <w:abstractNumId w:val="32"/>
  </w:num>
  <w:num w:numId="24">
    <w:abstractNumId w:val="25"/>
  </w:num>
  <w:num w:numId="25">
    <w:abstractNumId w:val="26"/>
  </w:num>
  <w:num w:numId="26">
    <w:abstractNumId w:val="19"/>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2"/>
  </w:num>
  <w:num w:numId="31">
    <w:abstractNumId w:val="10"/>
  </w:num>
  <w:num w:numId="32">
    <w:abstractNumId w:val="20"/>
  </w:num>
  <w:num w:numId="33">
    <w:abstractNumId w:val="27"/>
  </w:num>
  <w:num w:numId="34">
    <w:abstractNumId w:val="1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7A"/>
    <w:rsid w:val="00002887"/>
    <w:rsid w:val="00003320"/>
    <w:rsid w:val="00003645"/>
    <w:rsid w:val="000046AB"/>
    <w:rsid w:val="000063D7"/>
    <w:rsid w:val="00006A82"/>
    <w:rsid w:val="00010873"/>
    <w:rsid w:val="000152BE"/>
    <w:rsid w:val="00015A6A"/>
    <w:rsid w:val="00016A1C"/>
    <w:rsid w:val="00016DFD"/>
    <w:rsid w:val="000208AD"/>
    <w:rsid w:val="00020C68"/>
    <w:rsid w:val="0002180E"/>
    <w:rsid w:val="000237B6"/>
    <w:rsid w:val="00023E45"/>
    <w:rsid w:val="00026124"/>
    <w:rsid w:val="000278A7"/>
    <w:rsid w:val="00027A4A"/>
    <w:rsid w:val="000316C5"/>
    <w:rsid w:val="00031A44"/>
    <w:rsid w:val="0003294F"/>
    <w:rsid w:val="00035379"/>
    <w:rsid w:val="00035AC9"/>
    <w:rsid w:val="00041B8B"/>
    <w:rsid w:val="00044669"/>
    <w:rsid w:val="00045159"/>
    <w:rsid w:val="00045599"/>
    <w:rsid w:val="00047252"/>
    <w:rsid w:val="00047D8B"/>
    <w:rsid w:val="000527F7"/>
    <w:rsid w:val="00053F04"/>
    <w:rsid w:val="000566D6"/>
    <w:rsid w:val="000573CC"/>
    <w:rsid w:val="00057733"/>
    <w:rsid w:val="00057912"/>
    <w:rsid w:val="00063939"/>
    <w:rsid w:val="00065540"/>
    <w:rsid w:val="00065B6E"/>
    <w:rsid w:val="00065CCD"/>
    <w:rsid w:val="000718F7"/>
    <w:rsid w:val="00071E26"/>
    <w:rsid w:val="00072852"/>
    <w:rsid w:val="00073D62"/>
    <w:rsid w:val="00074121"/>
    <w:rsid w:val="0007506C"/>
    <w:rsid w:val="00075114"/>
    <w:rsid w:val="00075223"/>
    <w:rsid w:val="000754AC"/>
    <w:rsid w:val="0007691B"/>
    <w:rsid w:val="00076FB9"/>
    <w:rsid w:val="000771E9"/>
    <w:rsid w:val="00077597"/>
    <w:rsid w:val="0007771D"/>
    <w:rsid w:val="00080C6C"/>
    <w:rsid w:val="00082334"/>
    <w:rsid w:val="00084336"/>
    <w:rsid w:val="00084825"/>
    <w:rsid w:val="00086627"/>
    <w:rsid w:val="000868FE"/>
    <w:rsid w:val="00086E5F"/>
    <w:rsid w:val="00086FF3"/>
    <w:rsid w:val="000870E9"/>
    <w:rsid w:val="000918AF"/>
    <w:rsid w:val="00094114"/>
    <w:rsid w:val="0009438F"/>
    <w:rsid w:val="00096B20"/>
    <w:rsid w:val="000A1A89"/>
    <w:rsid w:val="000A2693"/>
    <w:rsid w:val="000A2D59"/>
    <w:rsid w:val="000A2E82"/>
    <w:rsid w:val="000A3A3D"/>
    <w:rsid w:val="000A4AAE"/>
    <w:rsid w:val="000A51F0"/>
    <w:rsid w:val="000A55AB"/>
    <w:rsid w:val="000A6660"/>
    <w:rsid w:val="000A709C"/>
    <w:rsid w:val="000A7EBA"/>
    <w:rsid w:val="000B11BA"/>
    <w:rsid w:val="000B223D"/>
    <w:rsid w:val="000B4A5F"/>
    <w:rsid w:val="000B4F5D"/>
    <w:rsid w:val="000B56B1"/>
    <w:rsid w:val="000B6D89"/>
    <w:rsid w:val="000C51AC"/>
    <w:rsid w:val="000C5689"/>
    <w:rsid w:val="000C56C8"/>
    <w:rsid w:val="000D3E57"/>
    <w:rsid w:val="000D6A00"/>
    <w:rsid w:val="000E00BD"/>
    <w:rsid w:val="000E1419"/>
    <w:rsid w:val="000E4278"/>
    <w:rsid w:val="000E54C7"/>
    <w:rsid w:val="000F03BA"/>
    <w:rsid w:val="000F0D54"/>
    <w:rsid w:val="000F1867"/>
    <w:rsid w:val="000F1A55"/>
    <w:rsid w:val="000F4758"/>
    <w:rsid w:val="000F4780"/>
    <w:rsid w:val="000F5185"/>
    <w:rsid w:val="000F55BC"/>
    <w:rsid w:val="000F6ACC"/>
    <w:rsid w:val="00103ECB"/>
    <w:rsid w:val="00104D89"/>
    <w:rsid w:val="001051B5"/>
    <w:rsid w:val="00105CCB"/>
    <w:rsid w:val="0010660D"/>
    <w:rsid w:val="00110287"/>
    <w:rsid w:val="001128B3"/>
    <w:rsid w:val="0011516B"/>
    <w:rsid w:val="00116A56"/>
    <w:rsid w:val="00117144"/>
    <w:rsid w:val="00121740"/>
    <w:rsid w:val="00121F47"/>
    <w:rsid w:val="001226AC"/>
    <w:rsid w:val="0012309B"/>
    <w:rsid w:val="00123822"/>
    <w:rsid w:val="001238D2"/>
    <w:rsid w:val="00124A0F"/>
    <w:rsid w:val="00124B9C"/>
    <w:rsid w:val="00124BAA"/>
    <w:rsid w:val="00125E74"/>
    <w:rsid w:val="00126E4C"/>
    <w:rsid w:val="001310AE"/>
    <w:rsid w:val="001332BA"/>
    <w:rsid w:val="00133A7D"/>
    <w:rsid w:val="0013674A"/>
    <w:rsid w:val="001378C3"/>
    <w:rsid w:val="00137B66"/>
    <w:rsid w:val="00140ACF"/>
    <w:rsid w:val="00142CBB"/>
    <w:rsid w:val="00144635"/>
    <w:rsid w:val="001460B1"/>
    <w:rsid w:val="0014661E"/>
    <w:rsid w:val="00150A9F"/>
    <w:rsid w:val="00152200"/>
    <w:rsid w:val="00153B06"/>
    <w:rsid w:val="00154F89"/>
    <w:rsid w:val="0015606D"/>
    <w:rsid w:val="001571A5"/>
    <w:rsid w:val="00157747"/>
    <w:rsid w:val="001608C5"/>
    <w:rsid w:val="00161732"/>
    <w:rsid w:val="0016463E"/>
    <w:rsid w:val="00165F79"/>
    <w:rsid w:val="00167B0F"/>
    <w:rsid w:val="00167E55"/>
    <w:rsid w:val="00170341"/>
    <w:rsid w:val="001713A3"/>
    <w:rsid w:val="00171CF0"/>
    <w:rsid w:val="00171D23"/>
    <w:rsid w:val="00172344"/>
    <w:rsid w:val="001726A3"/>
    <w:rsid w:val="00175444"/>
    <w:rsid w:val="0017551D"/>
    <w:rsid w:val="00175AD5"/>
    <w:rsid w:val="00175FCD"/>
    <w:rsid w:val="0017652E"/>
    <w:rsid w:val="00180E42"/>
    <w:rsid w:val="00181363"/>
    <w:rsid w:val="00185A86"/>
    <w:rsid w:val="00186799"/>
    <w:rsid w:val="0018753F"/>
    <w:rsid w:val="0019081D"/>
    <w:rsid w:val="00191181"/>
    <w:rsid w:val="001918DA"/>
    <w:rsid w:val="00192F7C"/>
    <w:rsid w:val="00193039"/>
    <w:rsid w:val="00193786"/>
    <w:rsid w:val="00194074"/>
    <w:rsid w:val="00194735"/>
    <w:rsid w:val="00194B5F"/>
    <w:rsid w:val="001A0BEF"/>
    <w:rsid w:val="001A0F90"/>
    <w:rsid w:val="001A2822"/>
    <w:rsid w:val="001A56E5"/>
    <w:rsid w:val="001A71C1"/>
    <w:rsid w:val="001B0337"/>
    <w:rsid w:val="001B1CB5"/>
    <w:rsid w:val="001B1EA0"/>
    <w:rsid w:val="001B29BC"/>
    <w:rsid w:val="001B3AA1"/>
    <w:rsid w:val="001B5E57"/>
    <w:rsid w:val="001B610D"/>
    <w:rsid w:val="001B61B9"/>
    <w:rsid w:val="001B6466"/>
    <w:rsid w:val="001B707A"/>
    <w:rsid w:val="001B7F6B"/>
    <w:rsid w:val="001C01FB"/>
    <w:rsid w:val="001C035C"/>
    <w:rsid w:val="001C3049"/>
    <w:rsid w:val="001C307C"/>
    <w:rsid w:val="001C43E2"/>
    <w:rsid w:val="001C79BF"/>
    <w:rsid w:val="001D2682"/>
    <w:rsid w:val="001D4C99"/>
    <w:rsid w:val="001D7D87"/>
    <w:rsid w:val="001E0394"/>
    <w:rsid w:val="001E1051"/>
    <w:rsid w:val="001E175E"/>
    <w:rsid w:val="001E3A5D"/>
    <w:rsid w:val="001E40C3"/>
    <w:rsid w:val="001E5A50"/>
    <w:rsid w:val="001E6CEF"/>
    <w:rsid w:val="001E771C"/>
    <w:rsid w:val="001F4C56"/>
    <w:rsid w:val="001F57EF"/>
    <w:rsid w:val="001F5AF1"/>
    <w:rsid w:val="001F5D90"/>
    <w:rsid w:val="001F610D"/>
    <w:rsid w:val="002029D0"/>
    <w:rsid w:val="002037FF"/>
    <w:rsid w:val="00203B0D"/>
    <w:rsid w:val="002057A2"/>
    <w:rsid w:val="00205BA1"/>
    <w:rsid w:val="00206657"/>
    <w:rsid w:val="002067AF"/>
    <w:rsid w:val="002104A0"/>
    <w:rsid w:val="00210E66"/>
    <w:rsid w:val="0021170C"/>
    <w:rsid w:val="00212315"/>
    <w:rsid w:val="00213117"/>
    <w:rsid w:val="00214336"/>
    <w:rsid w:val="00214A08"/>
    <w:rsid w:val="002154EA"/>
    <w:rsid w:val="00215674"/>
    <w:rsid w:val="00215D89"/>
    <w:rsid w:val="00216FEF"/>
    <w:rsid w:val="0021762A"/>
    <w:rsid w:val="00222CF5"/>
    <w:rsid w:val="0022601E"/>
    <w:rsid w:val="00227BC6"/>
    <w:rsid w:val="00230B0A"/>
    <w:rsid w:val="00231DAF"/>
    <w:rsid w:val="002325F1"/>
    <w:rsid w:val="002327E9"/>
    <w:rsid w:val="0023413C"/>
    <w:rsid w:val="0023530E"/>
    <w:rsid w:val="0023564B"/>
    <w:rsid w:val="00235CF0"/>
    <w:rsid w:val="002369BC"/>
    <w:rsid w:val="00236CC6"/>
    <w:rsid w:val="00237BC8"/>
    <w:rsid w:val="00237BC9"/>
    <w:rsid w:val="00237F28"/>
    <w:rsid w:val="00243377"/>
    <w:rsid w:val="00244ADE"/>
    <w:rsid w:val="00244B1B"/>
    <w:rsid w:val="00244EA3"/>
    <w:rsid w:val="002463BB"/>
    <w:rsid w:val="00246995"/>
    <w:rsid w:val="002526B5"/>
    <w:rsid w:val="0025328C"/>
    <w:rsid w:val="002545AE"/>
    <w:rsid w:val="002548CD"/>
    <w:rsid w:val="002555B3"/>
    <w:rsid w:val="00257A48"/>
    <w:rsid w:val="00257F73"/>
    <w:rsid w:val="002619C8"/>
    <w:rsid w:val="002632E9"/>
    <w:rsid w:val="002640E3"/>
    <w:rsid w:val="002677E6"/>
    <w:rsid w:val="002722D3"/>
    <w:rsid w:val="00273846"/>
    <w:rsid w:val="002738CE"/>
    <w:rsid w:val="002739F3"/>
    <w:rsid w:val="00273E68"/>
    <w:rsid w:val="002740E2"/>
    <w:rsid w:val="002814DF"/>
    <w:rsid w:val="00281D28"/>
    <w:rsid w:val="002820BC"/>
    <w:rsid w:val="00282491"/>
    <w:rsid w:val="002835A1"/>
    <w:rsid w:val="00284182"/>
    <w:rsid w:val="002843B8"/>
    <w:rsid w:val="002850F0"/>
    <w:rsid w:val="00285561"/>
    <w:rsid w:val="002875FB"/>
    <w:rsid w:val="00292991"/>
    <w:rsid w:val="00292EB4"/>
    <w:rsid w:val="00293458"/>
    <w:rsid w:val="00294DE3"/>
    <w:rsid w:val="002974B8"/>
    <w:rsid w:val="00297BAA"/>
    <w:rsid w:val="002A16A3"/>
    <w:rsid w:val="002A439D"/>
    <w:rsid w:val="002A48FE"/>
    <w:rsid w:val="002A5027"/>
    <w:rsid w:val="002B2784"/>
    <w:rsid w:val="002B2EBA"/>
    <w:rsid w:val="002B3837"/>
    <w:rsid w:val="002B3A2B"/>
    <w:rsid w:val="002B3BD9"/>
    <w:rsid w:val="002B4008"/>
    <w:rsid w:val="002B59F3"/>
    <w:rsid w:val="002B6087"/>
    <w:rsid w:val="002B74BE"/>
    <w:rsid w:val="002B7A12"/>
    <w:rsid w:val="002C3A05"/>
    <w:rsid w:val="002C3FB9"/>
    <w:rsid w:val="002C6553"/>
    <w:rsid w:val="002C77D5"/>
    <w:rsid w:val="002D2A27"/>
    <w:rsid w:val="002D332B"/>
    <w:rsid w:val="002D3D30"/>
    <w:rsid w:val="002D41D7"/>
    <w:rsid w:val="002D48D1"/>
    <w:rsid w:val="002D48FC"/>
    <w:rsid w:val="002D5679"/>
    <w:rsid w:val="002D6463"/>
    <w:rsid w:val="002D6A75"/>
    <w:rsid w:val="002E1F07"/>
    <w:rsid w:val="002E55D3"/>
    <w:rsid w:val="002E5C6D"/>
    <w:rsid w:val="002E680A"/>
    <w:rsid w:val="002E69C4"/>
    <w:rsid w:val="002F22AF"/>
    <w:rsid w:val="002F4791"/>
    <w:rsid w:val="0030077C"/>
    <w:rsid w:val="0030300D"/>
    <w:rsid w:val="003033F7"/>
    <w:rsid w:val="00304D2E"/>
    <w:rsid w:val="0031237A"/>
    <w:rsid w:val="003123F0"/>
    <w:rsid w:val="00314B1A"/>
    <w:rsid w:val="00314BD3"/>
    <w:rsid w:val="0031562A"/>
    <w:rsid w:val="003206E0"/>
    <w:rsid w:val="00323B40"/>
    <w:rsid w:val="003274FB"/>
    <w:rsid w:val="0032767D"/>
    <w:rsid w:val="00327D2D"/>
    <w:rsid w:val="00330428"/>
    <w:rsid w:val="0033112F"/>
    <w:rsid w:val="003314A4"/>
    <w:rsid w:val="00336390"/>
    <w:rsid w:val="003433C2"/>
    <w:rsid w:val="0034469A"/>
    <w:rsid w:val="00346B80"/>
    <w:rsid w:val="003470AA"/>
    <w:rsid w:val="00350363"/>
    <w:rsid w:val="003531B0"/>
    <w:rsid w:val="00357032"/>
    <w:rsid w:val="003578F8"/>
    <w:rsid w:val="00357BAA"/>
    <w:rsid w:val="003605D9"/>
    <w:rsid w:val="00363C93"/>
    <w:rsid w:val="00364254"/>
    <w:rsid w:val="003652E5"/>
    <w:rsid w:val="003664B2"/>
    <w:rsid w:val="00370AE5"/>
    <w:rsid w:val="00370DA8"/>
    <w:rsid w:val="00370F7F"/>
    <w:rsid w:val="003723D8"/>
    <w:rsid w:val="00372DC5"/>
    <w:rsid w:val="003743F8"/>
    <w:rsid w:val="003809A9"/>
    <w:rsid w:val="00380A5B"/>
    <w:rsid w:val="00380A98"/>
    <w:rsid w:val="003832E7"/>
    <w:rsid w:val="00383BC0"/>
    <w:rsid w:val="003840D5"/>
    <w:rsid w:val="003860B5"/>
    <w:rsid w:val="003864CD"/>
    <w:rsid w:val="003867E6"/>
    <w:rsid w:val="0039341E"/>
    <w:rsid w:val="00393684"/>
    <w:rsid w:val="00394EB1"/>
    <w:rsid w:val="003A113B"/>
    <w:rsid w:val="003A1B77"/>
    <w:rsid w:val="003A3B4E"/>
    <w:rsid w:val="003A54A6"/>
    <w:rsid w:val="003A7161"/>
    <w:rsid w:val="003A7192"/>
    <w:rsid w:val="003B1075"/>
    <w:rsid w:val="003B2306"/>
    <w:rsid w:val="003B301F"/>
    <w:rsid w:val="003B34F5"/>
    <w:rsid w:val="003B3E34"/>
    <w:rsid w:val="003B7968"/>
    <w:rsid w:val="003C15B2"/>
    <w:rsid w:val="003C1C7A"/>
    <w:rsid w:val="003C1ED4"/>
    <w:rsid w:val="003C2E44"/>
    <w:rsid w:val="003C347C"/>
    <w:rsid w:val="003C7988"/>
    <w:rsid w:val="003D1DC0"/>
    <w:rsid w:val="003D1EFE"/>
    <w:rsid w:val="003D3AFC"/>
    <w:rsid w:val="003D3C63"/>
    <w:rsid w:val="003D3F5B"/>
    <w:rsid w:val="003D435E"/>
    <w:rsid w:val="003D6FAF"/>
    <w:rsid w:val="003D7AFC"/>
    <w:rsid w:val="003E1CA7"/>
    <w:rsid w:val="003E4C65"/>
    <w:rsid w:val="003E57D4"/>
    <w:rsid w:val="003E7288"/>
    <w:rsid w:val="003E77B2"/>
    <w:rsid w:val="003E7E21"/>
    <w:rsid w:val="003F1AB8"/>
    <w:rsid w:val="003F1E69"/>
    <w:rsid w:val="003F1F78"/>
    <w:rsid w:val="003F2373"/>
    <w:rsid w:val="003F36BC"/>
    <w:rsid w:val="003F4AD6"/>
    <w:rsid w:val="0040285F"/>
    <w:rsid w:val="00406B79"/>
    <w:rsid w:val="00406DC6"/>
    <w:rsid w:val="00406FBB"/>
    <w:rsid w:val="0041092B"/>
    <w:rsid w:val="00410DEB"/>
    <w:rsid w:val="00411217"/>
    <w:rsid w:val="00411735"/>
    <w:rsid w:val="00412BC9"/>
    <w:rsid w:val="0041372B"/>
    <w:rsid w:val="0041398C"/>
    <w:rsid w:val="00417C64"/>
    <w:rsid w:val="00420C7B"/>
    <w:rsid w:val="0042243C"/>
    <w:rsid w:val="00423B4A"/>
    <w:rsid w:val="00424F67"/>
    <w:rsid w:val="0042552F"/>
    <w:rsid w:val="00427B19"/>
    <w:rsid w:val="00431BB9"/>
    <w:rsid w:val="00433C20"/>
    <w:rsid w:val="00442244"/>
    <w:rsid w:val="00443797"/>
    <w:rsid w:val="00443D86"/>
    <w:rsid w:val="00444D68"/>
    <w:rsid w:val="00445497"/>
    <w:rsid w:val="004458CC"/>
    <w:rsid w:val="00445D0F"/>
    <w:rsid w:val="00447F11"/>
    <w:rsid w:val="00450821"/>
    <w:rsid w:val="00451A94"/>
    <w:rsid w:val="0045216E"/>
    <w:rsid w:val="00453169"/>
    <w:rsid w:val="004538A7"/>
    <w:rsid w:val="0045476A"/>
    <w:rsid w:val="00454936"/>
    <w:rsid w:val="004553BF"/>
    <w:rsid w:val="00455659"/>
    <w:rsid w:val="0045607A"/>
    <w:rsid w:val="004573E4"/>
    <w:rsid w:val="00463188"/>
    <w:rsid w:val="00463C0D"/>
    <w:rsid w:val="0046462A"/>
    <w:rsid w:val="00465572"/>
    <w:rsid w:val="00465ED5"/>
    <w:rsid w:val="004668BB"/>
    <w:rsid w:val="004670B6"/>
    <w:rsid w:val="00470607"/>
    <w:rsid w:val="00474B5C"/>
    <w:rsid w:val="00475217"/>
    <w:rsid w:val="004757D1"/>
    <w:rsid w:val="00475FE6"/>
    <w:rsid w:val="00481EBC"/>
    <w:rsid w:val="00482504"/>
    <w:rsid w:val="0048277C"/>
    <w:rsid w:val="004829E5"/>
    <w:rsid w:val="004838DD"/>
    <w:rsid w:val="00487475"/>
    <w:rsid w:val="00490AC8"/>
    <w:rsid w:val="00490BED"/>
    <w:rsid w:val="00490D3E"/>
    <w:rsid w:val="004916E0"/>
    <w:rsid w:val="004926E4"/>
    <w:rsid w:val="00493C37"/>
    <w:rsid w:val="00495F42"/>
    <w:rsid w:val="004A24CD"/>
    <w:rsid w:val="004A3D65"/>
    <w:rsid w:val="004A74DA"/>
    <w:rsid w:val="004A7F64"/>
    <w:rsid w:val="004B2213"/>
    <w:rsid w:val="004B32E7"/>
    <w:rsid w:val="004B3705"/>
    <w:rsid w:val="004B4DDE"/>
    <w:rsid w:val="004B5179"/>
    <w:rsid w:val="004B7BC9"/>
    <w:rsid w:val="004C2A49"/>
    <w:rsid w:val="004C5E9F"/>
    <w:rsid w:val="004C6286"/>
    <w:rsid w:val="004C73C1"/>
    <w:rsid w:val="004D03B0"/>
    <w:rsid w:val="004D1744"/>
    <w:rsid w:val="004D3661"/>
    <w:rsid w:val="004D3FEC"/>
    <w:rsid w:val="004D528E"/>
    <w:rsid w:val="004D5703"/>
    <w:rsid w:val="004D6639"/>
    <w:rsid w:val="004D7CBE"/>
    <w:rsid w:val="004E01B2"/>
    <w:rsid w:val="004E1179"/>
    <w:rsid w:val="004E1A21"/>
    <w:rsid w:val="004E2967"/>
    <w:rsid w:val="004E2B9A"/>
    <w:rsid w:val="004E41F5"/>
    <w:rsid w:val="004E5224"/>
    <w:rsid w:val="004E5F86"/>
    <w:rsid w:val="004E6F6B"/>
    <w:rsid w:val="004E72F5"/>
    <w:rsid w:val="004F0460"/>
    <w:rsid w:val="004F1A8A"/>
    <w:rsid w:val="004F2866"/>
    <w:rsid w:val="004F3085"/>
    <w:rsid w:val="004F3B97"/>
    <w:rsid w:val="004F505A"/>
    <w:rsid w:val="004F6C70"/>
    <w:rsid w:val="004F744E"/>
    <w:rsid w:val="005015BD"/>
    <w:rsid w:val="00502BB0"/>
    <w:rsid w:val="00507E3E"/>
    <w:rsid w:val="005116D5"/>
    <w:rsid w:val="00512721"/>
    <w:rsid w:val="0051274B"/>
    <w:rsid w:val="0051470E"/>
    <w:rsid w:val="0051498B"/>
    <w:rsid w:val="00522392"/>
    <w:rsid w:val="00522702"/>
    <w:rsid w:val="00523E48"/>
    <w:rsid w:val="0052715D"/>
    <w:rsid w:val="00532A47"/>
    <w:rsid w:val="00533E15"/>
    <w:rsid w:val="005345D7"/>
    <w:rsid w:val="00536C49"/>
    <w:rsid w:val="005408A9"/>
    <w:rsid w:val="0054126E"/>
    <w:rsid w:val="0054144A"/>
    <w:rsid w:val="005430DF"/>
    <w:rsid w:val="00544164"/>
    <w:rsid w:val="005443B8"/>
    <w:rsid w:val="00544401"/>
    <w:rsid w:val="0054444C"/>
    <w:rsid w:val="00553013"/>
    <w:rsid w:val="0055372B"/>
    <w:rsid w:val="005538F3"/>
    <w:rsid w:val="00554EE3"/>
    <w:rsid w:val="005562FA"/>
    <w:rsid w:val="00556DAC"/>
    <w:rsid w:val="00560B7B"/>
    <w:rsid w:val="00560EF1"/>
    <w:rsid w:val="0056199A"/>
    <w:rsid w:val="00561EE0"/>
    <w:rsid w:val="00565391"/>
    <w:rsid w:val="00572A69"/>
    <w:rsid w:val="00573B67"/>
    <w:rsid w:val="00577114"/>
    <w:rsid w:val="00577231"/>
    <w:rsid w:val="00577B5F"/>
    <w:rsid w:val="00580FEA"/>
    <w:rsid w:val="00581795"/>
    <w:rsid w:val="005827E9"/>
    <w:rsid w:val="0058298B"/>
    <w:rsid w:val="00583B87"/>
    <w:rsid w:val="00583DE9"/>
    <w:rsid w:val="00584A25"/>
    <w:rsid w:val="00584AE0"/>
    <w:rsid w:val="00591C87"/>
    <w:rsid w:val="00591D6F"/>
    <w:rsid w:val="005927CE"/>
    <w:rsid w:val="00595657"/>
    <w:rsid w:val="005A18FE"/>
    <w:rsid w:val="005A1FBF"/>
    <w:rsid w:val="005A4044"/>
    <w:rsid w:val="005A56F9"/>
    <w:rsid w:val="005A7921"/>
    <w:rsid w:val="005A7E12"/>
    <w:rsid w:val="005B18CD"/>
    <w:rsid w:val="005B249A"/>
    <w:rsid w:val="005B291E"/>
    <w:rsid w:val="005B44E2"/>
    <w:rsid w:val="005B581E"/>
    <w:rsid w:val="005B627F"/>
    <w:rsid w:val="005B7120"/>
    <w:rsid w:val="005C02E8"/>
    <w:rsid w:val="005C0469"/>
    <w:rsid w:val="005C13F7"/>
    <w:rsid w:val="005C3A23"/>
    <w:rsid w:val="005C41D0"/>
    <w:rsid w:val="005C44E4"/>
    <w:rsid w:val="005C6794"/>
    <w:rsid w:val="005D076E"/>
    <w:rsid w:val="005D0D36"/>
    <w:rsid w:val="005D1096"/>
    <w:rsid w:val="005D1BB2"/>
    <w:rsid w:val="005D213B"/>
    <w:rsid w:val="005D2F8A"/>
    <w:rsid w:val="005D68F2"/>
    <w:rsid w:val="005E0AF2"/>
    <w:rsid w:val="005E53A9"/>
    <w:rsid w:val="005F130A"/>
    <w:rsid w:val="005F273A"/>
    <w:rsid w:val="005F2E07"/>
    <w:rsid w:val="005F3363"/>
    <w:rsid w:val="005F57B1"/>
    <w:rsid w:val="005F65FF"/>
    <w:rsid w:val="005F6BBF"/>
    <w:rsid w:val="005F6FA4"/>
    <w:rsid w:val="005F714D"/>
    <w:rsid w:val="005F7E26"/>
    <w:rsid w:val="006024A0"/>
    <w:rsid w:val="00603CFC"/>
    <w:rsid w:val="00606720"/>
    <w:rsid w:val="0060738D"/>
    <w:rsid w:val="006074F6"/>
    <w:rsid w:val="00607E60"/>
    <w:rsid w:val="00610643"/>
    <w:rsid w:val="00611D7F"/>
    <w:rsid w:val="00613360"/>
    <w:rsid w:val="00613EBC"/>
    <w:rsid w:val="00620AB4"/>
    <w:rsid w:val="006211E7"/>
    <w:rsid w:val="006221D2"/>
    <w:rsid w:val="00623071"/>
    <w:rsid w:val="00625883"/>
    <w:rsid w:val="00627827"/>
    <w:rsid w:val="00630A4F"/>
    <w:rsid w:val="006324B1"/>
    <w:rsid w:val="00632DBB"/>
    <w:rsid w:val="006366F7"/>
    <w:rsid w:val="00640CDC"/>
    <w:rsid w:val="00640CEF"/>
    <w:rsid w:val="006419DB"/>
    <w:rsid w:val="006437CA"/>
    <w:rsid w:val="00644177"/>
    <w:rsid w:val="00644E08"/>
    <w:rsid w:val="006473B9"/>
    <w:rsid w:val="006476F0"/>
    <w:rsid w:val="00650B8C"/>
    <w:rsid w:val="00652C57"/>
    <w:rsid w:val="006536DF"/>
    <w:rsid w:val="00653B81"/>
    <w:rsid w:val="0065558E"/>
    <w:rsid w:val="00655847"/>
    <w:rsid w:val="00655874"/>
    <w:rsid w:val="00656718"/>
    <w:rsid w:val="0065785C"/>
    <w:rsid w:val="00657A4B"/>
    <w:rsid w:val="00664016"/>
    <w:rsid w:val="00664895"/>
    <w:rsid w:val="00665D17"/>
    <w:rsid w:val="00665FAF"/>
    <w:rsid w:val="006670BF"/>
    <w:rsid w:val="00670914"/>
    <w:rsid w:val="00670B59"/>
    <w:rsid w:val="006713A0"/>
    <w:rsid w:val="006727E8"/>
    <w:rsid w:val="006736D1"/>
    <w:rsid w:val="00673C43"/>
    <w:rsid w:val="006743FF"/>
    <w:rsid w:val="006755FC"/>
    <w:rsid w:val="00675D0E"/>
    <w:rsid w:val="006760DA"/>
    <w:rsid w:val="00681B5A"/>
    <w:rsid w:val="00683F7F"/>
    <w:rsid w:val="0068758A"/>
    <w:rsid w:val="00693C68"/>
    <w:rsid w:val="00694EF5"/>
    <w:rsid w:val="00696477"/>
    <w:rsid w:val="006A027A"/>
    <w:rsid w:val="006A145C"/>
    <w:rsid w:val="006A1A19"/>
    <w:rsid w:val="006A2587"/>
    <w:rsid w:val="006A298D"/>
    <w:rsid w:val="006A2DEC"/>
    <w:rsid w:val="006A4547"/>
    <w:rsid w:val="006A486B"/>
    <w:rsid w:val="006A497A"/>
    <w:rsid w:val="006A6480"/>
    <w:rsid w:val="006B0170"/>
    <w:rsid w:val="006B0795"/>
    <w:rsid w:val="006B1AB0"/>
    <w:rsid w:val="006B3641"/>
    <w:rsid w:val="006B6AC6"/>
    <w:rsid w:val="006B6E5D"/>
    <w:rsid w:val="006C29ED"/>
    <w:rsid w:val="006C2F1E"/>
    <w:rsid w:val="006C3154"/>
    <w:rsid w:val="006C4357"/>
    <w:rsid w:val="006D3068"/>
    <w:rsid w:val="006D4E1D"/>
    <w:rsid w:val="006D53DE"/>
    <w:rsid w:val="006D5593"/>
    <w:rsid w:val="006D795A"/>
    <w:rsid w:val="006E08DC"/>
    <w:rsid w:val="006E09E5"/>
    <w:rsid w:val="006E649C"/>
    <w:rsid w:val="006E7494"/>
    <w:rsid w:val="006E7A1F"/>
    <w:rsid w:val="006F009F"/>
    <w:rsid w:val="006F5B7B"/>
    <w:rsid w:val="006F5DBB"/>
    <w:rsid w:val="006F5F81"/>
    <w:rsid w:val="006F6509"/>
    <w:rsid w:val="006F6682"/>
    <w:rsid w:val="006F71F9"/>
    <w:rsid w:val="00701EBF"/>
    <w:rsid w:val="00702991"/>
    <w:rsid w:val="00704ACE"/>
    <w:rsid w:val="00706DAE"/>
    <w:rsid w:val="007106DC"/>
    <w:rsid w:val="007119B9"/>
    <w:rsid w:val="00711E56"/>
    <w:rsid w:val="00713CFB"/>
    <w:rsid w:val="0071488C"/>
    <w:rsid w:val="007178D3"/>
    <w:rsid w:val="00720DC8"/>
    <w:rsid w:val="00721A60"/>
    <w:rsid w:val="0072249E"/>
    <w:rsid w:val="00723842"/>
    <w:rsid w:val="00724936"/>
    <w:rsid w:val="0072614C"/>
    <w:rsid w:val="00727266"/>
    <w:rsid w:val="007310E8"/>
    <w:rsid w:val="00731350"/>
    <w:rsid w:val="007338A1"/>
    <w:rsid w:val="007338C9"/>
    <w:rsid w:val="00736A0F"/>
    <w:rsid w:val="00736BC0"/>
    <w:rsid w:val="007415F4"/>
    <w:rsid w:val="00741EE9"/>
    <w:rsid w:val="0074202C"/>
    <w:rsid w:val="00742B25"/>
    <w:rsid w:val="007448C2"/>
    <w:rsid w:val="0074533E"/>
    <w:rsid w:val="007471A9"/>
    <w:rsid w:val="007478E6"/>
    <w:rsid w:val="00752AD8"/>
    <w:rsid w:val="00753B1C"/>
    <w:rsid w:val="00753F9B"/>
    <w:rsid w:val="00755755"/>
    <w:rsid w:val="007558A2"/>
    <w:rsid w:val="007564F2"/>
    <w:rsid w:val="0075777A"/>
    <w:rsid w:val="00762FA6"/>
    <w:rsid w:val="00762FE3"/>
    <w:rsid w:val="007639BD"/>
    <w:rsid w:val="00765464"/>
    <w:rsid w:val="00765537"/>
    <w:rsid w:val="0076581F"/>
    <w:rsid w:val="00766092"/>
    <w:rsid w:val="007665AD"/>
    <w:rsid w:val="007679C2"/>
    <w:rsid w:val="00772317"/>
    <w:rsid w:val="007729AD"/>
    <w:rsid w:val="00772B5A"/>
    <w:rsid w:val="00776467"/>
    <w:rsid w:val="00780375"/>
    <w:rsid w:val="0078176B"/>
    <w:rsid w:val="00782B1A"/>
    <w:rsid w:val="007837FE"/>
    <w:rsid w:val="00783CEC"/>
    <w:rsid w:val="00783EE3"/>
    <w:rsid w:val="00784493"/>
    <w:rsid w:val="007872EF"/>
    <w:rsid w:val="00790B2B"/>
    <w:rsid w:val="007916AD"/>
    <w:rsid w:val="00791F52"/>
    <w:rsid w:val="007923B9"/>
    <w:rsid w:val="00794513"/>
    <w:rsid w:val="00794E22"/>
    <w:rsid w:val="00796DD4"/>
    <w:rsid w:val="007A10CA"/>
    <w:rsid w:val="007A1C8B"/>
    <w:rsid w:val="007A4F58"/>
    <w:rsid w:val="007A6376"/>
    <w:rsid w:val="007A6869"/>
    <w:rsid w:val="007B0AC8"/>
    <w:rsid w:val="007B0DDC"/>
    <w:rsid w:val="007B19B3"/>
    <w:rsid w:val="007B20CF"/>
    <w:rsid w:val="007B2790"/>
    <w:rsid w:val="007B31DE"/>
    <w:rsid w:val="007B3A74"/>
    <w:rsid w:val="007B592D"/>
    <w:rsid w:val="007B5F57"/>
    <w:rsid w:val="007C05C9"/>
    <w:rsid w:val="007C16F7"/>
    <w:rsid w:val="007C183C"/>
    <w:rsid w:val="007C3226"/>
    <w:rsid w:val="007C3703"/>
    <w:rsid w:val="007C55AC"/>
    <w:rsid w:val="007C6ACD"/>
    <w:rsid w:val="007C7967"/>
    <w:rsid w:val="007C7B52"/>
    <w:rsid w:val="007D3542"/>
    <w:rsid w:val="007E26D0"/>
    <w:rsid w:val="007E2880"/>
    <w:rsid w:val="007E33E3"/>
    <w:rsid w:val="007E4A8D"/>
    <w:rsid w:val="007E4F5B"/>
    <w:rsid w:val="007F0F2F"/>
    <w:rsid w:val="007F35DE"/>
    <w:rsid w:val="007F71F3"/>
    <w:rsid w:val="00800F10"/>
    <w:rsid w:val="00800F27"/>
    <w:rsid w:val="00806F3F"/>
    <w:rsid w:val="00807AB6"/>
    <w:rsid w:val="008114C2"/>
    <w:rsid w:val="00812F7D"/>
    <w:rsid w:val="00821C96"/>
    <w:rsid w:val="008230A9"/>
    <w:rsid w:val="00823B9A"/>
    <w:rsid w:val="008242F5"/>
    <w:rsid w:val="00826F06"/>
    <w:rsid w:val="00827B03"/>
    <w:rsid w:val="0083050B"/>
    <w:rsid w:val="008305AE"/>
    <w:rsid w:val="0083077D"/>
    <w:rsid w:val="00831C07"/>
    <w:rsid w:val="00832202"/>
    <w:rsid w:val="008335DA"/>
    <w:rsid w:val="00835941"/>
    <w:rsid w:val="00837AC5"/>
    <w:rsid w:val="00840D33"/>
    <w:rsid w:val="00843BD0"/>
    <w:rsid w:val="00843D07"/>
    <w:rsid w:val="00844438"/>
    <w:rsid w:val="0084473C"/>
    <w:rsid w:val="00845BF6"/>
    <w:rsid w:val="00845E90"/>
    <w:rsid w:val="00846FB5"/>
    <w:rsid w:val="0085040B"/>
    <w:rsid w:val="00850F89"/>
    <w:rsid w:val="0085120B"/>
    <w:rsid w:val="0085132D"/>
    <w:rsid w:val="008516E2"/>
    <w:rsid w:val="008520EE"/>
    <w:rsid w:val="00852374"/>
    <w:rsid w:val="00852D63"/>
    <w:rsid w:val="00854611"/>
    <w:rsid w:val="00854F9B"/>
    <w:rsid w:val="0085573B"/>
    <w:rsid w:val="008559C8"/>
    <w:rsid w:val="0085712A"/>
    <w:rsid w:val="00862CCB"/>
    <w:rsid w:val="008635EB"/>
    <w:rsid w:val="00863610"/>
    <w:rsid w:val="008645DF"/>
    <w:rsid w:val="00865BE4"/>
    <w:rsid w:val="00865C06"/>
    <w:rsid w:val="00866719"/>
    <w:rsid w:val="00870477"/>
    <w:rsid w:val="0087247F"/>
    <w:rsid w:val="00873F17"/>
    <w:rsid w:val="0087406B"/>
    <w:rsid w:val="008741B5"/>
    <w:rsid w:val="00874EB8"/>
    <w:rsid w:val="00880B05"/>
    <w:rsid w:val="008812DA"/>
    <w:rsid w:val="00881C07"/>
    <w:rsid w:val="008822D3"/>
    <w:rsid w:val="00882F91"/>
    <w:rsid w:val="00884563"/>
    <w:rsid w:val="0088530D"/>
    <w:rsid w:val="00887293"/>
    <w:rsid w:val="00887681"/>
    <w:rsid w:val="0088774C"/>
    <w:rsid w:val="00892030"/>
    <w:rsid w:val="008926E6"/>
    <w:rsid w:val="00892B45"/>
    <w:rsid w:val="00892DF7"/>
    <w:rsid w:val="00894D87"/>
    <w:rsid w:val="008955CE"/>
    <w:rsid w:val="008973D5"/>
    <w:rsid w:val="00897973"/>
    <w:rsid w:val="008979C2"/>
    <w:rsid w:val="008A2265"/>
    <w:rsid w:val="008A5673"/>
    <w:rsid w:val="008A6BDC"/>
    <w:rsid w:val="008B0E61"/>
    <w:rsid w:val="008B10CF"/>
    <w:rsid w:val="008B1B09"/>
    <w:rsid w:val="008B22C7"/>
    <w:rsid w:val="008B272B"/>
    <w:rsid w:val="008B38AE"/>
    <w:rsid w:val="008B461C"/>
    <w:rsid w:val="008B5C6F"/>
    <w:rsid w:val="008B5C77"/>
    <w:rsid w:val="008B5F00"/>
    <w:rsid w:val="008B6814"/>
    <w:rsid w:val="008B6856"/>
    <w:rsid w:val="008C02EF"/>
    <w:rsid w:val="008C2662"/>
    <w:rsid w:val="008C6C12"/>
    <w:rsid w:val="008C7924"/>
    <w:rsid w:val="008D25E0"/>
    <w:rsid w:val="008D38A2"/>
    <w:rsid w:val="008D3B7B"/>
    <w:rsid w:val="008D4BBC"/>
    <w:rsid w:val="008D518C"/>
    <w:rsid w:val="008D53A6"/>
    <w:rsid w:val="008D75BA"/>
    <w:rsid w:val="008E1F48"/>
    <w:rsid w:val="008E3B7B"/>
    <w:rsid w:val="008E5074"/>
    <w:rsid w:val="008F327F"/>
    <w:rsid w:val="008F3F1B"/>
    <w:rsid w:val="008F5E8C"/>
    <w:rsid w:val="008F609D"/>
    <w:rsid w:val="008F6CC6"/>
    <w:rsid w:val="008F7142"/>
    <w:rsid w:val="008F744B"/>
    <w:rsid w:val="00900AAB"/>
    <w:rsid w:val="00901EA5"/>
    <w:rsid w:val="009021B5"/>
    <w:rsid w:val="0090260C"/>
    <w:rsid w:val="00902EF7"/>
    <w:rsid w:val="009055C7"/>
    <w:rsid w:val="00905ACA"/>
    <w:rsid w:val="0090615F"/>
    <w:rsid w:val="00910249"/>
    <w:rsid w:val="00911746"/>
    <w:rsid w:val="00912072"/>
    <w:rsid w:val="00913E45"/>
    <w:rsid w:val="00923262"/>
    <w:rsid w:val="00923A7D"/>
    <w:rsid w:val="00926478"/>
    <w:rsid w:val="00930147"/>
    <w:rsid w:val="009305B9"/>
    <w:rsid w:val="009305FC"/>
    <w:rsid w:val="00930953"/>
    <w:rsid w:val="009312B2"/>
    <w:rsid w:val="009317BD"/>
    <w:rsid w:val="00932124"/>
    <w:rsid w:val="0093223C"/>
    <w:rsid w:val="009327CB"/>
    <w:rsid w:val="0093377B"/>
    <w:rsid w:val="00933F58"/>
    <w:rsid w:val="00942C53"/>
    <w:rsid w:val="0094481B"/>
    <w:rsid w:val="0094589A"/>
    <w:rsid w:val="00947C02"/>
    <w:rsid w:val="009520E9"/>
    <w:rsid w:val="00952704"/>
    <w:rsid w:val="009542D4"/>
    <w:rsid w:val="009542EE"/>
    <w:rsid w:val="00956C1C"/>
    <w:rsid w:val="00963590"/>
    <w:rsid w:val="009635B1"/>
    <w:rsid w:val="00965A90"/>
    <w:rsid w:val="00966A61"/>
    <w:rsid w:val="0096711A"/>
    <w:rsid w:val="00974312"/>
    <w:rsid w:val="009754DF"/>
    <w:rsid w:val="0097607C"/>
    <w:rsid w:val="0097625C"/>
    <w:rsid w:val="00980021"/>
    <w:rsid w:val="00980039"/>
    <w:rsid w:val="0098138E"/>
    <w:rsid w:val="009813F9"/>
    <w:rsid w:val="0098225D"/>
    <w:rsid w:val="009839B6"/>
    <w:rsid w:val="00985AE3"/>
    <w:rsid w:val="00985E35"/>
    <w:rsid w:val="00987A88"/>
    <w:rsid w:val="009907FE"/>
    <w:rsid w:val="00990D4E"/>
    <w:rsid w:val="00991447"/>
    <w:rsid w:val="00992780"/>
    <w:rsid w:val="00994EB0"/>
    <w:rsid w:val="009956F7"/>
    <w:rsid w:val="0099613B"/>
    <w:rsid w:val="00996A0E"/>
    <w:rsid w:val="00996E45"/>
    <w:rsid w:val="00997273"/>
    <w:rsid w:val="00997562"/>
    <w:rsid w:val="0099778E"/>
    <w:rsid w:val="009A126C"/>
    <w:rsid w:val="009A1A0A"/>
    <w:rsid w:val="009A2D56"/>
    <w:rsid w:val="009A7B67"/>
    <w:rsid w:val="009B025C"/>
    <w:rsid w:val="009B053C"/>
    <w:rsid w:val="009B0749"/>
    <w:rsid w:val="009B50B5"/>
    <w:rsid w:val="009B5B92"/>
    <w:rsid w:val="009B62BA"/>
    <w:rsid w:val="009C1195"/>
    <w:rsid w:val="009C216E"/>
    <w:rsid w:val="009C690B"/>
    <w:rsid w:val="009C6C76"/>
    <w:rsid w:val="009C6D54"/>
    <w:rsid w:val="009C6E8A"/>
    <w:rsid w:val="009D0224"/>
    <w:rsid w:val="009D0515"/>
    <w:rsid w:val="009D0C8D"/>
    <w:rsid w:val="009D1135"/>
    <w:rsid w:val="009D35CE"/>
    <w:rsid w:val="009D3B37"/>
    <w:rsid w:val="009E02B2"/>
    <w:rsid w:val="009E1755"/>
    <w:rsid w:val="009E2FAA"/>
    <w:rsid w:val="009E4711"/>
    <w:rsid w:val="009E4E25"/>
    <w:rsid w:val="009E4F44"/>
    <w:rsid w:val="009E55DE"/>
    <w:rsid w:val="009E6227"/>
    <w:rsid w:val="009E665A"/>
    <w:rsid w:val="009E6F20"/>
    <w:rsid w:val="009E6F90"/>
    <w:rsid w:val="009E7699"/>
    <w:rsid w:val="009F0C5B"/>
    <w:rsid w:val="009F1930"/>
    <w:rsid w:val="009F5EF1"/>
    <w:rsid w:val="009F5F9C"/>
    <w:rsid w:val="009F61FF"/>
    <w:rsid w:val="009F660D"/>
    <w:rsid w:val="00A0080B"/>
    <w:rsid w:val="00A0402A"/>
    <w:rsid w:val="00A07159"/>
    <w:rsid w:val="00A07505"/>
    <w:rsid w:val="00A10485"/>
    <w:rsid w:val="00A132D1"/>
    <w:rsid w:val="00A1761B"/>
    <w:rsid w:val="00A17BF1"/>
    <w:rsid w:val="00A265A7"/>
    <w:rsid w:val="00A26A1D"/>
    <w:rsid w:val="00A26B47"/>
    <w:rsid w:val="00A26EE0"/>
    <w:rsid w:val="00A27CDF"/>
    <w:rsid w:val="00A313F8"/>
    <w:rsid w:val="00A31991"/>
    <w:rsid w:val="00A33D29"/>
    <w:rsid w:val="00A35E9E"/>
    <w:rsid w:val="00A37ECC"/>
    <w:rsid w:val="00A40FA8"/>
    <w:rsid w:val="00A411CF"/>
    <w:rsid w:val="00A4570E"/>
    <w:rsid w:val="00A4783B"/>
    <w:rsid w:val="00A5134C"/>
    <w:rsid w:val="00A51C3E"/>
    <w:rsid w:val="00A54BFB"/>
    <w:rsid w:val="00A55DB6"/>
    <w:rsid w:val="00A56A4D"/>
    <w:rsid w:val="00A57B90"/>
    <w:rsid w:val="00A6225D"/>
    <w:rsid w:val="00A676D8"/>
    <w:rsid w:val="00A701A7"/>
    <w:rsid w:val="00A71732"/>
    <w:rsid w:val="00A722EC"/>
    <w:rsid w:val="00A726C1"/>
    <w:rsid w:val="00A72C2C"/>
    <w:rsid w:val="00A74954"/>
    <w:rsid w:val="00A81D09"/>
    <w:rsid w:val="00A81E28"/>
    <w:rsid w:val="00A81F6F"/>
    <w:rsid w:val="00A82205"/>
    <w:rsid w:val="00A82F4D"/>
    <w:rsid w:val="00A85A42"/>
    <w:rsid w:val="00A86CC6"/>
    <w:rsid w:val="00A87964"/>
    <w:rsid w:val="00A903F9"/>
    <w:rsid w:val="00A90A9D"/>
    <w:rsid w:val="00A932D5"/>
    <w:rsid w:val="00A93CF5"/>
    <w:rsid w:val="00A95373"/>
    <w:rsid w:val="00A95C10"/>
    <w:rsid w:val="00A96703"/>
    <w:rsid w:val="00A97F0F"/>
    <w:rsid w:val="00AA02B9"/>
    <w:rsid w:val="00AA12DB"/>
    <w:rsid w:val="00AA1A49"/>
    <w:rsid w:val="00AA6205"/>
    <w:rsid w:val="00AA70EA"/>
    <w:rsid w:val="00AB0222"/>
    <w:rsid w:val="00AB568B"/>
    <w:rsid w:val="00AC0F9C"/>
    <w:rsid w:val="00AC1711"/>
    <w:rsid w:val="00AC1CDD"/>
    <w:rsid w:val="00AC243F"/>
    <w:rsid w:val="00AC301B"/>
    <w:rsid w:val="00AC3430"/>
    <w:rsid w:val="00AC353C"/>
    <w:rsid w:val="00AC7791"/>
    <w:rsid w:val="00AD19E9"/>
    <w:rsid w:val="00AD1D10"/>
    <w:rsid w:val="00AD58A0"/>
    <w:rsid w:val="00AD5AF9"/>
    <w:rsid w:val="00AD6BA2"/>
    <w:rsid w:val="00AE0F33"/>
    <w:rsid w:val="00AE1A48"/>
    <w:rsid w:val="00AE1DBF"/>
    <w:rsid w:val="00AE2435"/>
    <w:rsid w:val="00AE2778"/>
    <w:rsid w:val="00AE34D2"/>
    <w:rsid w:val="00AE4207"/>
    <w:rsid w:val="00AE5D28"/>
    <w:rsid w:val="00AE615B"/>
    <w:rsid w:val="00AF1A13"/>
    <w:rsid w:val="00AF2736"/>
    <w:rsid w:val="00AF287D"/>
    <w:rsid w:val="00AF2D90"/>
    <w:rsid w:val="00AF300A"/>
    <w:rsid w:val="00AF3648"/>
    <w:rsid w:val="00AF54D0"/>
    <w:rsid w:val="00AF66BF"/>
    <w:rsid w:val="00AF75A2"/>
    <w:rsid w:val="00B0078A"/>
    <w:rsid w:val="00B00A51"/>
    <w:rsid w:val="00B01C4B"/>
    <w:rsid w:val="00B01CF9"/>
    <w:rsid w:val="00B02E09"/>
    <w:rsid w:val="00B0457A"/>
    <w:rsid w:val="00B049DE"/>
    <w:rsid w:val="00B06E5B"/>
    <w:rsid w:val="00B10C3B"/>
    <w:rsid w:val="00B116B0"/>
    <w:rsid w:val="00B118AC"/>
    <w:rsid w:val="00B12E17"/>
    <w:rsid w:val="00B134AA"/>
    <w:rsid w:val="00B17401"/>
    <w:rsid w:val="00B177C0"/>
    <w:rsid w:val="00B202B1"/>
    <w:rsid w:val="00B2114A"/>
    <w:rsid w:val="00B2221A"/>
    <w:rsid w:val="00B22414"/>
    <w:rsid w:val="00B24075"/>
    <w:rsid w:val="00B32297"/>
    <w:rsid w:val="00B33BDE"/>
    <w:rsid w:val="00B33C55"/>
    <w:rsid w:val="00B3430E"/>
    <w:rsid w:val="00B41D40"/>
    <w:rsid w:val="00B41E77"/>
    <w:rsid w:val="00B42058"/>
    <w:rsid w:val="00B42BAD"/>
    <w:rsid w:val="00B42EF8"/>
    <w:rsid w:val="00B43B08"/>
    <w:rsid w:val="00B453B9"/>
    <w:rsid w:val="00B46206"/>
    <w:rsid w:val="00B52453"/>
    <w:rsid w:val="00B53C11"/>
    <w:rsid w:val="00B54876"/>
    <w:rsid w:val="00B561D1"/>
    <w:rsid w:val="00B56759"/>
    <w:rsid w:val="00B5725B"/>
    <w:rsid w:val="00B579ED"/>
    <w:rsid w:val="00B603A0"/>
    <w:rsid w:val="00B61D53"/>
    <w:rsid w:val="00B624E4"/>
    <w:rsid w:val="00B62C54"/>
    <w:rsid w:val="00B636DE"/>
    <w:rsid w:val="00B6487D"/>
    <w:rsid w:val="00B64B7D"/>
    <w:rsid w:val="00B6507E"/>
    <w:rsid w:val="00B67005"/>
    <w:rsid w:val="00B71227"/>
    <w:rsid w:val="00B72BAB"/>
    <w:rsid w:val="00B73143"/>
    <w:rsid w:val="00B73691"/>
    <w:rsid w:val="00B74CBD"/>
    <w:rsid w:val="00B75BE7"/>
    <w:rsid w:val="00B76CAB"/>
    <w:rsid w:val="00B76F5C"/>
    <w:rsid w:val="00B801E5"/>
    <w:rsid w:val="00B80310"/>
    <w:rsid w:val="00B81D73"/>
    <w:rsid w:val="00B8351C"/>
    <w:rsid w:val="00B84662"/>
    <w:rsid w:val="00B84A38"/>
    <w:rsid w:val="00B8513B"/>
    <w:rsid w:val="00B916F6"/>
    <w:rsid w:val="00B948B2"/>
    <w:rsid w:val="00B94D0F"/>
    <w:rsid w:val="00B97035"/>
    <w:rsid w:val="00B979CB"/>
    <w:rsid w:val="00BA06C3"/>
    <w:rsid w:val="00BA0CEA"/>
    <w:rsid w:val="00BA12D3"/>
    <w:rsid w:val="00BA27AB"/>
    <w:rsid w:val="00BA2BA4"/>
    <w:rsid w:val="00BA3B0C"/>
    <w:rsid w:val="00BA4C88"/>
    <w:rsid w:val="00BA772D"/>
    <w:rsid w:val="00BA77FA"/>
    <w:rsid w:val="00BB0B5D"/>
    <w:rsid w:val="00BB1122"/>
    <w:rsid w:val="00BB24AB"/>
    <w:rsid w:val="00BC03BE"/>
    <w:rsid w:val="00BC0E2B"/>
    <w:rsid w:val="00BC1A6E"/>
    <w:rsid w:val="00BC3BAF"/>
    <w:rsid w:val="00BC789C"/>
    <w:rsid w:val="00BD0192"/>
    <w:rsid w:val="00BD15C0"/>
    <w:rsid w:val="00BD1EFD"/>
    <w:rsid w:val="00BD2083"/>
    <w:rsid w:val="00BD2F62"/>
    <w:rsid w:val="00BD5C29"/>
    <w:rsid w:val="00BD6185"/>
    <w:rsid w:val="00BD64B8"/>
    <w:rsid w:val="00BD67F1"/>
    <w:rsid w:val="00BD73D1"/>
    <w:rsid w:val="00BE048C"/>
    <w:rsid w:val="00BE0ED8"/>
    <w:rsid w:val="00BE21C3"/>
    <w:rsid w:val="00BE24F1"/>
    <w:rsid w:val="00BE5763"/>
    <w:rsid w:val="00BE57D0"/>
    <w:rsid w:val="00BE6AC8"/>
    <w:rsid w:val="00BE6F73"/>
    <w:rsid w:val="00BE797D"/>
    <w:rsid w:val="00BE7BB9"/>
    <w:rsid w:val="00BE7F7B"/>
    <w:rsid w:val="00BF03FF"/>
    <w:rsid w:val="00BF24DF"/>
    <w:rsid w:val="00BF2982"/>
    <w:rsid w:val="00BF4A94"/>
    <w:rsid w:val="00BF5471"/>
    <w:rsid w:val="00BF7037"/>
    <w:rsid w:val="00C0008A"/>
    <w:rsid w:val="00C013CD"/>
    <w:rsid w:val="00C014A3"/>
    <w:rsid w:val="00C04186"/>
    <w:rsid w:val="00C065D6"/>
    <w:rsid w:val="00C10221"/>
    <w:rsid w:val="00C1090F"/>
    <w:rsid w:val="00C11BD5"/>
    <w:rsid w:val="00C125DF"/>
    <w:rsid w:val="00C1522C"/>
    <w:rsid w:val="00C154D1"/>
    <w:rsid w:val="00C17438"/>
    <w:rsid w:val="00C2271B"/>
    <w:rsid w:val="00C22C31"/>
    <w:rsid w:val="00C22CA3"/>
    <w:rsid w:val="00C23854"/>
    <w:rsid w:val="00C247D0"/>
    <w:rsid w:val="00C26BA1"/>
    <w:rsid w:val="00C27E6E"/>
    <w:rsid w:val="00C300E2"/>
    <w:rsid w:val="00C31AD0"/>
    <w:rsid w:val="00C31B77"/>
    <w:rsid w:val="00C327EA"/>
    <w:rsid w:val="00C40075"/>
    <w:rsid w:val="00C40F12"/>
    <w:rsid w:val="00C41047"/>
    <w:rsid w:val="00C41401"/>
    <w:rsid w:val="00C4450F"/>
    <w:rsid w:val="00C453C1"/>
    <w:rsid w:val="00C45852"/>
    <w:rsid w:val="00C5442F"/>
    <w:rsid w:val="00C54CA1"/>
    <w:rsid w:val="00C54D76"/>
    <w:rsid w:val="00C56377"/>
    <w:rsid w:val="00C56981"/>
    <w:rsid w:val="00C56A73"/>
    <w:rsid w:val="00C612A6"/>
    <w:rsid w:val="00C61A4D"/>
    <w:rsid w:val="00C62B01"/>
    <w:rsid w:val="00C641A4"/>
    <w:rsid w:val="00C658CC"/>
    <w:rsid w:val="00C672A2"/>
    <w:rsid w:val="00C67684"/>
    <w:rsid w:val="00C677FE"/>
    <w:rsid w:val="00C74E32"/>
    <w:rsid w:val="00C76026"/>
    <w:rsid w:val="00C77758"/>
    <w:rsid w:val="00C803C2"/>
    <w:rsid w:val="00C82968"/>
    <w:rsid w:val="00C8331F"/>
    <w:rsid w:val="00C838AC"/>
    <w:rsid w:val="00C83960"/>
    <w:rsid w:val="00C8557D"/>
    <w:rsid w:val="00C87644"/>
    <w:rsid w:val="00C917B2"/>
    <w:rsid w:val="00C91829"/>
    <w:rsid w:val="00C94CF4"/>
    <w:rsid w:val="00C94EFB"/>
    <w:rsid w:val="00C9726E"/>
    <w:rsid w:val="00C97323"/>
    <w:rsid w:val="00CA5AD6"/>
    <w:rsid w:val="00CB0317"/>
    <w:rsid w:val="00CB03BB"/>
    <w:rsid w:val="00CB0F4D"/>
    <w:rsid w:val="00CB15B2"/>
    <w:rsid w:val="00CB2A5C"/>
    <w:rsid w:val="00CB39FA"/>
    <w:rsid w:val="00CB5F94"/>
    <w:rsid w:val="00CB6AD1"/>
    <w:rsid w:val="00CB7260"/>
    <w:rsid w:val="00CB79DE"/>
    <w:rsid w:val="00CC00BA"/>
    <w:rsid w:val="00CC290E"/>
    <w:rsid w:val="00CC31FE"/>
    <w:rsid w:val="00CC41D2"/>
    <w:rsid w:val="00CC45EB"/>
    <w:rsid w:val="00CC52E1"/>
    <w:rsid w:val="00CC6A8B"/>
    <w:rsid w:val="00CC6CE3"/>
    <w:rsid w:val="00CD05E7"/>
    <w:rsid w:val="00CD129F"/>
    <w:rsid w:val="00CD318D"/>
    <w:rsid w:val="00CD3949"/>
    <w:rsid w:val="00CD48BC"/>
    <w:rsid w:val="00CD5040"/>
    <w:rsid w:val="00CD7505"/>
    <w:rsid w:val="00CD7BC2"/>
    <w:rsid w:val="00CE015D"/>
    <w:rsid w:val="00CE1E5C"/>
    <w:rsid w:val="00CE31BE"/>
    <w:rsid w:val="00CE4E5D"/>
    <w:rsid w:val="00CF1AD7"/>
    <w:rsid w:val="00CF60EC"/>
    <w:rsid w:val="00CF68B2"/>
    <w:rsid w:val="00CF7EEA"/>
    <w:rsid w:val="00D0309C"/>
    <w:rsid w:val="00D0432F"/>
    <w:rsid w:val="00D10D74"/>
    <w:rsid w:val="00D156BD"/>
    <w:rsid w:val="00D203CF"/>
    <w:rsid w:val="00D21393"/>
    <w:rsid w:val="00D21A03"/>
    <w:rsid w:val="00D21C0E"/>
    <w:rsid w:val="00D21E28"/>
    <w:rsid w:val="00D30569"/>
    <w:rsid w:val="00D31572"/>
    <w:rsid w:val="00D318FF"/>
    <w:rsid w:val="00D32FFE"/>
    <w:rsid w:val="00D34A4C"/>
    <w:rsid w:val="00D3770A"/>
    <w:rsid w:val="00D37D7E"/>
    <w:rsid w:val="00D40917"/>
    <w:rsid w:val="00D409AE"/>
    <w:rsid w:val="00D41522"/>
    <w:rsid w:val="00D424E1"/>
    <w:rsid w:val="00D43011"/>
    <w:rsid w:val="00D43EE1"/>
    <w:rsid w:val="00D46970"/>
    <w:rsid w:val="00D47CEB"/>
    <w:rsid w:val="00D502AA"/>
    <w:rsid w:val="00D53BB3"/>
    <w:rsid w:val="00D54BA6"/>
    <w:rsid w:val="00D55319"/>
    <w:rsid w:val="00D5726C"/>
    <w:rsid w:val="00D60433"/>
    <w:rsid w:val="00D62066"/>
    <w:rsid w:val="00D63368"/>
    <w:rsid w:val="00D641D1"/>
    <w:rsid w:val="00D6452E"/>
    <w:rsid w:val="00D660FC"/>
    <w:rsid w:val="00D6663B"/>
    <w:rsid w:val="00D67339"/>
    <w:rsid w:val="00D702FA"/>
    <w:rsid w:val="00D702FC"/>
    <w:rsid w:val="00D73F3B"/>
    <w:rsid w:val="00D74F5F"/>
    <w:rsid w:val="00D756D2"/>
    <w:rsid w:val="00D75A53"/>
    <w:rsid w:val="00D762C9"/>
    <w:rsid w:val="00D77CA6"/>
    <w:rsid w:val="00D808F6"/>
    <w:rsid w:val="00D817DC"/>
    <w:rsid w:val="00D84514"/>
    <w:rsid w:val="00D86C81"/>
    <w:rsid w:val="00D875C6"/>
    <w:rsid w:val="00D87660"/>
    <w:rsid w:val="00D905CB"/>
    <w:rsid w:val="00D9209A"/>
    <w:rsid w:val="00D920D5"/>
    <w:rsid w:val="00D94544"/>
    <w:rsid w:val="00D94C97"/>
    <w:rsid w:val="00D95121"/>
    <w:rsid w:val="00DA016A"/>
    <w:rsid w:val="00DA2503"/>
    <w:rsid w:val="00DA522C"/>
    <w:rsid w:val="00DA53F0"/>
    <w:rsid w:val="00DA6894"/>
    <w:rsid w:val="00DA7CE0"/>
    <w:rsid w:val="00DB0C32"/>
    <w:rsid w:val="00DB47EA"/>
    <w:rsid w:val="00DB4A47"/>
    <w:rsid w:val="00DB6351"/>
    <w:rsid w:val="00DC3340"/>
    <w:rsid w:val="00DC3DF9"/>
    <w:rsid w:val="00DC5790"/>
    <w:rsid w:val="00DC5F12"/>
    <w:rsid w:val="00DD0C4D"/>
    <w:rsid w:val="00DD0E20"/>
    <w:rsid w:val="00DD15B8"/>
    <w:rsid w:val="00DD1ACC"/>
    <w:rsid w:val="00DD1E4B"/>
    <w:rsid w:val="00DD382F"/>
    <w:rsid w:val="00DD4E53"/>
    <w:rsid w:val="00DE0AC0"/>
    <w:rsid w:val="00DE17CC"/>
    <w:rsid w:val="00DE2007"/>
    <w:rsid w:val="00DE211D"/>
    <w:rsid w:val="00DE521C"/>
    <w:rsid w:val="00DE61A9"/>
    <w:rsid w:val="00DF3A62"/>
    <w:rsid w:val="00DF4214"/>
    <w:rsid w:val="00DF621D"/>
    <w:rsid w:val="00E00C6D"/>
    <w:rsid w:val="00E02349"/>
    <w:rsid w:val="00E06560"/>
    <w:rsid w:val="00E1452C"/>
    <w:rsid w:val="00E201EA"/>
    <w:rsid w:val="00E208AD"/>
    <w:rsid w:val="00E20B04"/>
    <w:rsid w:val="00E22060"/>
    <w:rsid w:val="00E22433"/>
    <w:rsid w:val="00E22747"/>
    <w:rsid w:val="00E238B8"/>
    <w:rsid w:val="00E2607E"/>
    <w:rsid w:val="00E269D1"/>
    <w:rsid w:val="00E26ADA"/>
    <w:rsid w:val="00E30379"/>
    <w:rsid w:val="00E317B9"/>
    <w:rsid w:val="00E32F9F"/>
    <w:rsid w:val="00E37602"/>
    <w:rsid w:val="00E37BBC"/>
    <w:rsid w:val="00E405DC"/>
    <w:rsid w:val="00E40BE1"/>
    <w:rsid w:val="00E40E2E"/>
    <w:rsid w:val="00E40F1A"/>
    <w:rsid w:val="00E42F88"/>
    <w:rsid w:val="00E44596"/>
    <w:rsid w:val="00E46736"/>
    <w:rsid w:val="00E46C2C"/>
    <w:rsid w:val="00E512F5"/>
    <w:rsid w:val="00E531C9"/>
    <w:rsid w:val="00E5468D"/>
    <w:rsid w:val="00E558DC"/>
    <w:rsid w:val="00E563DC"/>
    <w:rsid w:val="00E612D4"/>
    <w:rsid w:val="00E61F9C"/>
    <w:rsid w:val="00E62144"/>
    <w:rsid w:val="00E653FF"/>
    <w:rsid w:val="00E664DB"/>
    <w:rsid w:val="00E66E38"/>
    <w:rsid w:val="00E670FD"/>
    <w:rsid w:val="00E7088B"/>
    <w:rsid w:val="00E70D7E"/>
    <w:rsid w:val="00E71E0F"/>
    <w:rsid w:val="00E71FEC"/>
    <w:rsid w:val="00E72C82"/>
    <w:rsid w:val="00E72DA1"/>
    <w:rsid w:val="00E74244"/>
    <w:rsid w:val="00E742E8"/>
    <w:rsid w:val="00E74E35"/>
    <w:rsid w:val="00E75656"/>
    <w:rsid w:val="00E765C5"/>
    <w:rsid w:val="00E807B6"/>
    <w:rsid w:val="00E8215E"/>
    <w:rsid w:val="00E824CB"/>
    <w:rsid w:val="00E83264"/>
    <w:rsid w:val="00E85FD7"/>
    <w:rsid w:val="00E86159"/>
    <w:rsid w:val="00E8625F"/>
    <w:rsid w:val="00E86EA5"/>
    <w:rsid w:val="00E91015"/>
    <w:rsid w:val="00E96C82"/>
    <w:rsid w:val="00E96FBF"/>
    <w:rsid w:val="00E976A0"/>
    <w:rsid w:val="00EA20EB"/>
    <w:rsid w:val="00EA4D07"/>
    <w:rsid w:val="00EA6684"/>
    <w:rsid w:val="00EA690E"/>
    <w:rsid w:val="00EB0CE2"/>
    <w:rsid w:val="00EB33EE"/>
    <w:rsid w:val="00EB3FB1"/>
    <w:rsid w:val="00EB503E"/>
    <w:rsid w:val="00EC0C98"/>
    <w:rsid w:val="00EC2584"/>
    <w:rsid w:val="00EC28E9"/>
    <w:rsid w:val="00EC38D0"/>
    <w:rsid w:val="00EC40DC"/>
    <w:rsid w:val="00EC5347"/>
    <w:rsid w:val="00EC58FE"/>
    <w:rsid w:val="00EC6931"/>
    <w:rsid w:val="00ED0E23"/>
    <w:rsid w:val="00ED252D"/>
    <w:rsid w:val="00ED3E1C"/>
    <w:rsid w:val="00ED4141"/>
    <w:rsid w:val="00ED453E"/>
    <w:rsid w:val="00ED6D3A"/>
    <w:rsid w:val="00EE0D7B"/>
    <w:rsid w:val="00EE149C"/>
    <w:rsid w:val="00EE2079"/>
    <w:rsid w:val="00EE40CB"/>
    <w:rsid w:val="00EE41DB"/>
    <w:rsid w:val="00EE41E5"/>
    <w:rsid w:val="00EE4F18"/>
    <w:rsid w:val="00EE5D7C"/>
    <w:rsid w:val="00EE5E28"/>
    <w:rsid w:val="00EE69FE"/>
    <w:rsid w:val="00EF1712"/>
    <w:rsid w:val="00EF253F"/>
    <w:rsid w:val="00EF3B9A"/>
    <w:rsid w:val="00EF4D01"/>
    <w:rsid w:val="00EF4F6F"/>
    <w:rsid w:val="00EF539F"/>
    <w:rsid w:val="00EF5C8C"/>
    <w:rsid w:val="00EF7B6C"/>
    <w:rsid w:val="00F0200F"/>
    <w:rsid w:val="00F02673"/>
    <w:rsid w:val="00F03E10"/>
    <w:rsid w:val="00F051EB"/>
    <w:rsid w:val="00F06910"/>
    <w:rsid w:val="00F07808"/>
    <w:rsid w:val="00F107B9"/>
    <w:rsid w:val="00F13823"/>
    <w:rsid w:val="00F14A13"/>
    <w:rsid w:val="00F157BF"/>
    <w:rsid w:val="00F1593B"/>
    <w:rsid w:val="00F20D4D"/>
    <w:rsid w:val="00F24712"/>
    <w:rsid w:val="00F2660C"/>
    <w:rsid w:val="00F27837"/>
    <w:rsid w:val="00F27D4A"/>
    <w:rsid w:val="00F3156B"/>
    <w:rsid w:val="00F3202A"/>
    <w:rsid w:val="00F32C3D"/>
    <w:rsid w:val="00F34E4D"/>
    <w:rsid w:val="00F358B4"/>
    <w:rsid w:val="00F36F75"/>
    <w:rsid w:val="00F37C59"/>
    <w:rsid w:val="00F4294F"/>
    <w:rsid w:val="00F43404"/>
    <w:rsid w:val="00F51C5C"/>
    <w:rsid w:val="00F52546"/>
    <w:rsid w:val="00F52724"/>
    <w:rsid w:val="00F52D80"/>
    <w:rsid w:val="00F54A88"/>
    <w:rsid w:val="00F554AC"/>
    <w:rsid w:val="00F557DF"/>
    <w:rsid w:val="00F55C26"/>
    <w:rsid w:val="00F57581"/>
    <w:rsid w:val="00F61809"/>
    <w:rsid w:val="00F61B6B"/>
    <w:rsid w:val="00F629F4"/>
    <w:rsid w:val="00F62CAF"/>
    <w:rsid w:val="00F678F4"/>
    <w:rsid w:val="00F67D4D"/>
    <w:rsid w:val="00F70555"/>
    <w:rsid w:val="00F71600"/>
    <w:rsid w:val="00F718D3"/>
    <w:rsid w:val="00F7312B"/>
    <w:rsid w:val="00F76553"/>
    <w:rsid w:val="00F76F60"/>
    <w:rsid w:val="00F81481"/>
    <w:rsid w:val="00F817E6"/>
    <w:rsid w:val="00F82449"/>
    <w:rsid w:val="00F83DB4"/>
    <w:rsid w:val="00F85EAC"/>
    <w:rsid w:val="00F90A0B"/>
    <w:rsid w:val="00F90B72"/>
    <w:rsid w:val="00F91540"/>
    <w:rsid w:val="00F919B0"/>
    <w:rsid w:val="00F943C5"/>
    <w:rsid w:val="00FA0022"/>
    <w:rsid w:val="00FA0D97"/>
    <w:rsid w:val="00FA1B7C"/>
    <w:rsid w:val="00FA3DAE"/>
    <w:rsid w:val="00FA40E1"/>
    <w:rsid w:val="00FA443C"/>
    <w:rsid w:val="00FA5C72"/>
    <w:rsid w:val="00FA64AA"/>
    <w:rsid w:val="00FA7FA2"/>
    <w:rsid w:val="00FB0EE0"/>
    <w:rsid w:val="00FB1267"/>
    <w:rsid w:val="00FB3292"/>
    <w:rsid w:val="00FB35C2"/>
    <w:rsid w:val="00FB4EC5"/>
    <w:rsid w:val="00FB593A"/>
    <w:rsid w:val="00FB6E51"/>
    <w:rsid w:val="00FC0576"/>
    <w:rsid w:val="00FC0D02"/>
    <w:rsid w:val="00FD4968"/>
    <w:rsid w:val="00FD544C"/>
    <w:rsid w:val="00FD77E7"/>
    <w:rsid w:val="00FD7C66"/>
    <w:rsid w:val="00FE0266"/>
    <w:rsid w:val="00FE2FCC"/>
    <w:rsid w:val="00FE4529"/>
    <w:rsid w:val="00FE5F75"/>
    <w:rsid w:val="00FE6043"/>
    <w:rsid w:val="00FE7031"/>
    <w:rsid w:val="00FF00F1"/>
    <w:rsid w:val="00FF0B92"/>
    <w:rsid w:val="00FF1517"/>
    <w:rsid w:val="00FF1571"/>
    <w:rsid w:val="00FF1F01"/>
    <w:rsid w:val="00FF2D33"/>
    <w:rsid w:val="00FF576E"/>
    <w:rsid w:val="00FF5880"/>
    <w:rsid w:val="00FF7678"/>
  </w:rsids>
  <m:mathPr>
    <m:mathFont m:val="Cambria Math"/>
    <m:brkBin m:val="before"/>
    <m:brkBinSub m:val="--"/>
    <m:smallFrac m:val="0"/>
    <m:dispDef/>
    <m:lMargin m:val="0"/>
    <m:rMargin m:val="0"/>
    <m:defJc m:val="centerGroup"/>
    <m:wrapIndent m:val="1440"/>
    <m:intLim m:val="subSup"/>
    <m:naryLim m:val="undOvr"/>
  </m:mathPr>
  <w:themeFontLang w:val="cs-CZ"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AB8BE"/>
  <w15:docId w15:val="{293E7967-499D-47A6-B12B-16A189E4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3A2B"/>
    <w:rPr>
      <w:rFonts w:ascii="Arial" w:hAnsi="Arial" w:cs="Arial"/>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outlineLvl w:val="1"/>
    </w:pPr>
    <w:rPr>
      <w:b/>
      <w:bCs/>
      <w:caps/>
    </w:rPr>
  </w:style>
  <w:style w:type="paragraph" w:styleId="Nadpis3">
    <w:name w:val="heading 3"/>
    <w:basedOn w:val="Normln"/>
    <w:next w:val="Normln"/>
    <w:qFormat/>
    <w:pPr>
      <w:keepNext/>
      <w:jc w:val="both"/>
      <w:outlineLvl w:val="2"/>
    </w:pPr>
    <w:rPr>
      <w:rFonts w:ascii="Times New Roman" w:hAnsi="Times New Roman" w:cs="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character" w:styleId="Hypertextovodkaz">
    <w:name w:val="Hyperlink"/>
    <w:uiPriority w:val="99"/>
    <w:rPr>
      <w:color w:val="0000FF"/>
      <w:u w:val="single"/>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styleId="Odstavecseseznamem">
    <w:name w:val="List Paragraph"/>
    <w:basedOn w:val="Normln"/>
    <w:uiPriority w:val="34"/>
    <w:qFormat/>
    <w:rsid w:val="00C658CC"/>
    <w:pPr>
      <w:spacing w:after="200" w:line="276" w:lineRule="auto"/>
      <w:ind w:left="720"/>
      <w:contextualSpacing/>
    </w:pPr>
    <w:rPr>
      <w:rFonts w:ascii="Calibri" w:eastAsia="Calibri" w:hAnsi="Calibri" w:cs="Times New Roman"/>
      <w:sz w:val="22"/>
      <w:szCs w:val="22"/>
      <w:lang w:eastAsia="en-US"/>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hlav">
    <w:name w:val="header"/>
    <w:basedOn w:val="Normln"/>
    <w:link w:val="ZhlavChar"/>
    <w:uiPriority w:val="99"/>
    <w:pPr>
      <w:tabs>
        <w:tab w:val="center" w:pos="4536"/>
        <w:tab w:val="right" w:pos="9072"/>
      </w:tabs>
    </w:pPr>
  </w:style>
  <w:style w:type="paragraph" w:styleId="Textpoznpodarou">
    <w:name w:val="footnote text"/>
    <w:basedOn w:val="Normln"/>
    <w:link w:val="TextpoznpodarouChar"/>
    <w:uiPriority w:val="99"/>
    <w:rsid w:val="00E37BBC"/>
    <w:rPr>
      <w:rFonts w:ascii="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E37BBC"/>
  </w:style>
  <w:style w:type="character" w:customStyle="1" w:styleId="apple-style-span">
    <w:name w:val="apple-style-span"/>
    <w:basedOn w:val="Standardnpsmoodstavce"/>
    <w:rsid w:val="00985AE3"/>
  </w:style>
  <w:style w:type="paragraph" w:customStyle="1" w:styleId="Default">
    <w:name w:val="Default"/>
    <w:rsid w:val="00406DC6"/>
    <w:pPr>
      <w:autoSpaceDE w:val="0"/>
      <w:autoSpaceDN w:val="0"/>
      <w:adjustRightInd w:val="0"/>
    </w:pPr>
    <w:rPr>
      <w:rFonts w:ascii="Verdana" w:hAnsi="Verdana" w:cs="Verdana"/>
      <w:color w:val="000000"/>
      <w:sz w:val="24"/>
      <w:szCs w:val="24"/>
    </w:rPr>
  </w:style>
  <w:style w:type="paragraph" w:styleId="Normlnweb">
    <w:name w:val="Normal (Web)"/>
    <w:basedOn w:val="Normln"/>
    <w:uiPriority w:val="99"/>
    <w:rsid w:val="00B97035"/>
    <w:pPr>
      <w:spacing w:before="100" w:beforeAutospacing="1" w:after="100" w:afterAutospacing="1"/>
    </w:pPr>
    <w:rPr>
      <w:rFonts w:ascii="Times New Roman" w:hAnsi="Times New Roman" w:cs="Times New Roman"/>
      <w:color w:val="000000"/>
    </w:rPr>
  </w:style>
  <w:style w:type="paragraph" w:customStyle="1" w:styleId="Zkladntext21">
    <w:name w:val="Základní text 21"/>
    <w:basedOn w:val="Normln"/>
    <w:uiPriority w:val="99"/>
    <w:rsid w:val="00C013CD"/>
    <w:pPr>
      <w:suppressAutoHyphens/>
    </w:pPr>
    <w:rPr>
      <w:rFonts w:ascii="Times New Roman" w:hAnsi="Times New Roman" w:cs="Times New Roman"/>
      <w:b/>
      <w:i/>
      <w:szCs w:val="20"/>
      <w:lang w:eastAsia="ar-SA"/>
    </w:rPr>
  </w:style>
  <w:style w:type="character" w:customStyle="1" w:styleId="ZhlavChar">
    <w:name w:val="Záhlaví Char"/>
    <w:link w:val="Zhlav"/>
    <w:uiPriority w:val="99"/>
    <w:rsid w:val="00455659"/>
    <w:rPr>
      <w:rFonts w:ascii="Arial" w:hAnsi="Arial" w:cs="Arial"/>
      <w:sz w:val="24"/>
      <w:szCs w:val="24"/>
    </w:rPr>
  </w:style>
  <w:style w:type="paragraph" w:styleId="Zkladntextodsazen3">
    <w:name w:val="Body Text Indent 3"/>
    <w:basedOn w:val="Normln"/>
    <w:link w:val="Zkladntextodsazen3Char"/>
    <w:uiPriority w:val="99"/>
    <w:semiHidden/>
    <w:unhideWhenUsed/>
    <w:rsid w:val="00F51C5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51C5C"/>
    <w:rPr>
      <w:rFonts w:ascii="Arial" w:hAnsi="Arial" w:cs="Arial"/>
      <w:sz w:val="16"/>
      <w:szCs w:val="16"/>
    </w:rPr>
  </w:style>
  <w:style w:type="paragraph" w:customStyle="1" w:styleId="Zkladntext31">
    <w:name w:val="Základní text 31"/>
    <w:basedOn w:val="Normln"/>
    <w:uiPriority w:val="99"/>
    <w:rsid w:val="00A54BFB"/>
    <w:pPr>
      <w:suppressAutoHyphens/>
      <w:jc w:val="both"/>
    </w:pPr>
    <w:rPr>
      <w:sz w:val="18"/>
      <w:szCs w:val="20"/>
      <w:lang w:eastAsia="ar-SA"/>
    </w:rPr>
  </w:style>
  <w:style w:type="paragraph" w:customStyle="1" w:styleId="Pipomnkovlist-slovan">
    <w:name w:val="Připomínkový list - číslované"/>
    <w:basedOn w:val="Normln"/>
    <w:link w:val="Pipomnkovlist-slovanChar"/>
    <w:qFormat/>
    <w:rsid w:val="00A4783B"/>
    <w:pPr>
      <w:numPr>
        <w:numId w:val="19"/>
      </w:numPr>
      <w:jc w:val="both"/>
    </w:pPr>
    <w:rPr>
      <w:rFonts w:eastAsia="Calibri"/>
      <w:sz w:val="22"/>
      <w:szCs w:val="22"/>
      <w:lang w:eastAsia="en-US"/>
    </w:rPr>
  </w:style>
  <w:style w:type="character" w:customStyle="1" w:styleId="Pipomnkovlist-slovanChar">
    <w:name w:val="Připomínkový list - číslované Char"/>
    <w:link w:val="Pipomnkovlist-slovan"/>
    <w:rsid w:val="00A4783B"/>
    <w:rPr>
      <w:rFonts w:ascii="Arial" w:eastAsia="Calibri" w:hAnsi="Arial" w:cs="Arial"/>
      <w:sz w:val="22"/>
      <w:szCs w:val="22"/>
      <w:lang w:eastAsia="en-US"/>
    </w:rPr>
  </w:style>
  <w:style w:type="character" w:styleId="Znakapoznpodarou">
    <w:name w:val="footnote reference"/>
    <w:basedOn w:val="Standardnpsmoodstavce"/>
    <w:uiPriority w:val="99"/>
    <w:semiHidden/>
    <w:rsid w:val="00C54CA1"/>
    <w:rPr>
      <w:vertAlign w:val="superscript"/>
    </w:rPr>
  </w:style>
  <w:style w:type="table" w:styleId="Mkatabulky">
    <w:name w:val="Table Grid"/>
    <w:basedOn w:val="Normlntabulka"/>
    <w:uiPriority w:val="39"/>
    <w:rsid w:val="009E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rsid w:val="00E40F1A"/>
    <w:rPr>
      <w:rFonts w:ascii="Arial" w:hAnsi="Arial" w:cs="Arial"/>
    </w:rPr>
  </w:style>
  <w:style w:type="paragraph" w:styleId="Bezmezer">
    <w:name w:val="No Spacing"/>
    <w:uiPriority w:val="1"/>
    <w:qFormat/>
    <w:rsid w:val="00142CBB"/>
    <w:rPr>
      <w:rFonts w:ascii="Calibri" w:eastAsia="Calibri" w:hAnsi="Calibri"/>
      <w:sz w:val="22"/>
      <w:szCs w:val="22"/>
      <w:lang w:eastAsia="en-US"/>
    </w:rPr>
  </w:style>
  <w:style w:type="character" w:customStyle="1" w:styleId="st1">
    <w:name w:val="st1"/>
    <w:basedOn w:val="Standardnpsmoodstavce"/>
    <w:rsid w:val="001A2822"/>
  </w:style>
  <w:style w:type="paragraph" w:styleId="Textvysvtlivek">
    <w:name w:val="endnote text"/>
    <w:basedOn w:val="Normln"/>
    <w:link w:val="TextvysvtlivekChar"/>
    <w:uiPriority w:val="99"/>
    <w:semiHidden/>
    <w:unhideWhenUsed/>
    <w:rsid w:val="0056199A"/>
    <w:rPr>
      <w:sz w:val="20"/>
      <w:szCs w:val="20"/>
    </w:rPr>
  </w:style>
  <w:style w:type="character" w:customStyle="1" w:styleId="TextvysvtlivekChar">
    <w:name w:val="Text vysvětlivek Char"/>
    <w:basedOn w:val="Standardnpsmoodstavce"/>
    <w:link w:val="Textvysvtlivek"/>
    <w:uiPriority w:val="99"/>
    <w:semiHidden/>
    <w:rsid w:val="0056199A"/>
    <w:rPr>
      <w:rFonts w:ascii="Arial" w:hAnsi="Arial" w:cs="Arial"/>
    </w:rPr>
  </w:style>
  <w:style w:type="character" w:styleId="Odkaznavysvtlivky">
    <w:name w:val="endnote reference"/>
    <w:basedOn w:val="Standardnpsmoodstavce"/>
    <w:uiPriority w:val="99"/>
    <w:semiHidden/>
    <w:unhideWhenUsed/>
    <w:rsid w:val="0056199A"/>
    <w:rPr>
      <w:vertAlign w:val="superscript"/>
    </w:rPr>
  </w:style>
  <w:style w:type="character" w:customStyle="1" w:styleId="h1a6">
    <w:name w:val="h1a6"/>
    <w:basedOn w:val="Standardnpsmoodstavce"/>
    <w:rsid w:val="00411217"/>
    <w:rPr>
      <w:rFonts w:ascii="Arial" w:hAnsi="Arial" w:cs="Arial" w:hint="default"/>
      <w:i/>
      <w:iCs/>
      <w:vanish/>
      <w:webHidden w:val="0"/>
      <w:sz w:val="26"/>
      <w:szCs w:val="26"/>
      <w:specVanish/>
    </w:rPr>
  </w:style>
  <w:style w:type="paragraph" w:styleId="Revize">
    <w:name w:val="Revision"/>
    <w:hidden/>
    <w:uiPriority w:val="99"/>
    <w:semiHidden/>
    <w:rsid w:val="00913E45"/>
    <w:rPr>
      <w:rFonts w:ascii="Arial" w:hAnsi="Arial" w:cs="Arial"/>
      <w:sz w:val="24"/>
      <w:szCs w:val="24"/>
    </w:rPr>
  </w:style>
  <w:style w:type="character" w:customStyle="1" w:styleId="ZpatChar">
    <w:name w:val="Zápatí Char"/>
    <w:basedOn w:val="Standardnpsmoodstavce"/>
    <w:link w:val="Zpat"/>
    <w:uiPriority w:val="99"/>
    <w:rsid w:val="005F57B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67428">
      <w:bodyDiv w:val="1"/>
      <w:marLeft w:val="0"/>
      <w:marRight w:val="0"/>
      <w:marTop w:val="0"/>
      <w:marBottom w:val="0"/>
      <w:divBdr>
        <w:top w:val="none" w:sz="0" w:space="0" w:color="auto"/>
        <w:left w:val="none" w:sz="0" w:space="0" w:color="auto"/>
        <w:bottom w:val="none" w:sz="0" w:space="0" w:color="auto"/>
        <w:right w:val="none" w:sz="0" w:space="0" w:color="auto"/>
      </w:divBdr>
    </w:div>
    <w:div w:id="447163301">
      <w:bodyDiv w:val="1"/>
      <w:marLeft w:val="0"/>
      <w:marRight w:val="0"/>
      <w:marTop w:val="0"/>
      <w:marBottom w:val="0"/>
      <w:divBdr>
        <w:top w:val="none" w:sz="0" w:space="0" w:color="auto"/>
        <w:left w:val="none" w:sz="0" w:space="0" w:color="auto"/>
        <w:bottom w:val="none" w:sz="0" w:space="0" w:color="auto"/>
        <w:right w:val="none" w:sz="0" w:space="0" w:color="auto"/>
      </w:divBdr>
    </w:div>
    <w:div w:id="732772161">
      <w:bodyDiv w:val="1"/>
      <w:marLeft w:val="0"/>
      <w:marRight w:val="0"/>
      <w:marTop w:val="0"/>
      <w:marBottom w:val="0"/>
      <w:divBdr>
        <w:top w:val="none" w:sz="0" w:space="0" w:color="auto"/>
        <w:left w:val="none" w:sz="0" w:space="0" w:color="auto"/>
        <w:bottom w:val="none" w:sz="0" w:space="0" w:color="auto"/>
        <w:right w:val="none" w:sz="0" w:space="0" w:color="auto"/>
      </w:divBdr>
    </w:div>
    <w:div w:id="779031999">
      <w:bodyDiv w:val="1"/>
      <w:marLeft w:val="0"/>
      <w:marRight w:val="0"/>
      <w:marTop w:val="0"/>
      <w:marBottom w:val="0"/>
      <w:divBdr>
        <w:top w:val="none" w:sz="0" w:space="0" w:color="auto"/>
        <w:left w:val="none" w:sz="0" w:space="0" w:color="auto"/>
        <w:bottom w:val="none" w:sz="0" w:space="0" w:color="auto"/>
        <w:right w:val="none" w:sz="0" w:space="0" w:color="auto"/>
      </w:divBdr>
    </w:div>
    <w:div w:id="795103740">
      <w:bodyDiv w:val="1"/>
      <w:marLeft w:val="0"/>
      <w:marRight w:val="0"/>
      <w:marTop w:val="0"/>
      <w:marBottom w:val="0"/>
      <w:divBdr>
        <w:top w:val="none" w:sz="0" w:space="0" w:color="auto"/>
        <w:left w:val="none" w:sz="0" w:space="0" w:color="auto"/>
        <w:bottom w:val="none" w:sz="0" w:space="0" w:color="auto"/>
        <w:right w:val="none" w:sz="0" w:space="0" w:color="auto"/>
      </w:divBdr>
    </w:div>
    <w:div w:id="939800020">
      <w:bodyDiv w:val="1"/>
      <w:marLeft w:val="0"/>
      <w:marRight w:val="0"/>
      <w:marTop w:val="0"/>
      <w:marBottom w:val="0"/>
      <w:divBdr>
        <w:top w:val="none" w:sz="0" w:space="0" w:color="auto"/>
        <w:left w:val="none" w:sz="0" w:space="0" w:color="auto"/>
        <w:bottom w:val="none" w:sz="0" w:space="0" w:color="auto"/>
        <w:right w:val="none" w:sz="0" w:space="0" w:color="auto"/>
      </w:divBdr>
    </w:div>
    <w:div w:id="1377778603">
      <w:bodyDiv w:val="1"/>
      <w:marLeft w:val="0"/>
      <w:marRight w:val="0"/>
      <w:marTop w:val="0"/>
      <w:marBottom w:val="0"/>
      <w:divBdr>
        <w:top w:val="none" w:sz="0" w:space="0" w:color="auto"/>
        <w:left w:val="none" w:sz="0" w:space="0" w:color="auto"/>
        <w:bottom w:val="none" w:sz="0" w:space="0" w:color="auto"/>
        <w:right w:val="none" w:sz="0" w:space="0" w:color="auto"/>
      </w:divBdr>
    </w:div>
    <w:div w:id="1417677141">
      <w:bodyDiv w:val="1"/>
      <w:marLeft w:val="0"/>
      <w:marRight w:val="0"/>
      <w:marTop w:val="0"/>
      <w:marBottom w:val="0"/>
      <w:divBdr>
        <w:top w:val="none" w:sz="0" w:space="0" w:color="auto"/>
        <w:left w:val="none" w:sz="0" w:space="0" w:color="auto"/>
        <w:bottom w:val="none" w:sz="0" w:space="0" w:color="auto"/>
        <w:right w:val="none" w:sz="0" w:space="0" w:color="auto"/>
      </w:divBdr>
    </w:div>
    <w:div w:id="1591812224">
      <w:bodyDiv w:val="1"/>
      <w:marLeft w:val="0"/>
      <w:marRight w:val="0"/>
      <w:marTop w:val="0"/>
      <w:marBottom w:val="0"/>
      <w:divBdr>
        <w:top w:val="none" w:sz="0" w:space="0" w:color="auto"/>
        <w:left w:val="none" w:sz="0" w:space="0" w:color="auto"/>
        <w:bottom w:val="none" w:sz="0" w:space="0" w:color="auto"/>
        <w:right w:val="none" w:sz="0" w:space="0" w:color="auto"/>
      </w:divBdr>
    </w:div>
    <w:div w:id="1714303189">
      <w:bodyDiv w:val="1"/>
      <w:marLeft w:val="0"/>
      <w:marRight w:val="0"/>
      <w:marTop w:val="0"/>
      <w:marBottom w:val="0"/>
      <w:divBdr>
        <w:top w:val="none" w:sz="0" w:space="0" w:color="auto"/>
        <w:left w:val="none" w:sz="0" w:space="0" w:color="auto"/>
        <w:bottom w:val="none" w:sz="0" w:space="0" w:color="auto"/>
        <w:right w:val="none" w:sz="0" w:space="0" w:color="auto"/>
      </w:divBdr>
    </w:div>
    <w:div w:id="18492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public-health-england" TargetMode="External"/><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363146/Guidelines_for_assessing_the_microbiological_safety_of_ready-to-eat_foods_on_the_market.pdf" TargetMode="External"/><Relationship Id="rId4" Type="http://schemas.openxmlformats.org/officeDocument/2006/relationships/settings" Target="settings.xml"/><Relationship Id="rId9" Type="http://schemas.openxmlformats.org/officeDocument/2006/relationships/hyperlink" Target="http://lmlabs.phsa.ca/Documents/FoodQualityMicroRecommendations2012_16Dec2011.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linkova\Data%20aplikac&#237;\Microsoft\&#352;ablony\Nelegislativn&#237;\vyporadani_v0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959F0FF4-F669-4B9A-B2EE-A3CB1359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vyporadani_v002</Template>
  <TotalTime>0</TotalTime>
  <Pages>31</Pages>
  <Words>8441</Words>
  <Characters>49806</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ÚŘAD VLÁDY ČR</vt:lpstr>
    </vt:vector>
  </TitlesOfParts>
  <Company>UVIS</Company>
  <LinksUpToDate>false</LinksUpToDate>
  <CharactersWithSpaces>58131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ÚŘAD VLÁDY ČR</dc:title>
  <dc:creator>jelinkova</dc:creator>
  <cp:lastModifiedBy>Jelínková Klára</cp:lastModifiedBy>
  <cp:revision>2</cp:revision>
  <cp:lastPrinted>2021-11-24T12:04:00Z</cp:lastPrinted>
  <dcterms:created xsi:type="dcterms:W3CDTF">2022-02-08T15:04:00Z</dcterms:created>
  <dcterms:modified xsi:type="dcterms:W3CDTF">2022-02-08T15:04:00Z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