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1DC80451"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BB70E9">
        <w:rPr>
          <w:rFonts w:ascii="Arial" w:hAnsi="Arial" w:cs="Arial"/>
          <w:noProof/>
        </w:rPr>
        <w:t>čtvrtek 6. dubna 2023</w:t>
      </w:r>
      <w:r w:rsidR="00035FAD" w:rsidRPr="00937595">
        <w:rPr>
          <w:rFonts w:ascii="Arial" w:hAnsi="Arial" w:cs="Arial"/>
        </w:rPr>
        <w:fldChar w:fldCharType="end"/>
      </w:r>
    </w:p>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7021B787" w14:textId="77777777" w:rsidR="00F551F5" w:rsidRPr="00F551F5" w:rsidRDefault="00F551F5" w:rsidP="00F551F5">
      <w:pPr>
        <w:pStyle w:val="Nadpis3"/>
        <w:spacing w:line="276" w:lineRule="auto"/>
      </w:pPr>
      <w:r>
        <w:t>Čínsky trh s rostlinnými náhražkami masa zaznamenává další růst</w:t>
      </w:r>
    </w:p>
    <w:p w14:paraId="588AB951" w14:textId="77777777" w:rsidR="00F551F5" w:rsidRDefault="00F551F5" w:rsidP="00F551F5">
      <w:pPr>
        <w:spacing w:line="276" w:lineRule="auto"/>
        <w:jc w:val="both"/>
      </w:pPr>
      <w:r>
        <w:t>Poradenská společnost REACH24H zveřejnila na své platformě Chemlinked nový report analyzující situaci na čínském trhu s potravinami na rostlinné bázi. Převážně se zaměřuje na rostlinné náhražky mléčných a masných produktů.</w:t>
      </w:r>
      <w:r>
        <w:tab/>
      </w:r>
    </w:p>
    <w:p w14:paraId="5CF43B41" w14:textId="77777777" w:rsidR="00F551F5" w:rsidRDefault="00F551F5" w:rsidP="00F551F5">
      <w:pPr>
        <w:spacing w:line="276" w:lineRule="auto"/>
        <w:jc w:val="both"/>
      </w:pPr>
      <w:r>
        <w:t>Konzumace mléčných produktů v Číně roste, v přepočtu na obyvatele je však ve srovnání se západem stále na velmi nízké úrovni. Mléko z rostlinných zdrojů tedy představuje pouze malou část trhu. Do budoucna by však mohlo nabývat na popularitě, protože velká část čínské populace trpí určitou mírou intolerance na laktózu. Na druhou stranu to jsou právě zdravotní benefity mléka, které stojí za jeho rostoucí spotřebou. Čínský trh s rostlinnými náhražkami mléčných produktů dosáhl dle reportu v roce 2020 hodnoty 171 miliard Kč. Složená roční míra růstu mezi roky 2019 a 2024 bude 2,4 %. Nejlépe se daří ovesným mlékům, jejichž trh v roce 2020 meziročně vyrostl o 153,6 % a v roce 2021 o dalších 141,7 %. Report uvádí, že by se meziroční tempo růstu v příštích čtyřech letech mohlo pohybovat kolem 50 %.</w:t>
      </w:r>
    </w:p>
    <w:p w14:paraId="0F5826DE" w14:textId="33DE5D80" w:rsidR="00EB12F4" w:rsidRDefault="00F551F5" w:rsidP="00EF76D8">
      <w:pPr>
        <w:spacing w:line="276" w:lineRule="auto"/>
        <w:jc w:val="both"/>
      </w:pPr>
      <w:r>
        <w:t>Ačkoli se pouze relativně malá část čínského obyvatelstva aktivně hlásí k vegetariánství či veganství, pokrmy na rostlinné bázi jsou součástí čínské kultury již po staletí a jako náhrada za maso se v Číně využívalo tofu. Trendem zejména u bohatších vrstev je omezovat konzumaci masa s přihlédnutím k jeho možným negativním vlivům na zdraví, ekologii a udržitelnost. Složené tempo ročního růstu pro roky 2021-2025 se u čínského trhu rostlinných náhražek masa odhaduje kolem 14 %. Nejpopulárnější kategorie představují rostlinné párky a masové koule. Rostlinné náhražky masa do svých menu zakomponovaly i mnohé řetězce rychlého občerstvení jako je KFC, McDonald’s a Subway.</w:t>
      </w:r>
    </w:p>
    <w:p w14:paraId="7C247FAF" w14:textId="77777777" w:rsidR="00EF3DE8" w:rsidRPr="00587417" w:rsidRDefault="00EF3DE8" w:rsidP="00EF3DE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sidRPr="00587417">
        <w:rPr>
          <w:rFonts w:ascii="Arial" w:hAnsi="Arial" w:cs="Arial"/>
        </w:rPr>
        <w:t>USA</w:t>
      </w:r>
    </w:p>
    <w:p w14:paraId="1F43470D" w14:textId="77777777" w:rsidR="00EF3DE8" w:rsidRDefault="00EF3DE8" w:rsidP="00EF3DE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Tereza Černá</w:t>
      </w:r>
      <w:r w:rsidRPr="00587417">
        <w:rPr>
          <w:rFonts w:cs="Arial"/>
        </w:rPr>
        <w:t xml:space="preserve">, Zemědělský diplomat velvyslanectví ČR ve Washingtonu, D. C., </w:t>
      </w:r>
    </w:p>
    <w:p w14:paraId="7309758B" w14:textId="77777777" w:rsidR="00EF3DE8" w:rsidRPr="00587417" w:rsidRDefault="00EF3DE8" w:rsidP="00EF3DE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Pr="00766049">
        <w:rPr>
          <w:rFonts w:cs="Arial"/>
        </w:rPr>
        <w:t>+1 202 507-3859</w:t>
      </w:r>
      <w:r w:rsidRPr="00587417">
        <w:rPr>
          <w:rFonts w:cs="Arial"/>
        </w:rPr>
        <w:t xml:space="preserve">, Mob.: ČR: </w:t>
      </w:r>
      <w:r w:rsidRPr="00766049">
        <w:rPr>
          <w:rFonts w:cs="Arial"/>
        </w:rPr>
        <w:t>+420 727 938 522</w:t>
      </w:r>
      <w:r w:rsidRPr="00587417">
        <w:rPr>
          <w:rFonts w:cs="Arial"/>
        </w:rPr>
        <w:t xml:space="preserve">, </w:t>
      </w:r>
      <w:r>
        <w:rPr>
          <w:rFonts w:cs="Arial"/>
        </w:rPr>
        <w:t xml:space="preserve">e-mail: </w:t>
      </w:r>
      <w:hyperlink r:id="rId9" w:history="1">
        <w:r w:rsidRPr="00FB2C5D">
          <w:rPr>
            <w:rStyle w:val="Hypertextovodkaz"/>
          </w:rPr>
          <w:t>tereza_cerna@mzv.cz</w:t>
        </w:r>
      </w:hyperlink>
      <w:r w:rsidRPr="00587417">
        <w:rPr>
          <w:rFonts w:cs="Arial"/>
        </w:rPr>
        <w:t xml:space="preserve"> </w:t>
      </w:r>
    </w:p>
    <w:p w14:paraId="3A0070A3" w14:textId="77777777" w:rsidR="00EF3DE8" w:rsidRPr="00EF3DE8" w:rsidRDefault="00EF3DE8" w:rsidP="000450A5">
      <w:pPr>
        <w:pStyle w:val="Nadpis3"/>
        <w:spacing w:line="276" w:lineRule="auto"/>
        <w:jc w:val="both"/>
      </w:pPr>
      <w:r w:rsidRPr="00EF3DE8">
        <w:t>Zemědělské a potravinářské organizace v USA naléhají na Kongres, aby otevřel dveře pro nové obchodní dohody</w:t>
      </w:r>
    </w:p>
    <w:p w14:paraId="3DEDFF4C" w14:textId="77777777" w:rsidR="00EF3DE8" w:rsidRPr="00EF3DE8" w:rsidRDefault="00EF3DE8" w:rsidP="00EF3DE8">
      <w:pPr>
        <w:spacing w:line="276" w:lineRule="auto"/>
        <w:jc w:val="both"/>
      </w:pPr>
      <w:r w:rsidRPr="00EF3DE8">
        <w:t>Více než 50 amerických zemědělských a potravinářských organizací na počátku března vyzvalo Kongres, aby schválil novou legislativu, která by Spojeným státům umožnila sjednávat další dohody o volném obchodu, a argumentovalo tím, že bez nich americké zemědělství zaostává za světovou konkurencí. Tyto skupiny, které zastupují širokou škálu amerických zemědělských vývozců od kukuřice po mléčné výrobky, maso a čerstvé potraviny uvedly, že snahy administrativy prezidenta Joea Bidena o otevření nových zemědělských vývozních trhů nestačí k překonání rostoucí sítě dohod o volném obchodu uzavřených Evropskou unií, Čínou a dalšími zeměmi.</w:t>
      </w:r>
    </w:p>
    <w:p w14:paraId="6E67D788" w14:textId="51B27BA6" w:rsidR="00EF3DE8" w:rsidRDefault="00EF3DE8" w:rsidP="00EF3DE8">
      <w:pPr>
        <w:spacing w:line="276" w:lineRule="auto"/>
        <w:jc w:val="both"/>
      </w:pPr>
      <w:r>
        <w:t xml:space="preserve">Organizace uvádějí, že je to již více než deset let, co byla podepsána poslední dohoda o volném obchodu, která otevírá nové trhy pro americké zemědělské a potravinářské produkty. Citovaly nedávnou prognózu ministerstva zemědělství USDA, podle níž se USA v roce 2023 </w:t>
      </w:r>
      <w:r>
        <w:lastRenderedPageBreak/>
        <w:t>stanou čistým dovozcem potravin a očekává se deficit obchodu s potravinami ve výši 14,5 miliardy dolarů.</w:t>
      </w:r>
    </w:p>
    <w:p w14:paraId="20C45CD7" w14:textId="4371D240" w:rsidR="00EF3DE8" w:rsidRDefault="00EF3DE8" w:rsidP="00EF3DE8">
      <w:pPr>
        <w:spacing w:line="276" w:lineRule="auto"/>
        <w:jc w:val="both"/>
      </w:pPr>
      <w:r>
        <w:t>"To by mělo být varovným signálem ohledně klesajícího ekonomického vlivu Ameriky ve světě v důsledku naší neschopnosti prosazovat nové obchodní dohody snižující cla," napsali a požádali zákonodárce, aby přijali legislativu pro nový úřad na podporu obchodu.</w:t>
      </w:r>
    </w:p>
    <w:p w14:paraId="282A7541" w14:textId="6C78AD7C" w:rsidR="00EF3DE8" w:rsidRDefault="00EF3DE8" w:rsidP="00EF3DE8">
      <w:pPr>
        <w:spacing w:line="276" w:lineRule="auto"/>
        <w:jc w:val="both"/>
      </w:pPr>
      <w:r>
        <w:t xml:space="preserve">Bidenova administrativa prozatím pracuje na nových obchodních dohodách spíše s menší </w:t>
      </w:r>
      <w:r w:rsidR="000450A5">
        <w:t>intenzitou</w:t>
      </w:r>
      <w:r>
        <w:t>, představitelka amerického zahraničního obchodu Katherine Taiová usiluje o uzavření omezenějších forem obchodních dohod zaměřených na pracovní, environmentální a digitální obchodní standardy, jako je Indopacifický hospodářský rámec a dohody s Evropskou unií týkající se konkrétních odvětví oceli a hliníku a letadel.</w:t>
      </w:r>
    </w:p>
    <w:p w14:paraId="7FE10D96" w14:textId="77777777" w:rsidR="00EF3DE8" w:rsidRDefault="00EF3DE8" w:rsidP="00EF3DE8">
      <w:pPr>
        <w:spacing w:line="276" w:lineRule="auto"/>
        <w:jc w:val="both"/>
      </w:pPr>
      <w:r>
        <w:t>Nevládní organizace a sdružení ze sektoru zemědělství a potravinářství apelují na Kongres, aby se zabýval konkrétními necelními překážkami obchodu, například v oblasti bezpečnosti potravin, a dodávají, že USA by měly usilovat o "nové dohody o volném obchodu snižující cla".</w:t>
      </w:r>
    </w:p>
    <w:p w14:paraId="74B5C3C6" w14:textId="36215CF8" w:rsidR="00EF3DE8" w:rsidRPr="007935D1" w:rsidRDefault="00EF3DE8" w:rsidP="00EF76D8">
      <w:pPr>
        <w:spacing w:line="276" w:lineRule="auto"/>
        <w:jc w:val="both"/>
      </w:pPr>
      <w:r>
        <w:t>Úřad ministryně Taiové (USTR) uvádí, že pracuje na otevření nových trhů pro americké zemědělské zboží, a ve svém informačním přehledu uvedl, že v uplynulém roce rozšířil možnosti vývozu amerického hovězího masa do Pákistánu, po desetileté přestávce znovu otevřel vývoz amerických měkkýšů do EU, rozšířil přístup k vývozu amerických brambor do Mexika a zajistil 70% snížení indických cel na americké pekanové ořechy. USTR zároveň oznámil, že uspořádá první kolo jednání o dohodě o strategickém obchodním a investičním partnerství s Keňou, která bude zahrnovat zemědělskou složku a kapitoly o pracovních a regulačních postupech, environmentálních normách a digitálním obchodu.</w:t>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10" w:history="1">
        <w:r w:rsidR="00656C69" w:rsidRPr="00F00B6D">
          <w:rPr>
            <w:rStyle w:val="Hypertextovodkaz"/>
            <w:rFonts w:cs="Arial"/>
          </w:rPr>
          <w:t>vladimir_vana@mzv.cz</w:t>
        </w:r>
      </w:hyperlink>
      <w:r w:rsidR="00B554B9" w:rsidRPr="00587417">
        <w:rPr>
          <w:rFonts w:cs="Arial"/>
        </w:rPr>
        <w:t xml:space="preserve"> </w:t>
      </w:r>
    </w:p>
    <w:p w14:paraId="7FC30895" w14:textId="51CEC708" w:rsidR="007935D1" w:rsidRDefault="007935D1" w:rsidP="007935D1">
      <w:pPr>
        <w:pStyle w:val="Nadpis3"/>
        <w:spacing w:line="276" w:lineRule="auto"/>
        <w:rPr>
          <w:rFonts w:ascii="Arial" w:hAnsi="Arial" w:cs="Arial"/>
          <w:sz w:val="22"/>
          <w:szCs w:val="22"/>
        </w:rPr>
      </w:pPr>
      <w:r w:rsidRPr="007935D1">
        <w:t>Dubnové ochlazení v Srbsku zatím místní jablečné sady nepostihlo</w:t>
      </w:r>
      <w:r>
        <w:rPr>
          <w:rFonts w:ascii="Arial" w:hAnsi="Arial" w:cs="Arial"/>
          <w:b w:val="0"/>
          <w:bCs w:val="0"/>
        </w:rPr>
        <w:t xml:space="preserve"> </w:t>
      </w:r>
    </w:p>
    <w:p w14:paraId="1077345B" w14:textId="66D23C35" w:rsidR="00524BA5" w:rsidRPr="007935D1" w:rsidRDefault="007935D1" w:rsidP="007935D1">
      <w:pPr>
        <w:spacing w:line="276" w:lineRule="auto"/>
        <w:jc w:val="both"/>
      </w:pPr>
      <w:r w:rsidRPr="007935D1">
        <w:t xml:space="preserve">V těchto dnech se v Srbsku prudce ochladilo a z předchozích cca 20 °C klesly teploty i pod nulu. Na některých místech se také objevila sněhová pokrývka. Na jarní rozmary počasí tak doplatily meruňky a některé další peckoviny, které již v Srbsku vykvetly, a mráz je tak na mnoha místech spálil. Očekává se proto, že úroda tohoto ovoce bude v Srbsku podprůměrná. Naopak u jabloní, u kterých již některé odrůdy také začaly kvést, zatím větší škody nejsou. To je dobrá zpráva pro místní pěstitele, pro které se jablka stala v posledních letech významným vývozním artiklem. Jen za prvních jedenáct měsíců uplynulého roku jich Srbsko vyvezlo 136 tis. tun v hodnotě kolem 100 mil. EUR. Srbským pěstitelům jablek tak zatím působí větší problémy snižování exportu do Ruska, kam v uplynulých letech směřovalo kolem 75 % jejich vývozů. Export do Ruska klesá nejen z důvodu komplikované dopravy vzhledem k válce na Ukrajině, ale také kvůli snížené ruské poptávce. Rusko si v uplynulých letech založilo vlastní sady a nyní domácí poptávku více pokrývá z vlastních zdrojů. Navíc Rusko koncem loňského roku dovezlo větší množství jablek z Číny. Z těchto důvodu je v srbských chladírenských provozech v současnosti uskladněno řádově o 20 % jablek více, než bylo touto dobou v loňském roce. Řada srbských exportérů ovoce se proto snaží prodat jablka v exotičtějších destinacích jako je Saudská Arábie či Spojené arabské emiráty. Kromě toho Srbsko jablka vyváží i do některých zemí EU - nejvíce do Maďarska a Rumunska. Srbský vývoz směřuje také do okolních zemí jako je Černá Hora a Bosna a Hercegovina.  Do České republiky se srbská jablka zatím příliš nedováží. V loňském roce se do ČR dovezlo jen 65 tun za necelých 940 tis. Kč, v roce 2021 to bylo cca 200 tun za o něco více než 4 mil. Kč. Vzhledem k tomu, že Česká republika jablka importuje, je možné, že se v brzké budoucnosti srbské firmy více zaměří i na český trh. Srbská jablka nebudou asi schopna konkurovat cenou levným polským dovozům, ale mohla by se prosadit v exkluzivních odrůdách, jako jsou Modi, Kiku, Pink Lady, Evelina, Red moon, Isaaq, Rubens nebo SweeTango, které na český trh zatím dodávají především pěstitelé ze zemí západní Evropy. Tyto odrůdy v Srbsku pěstuje společnost Delta Agrar, která již signalizovala zájem o český trh.  </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1" w:history="1">
        <w:r w:rsidRPr="00D4434C">
          <w:rPr>
            <w:rStyle w:val="Hypertextovodkaz"/>
          </w:rPr>
          <w:t>lukas_zamrzla@mzv.cz</w:t>
        </w:r>
      </w:hyperlink>
      <w:r w:rsidR="00D4434C">
        <w:rPr>
          <w:rStyle w:val="Hypertextovodkaz"/>
          <w:rFonts w:cs="Arial"/>
          <w:color w:val="auto"/>
        </w:rPr>
        <w:t xml:space="preserve"> </w:t>
      </w:r>
    </w:p>
    <w:p w14:paraId="5E6849DE" w14:textId="77777777" w:rsidR="00EF5853" w:rsidRPr="00EF5853" w:rsidRDefault="00EF5853" w:rsidP="00EF5853">
      <w:pPr>
        <w:pStyle w:val="Nadpis3"/>
        <w:spacing w:line="276" w:lineRule="auto"/>
      </w:pPr>
      <w:r w:rsidRPr="00EF5853">
        <w:t>Inflace a drahé potraviny pořád rezonují Blízkým východem</w:t>
      </w:r>
    </w:p>
    <w:p w14:paraId="61E6BBEA" w14:textId="77777777" w:rsidR="00EF5853" w:rsidRPr="00EF5853" w:rsidRDefault="00EF5853" w:rsidP="00EF5853">
      <w:pPr>
        <w:spacing w:line="276" w:lineRule="auto"/>
        <w:jc w:val="both"/>
      </w:pPr>
      <w:r w:rsidRPr="00EF5853">
        <w:t xml:space="preserve">Letošní duben znamená pro celý region především muslimský svátek Ramadán. Bohužel ani slavností období nemůže zakrýt stále narůstající potravinovou krizi. K již tak problematickému zvyšování cen potravin kvůli inflaci přispívá také kolabování místních měn. </w:t>
      </w:r>
    </w:p>
    <w:p w14:paraId="6BC3D9EB" w14:textId="66443C12" w:rsidR="00EF5853" w:rsidRPr="00EF5853" w:rsidRDefault="00EF5853" w:rsidP="00EF5853">
      <w:pPr>
        <w:spacing w:line="276" w:lineRule="auto"/>
        <w:jc w:val="both"/>
      </w:pPr>
      <w:r w:rsidRPr="00EF5853">
        <w:t xml:space="preserve">Bohaté státy, jako jsou například členové Rady pro spolupráci arabských států Perského zálivu, dokážou díky silnému zásahu státu </w:t>
      </w:r>
      <w:r w:rsidR="000450A5">
        <w:t>d</w:t>
      </w:r>
      <w:r w:rsidRPr="00EF5853">
        <w:t>o celého obchodního řetězce pomoci. To je ale bohužel spíše privilegium především Spojených arabských emirátů, Kataru a Saúdské Arábie</w:t>
      </w:r>
      <w:r w:rsidR="004E6356">
        <w:t>,</w:t>
      </w:r>
      <w:r w:rsidRPr="00EF5853">
        <w:t xml:space="preserve"> </w:t>
      </w:r>
      <w:r w:rsidR="004E6356">
        <w:t>s</w:t>
      </w:r>
      <w:r w:rsidRPr="00EF5853">
        <w:t xml:space="preserve">hodou okolností států, které mají své měny </w:t>
      </w:r>
      <w:r w:rsidR="004E6356">
        <w:t>vázané</w:t>
      </w:r>
      <w:r w:rsidRPr="00EF5853">
        <w:t xml:space="preserve"> na americký dolar</w:t>
      </w:r>
      <w:r w:rsidR="000450A5">
        <w:t>,</w:t>
      </w:r>
      <w:r w:rsidRPr="00EF5853">
        <w:t xml:space="preserve"> a tím dokážou odolávat celkovému oslabení vlastní měny. </w:t>
      </w:r>
    </w:p>
    <w:p w14:paraId="538C0B60" w14:textId="5E10DCB1" w:rsidR="00EF5853" w:rsidRPr="00EF5853" w:rsidRDefault="00EF5853" w:rsidP="00EF5853">
      <w:pPr>
        <w:spacing w:line="276" w:lineRule="auto"/>
        <w:jc w:val="both"/>
      </w:pPr>
      <w:r w:rsidRPr="00EF5853">
        <w:t>Dle posledních dat Světového potravinového programu miliony lidí během letošního Ramadánu po</w:t>
      </w:r>
      <w:r w:rsidR="004E6356">
        <w:t>cítí</w:t>
      </w:r>
      <w:r w:rsidRPr="00EF5853">
        <w:t xml:space="preserve"> opravdovou potravinovou krizi. Irán, Turecko a Egypt zažívá letos 60% inflaci v cenách potravin. Libanon a Sýrie dokonce překročily pomyslnou hranici 100</w:t>
      </w:r>
      <w:r w:rsidR="004E6356">
        <w:t xml:space="preserve"> </w:t>
      </w:r>
      <w:r w:rsidRPr="00EF5853">
        <w:t>%</w:t>
      </w:r>
      <w:r w:rsidR="004E6356">
        <w:t>,</w:t>
      </w:r>
      <w:r w:rsidRPr="00EF5853">
        <w:t xml:space="preserve"> a to 138</w:t>
      </w:r>
      <w:r w:rsidR="004E6356">
        <w:t xml:space="preserve"> </w:t>
      </w:r>
      <w:r w:rsidRPr="00EF5853">
        <w:t>% v Libanonu a 105</w:t>
      </w:r>
      <w:r w:rsidR="004E6356">
        <w:t xml:space="preserve"> </w:t>
      </w:r>
      <w:r w:rsidRPr="00EF5853">
        <w:t>% v Sýrii. Pro většinu rodin tak v regionu začíná být problém zakoupení i základních potravin, jako je chléb, rýže, mouka a zelenina.</w:t>
      </w:r>
    </w:p>
    <w:p w14:paraId="3E9D3738" w14:textId="132A19D2" w:rsidR="00EF5853" w:rsidRPr="00EF5853" w:rsidRDefault="00EF5853" w:rsidP="00EF5853">
      <w:pPr>
        <w:spacing w:line="276" w:lineRule="auto"/>
        <w:jc w:val="both"/>
      </w:pPr>
      <w:r w:rsidRPr="00EF5853">
        <w:t xml:space="preserve">Zmíněné problémy vytváří stálá nejistota v mezinárodním obchodu, kterou způsobila nedávná pandemie </w:t>
      </w:r>
      <w:r w:rsidR="004E6356">
        <w:t xml:space="preserve">Covid-19 </w:t>
      </w:r>
      <w:r w:rsidRPr="00EF5853">
        <w:t xml:space="preserve">a </w:t>
      </w:r>
      <w:r w:rsidR="004E6356">
        <w:t>v</w:t>
      </w:r>
      <w:r w:rsidRPr="00EF5853">
        <w:t xml:space="preserve">álka na Ukrajině. Arabské země jsou velmi silně závislé na importu většiny potravin, a proto jakýkoliv výkyv z normálních cen nebo dodávek znamená problém. Když se ještě přidá rostoucí inflace a </w:t>
      </w:r>
      <w:r w:rsidR="004E6356">
        <w:t>podpora měny</w:t>
      </w:r>
      <w:r w:rsidRPr="00EF5853">
        <w:t xml:space="preserve"> rozvinutých států, zbývá v pokladnách chudých zemí o to méně peněž na nákup zboží a potravin ze zahraničí. Samotné měny zmíněných zemí, především Libanonu, Egyptu a Sýrie</w:t>
      </w:r>
      <w:r w:rsidR="004E6356">
        <w:t>,</w:t>
      </w:r>
      <w:r w:rsidRPr="00EF5853">
        <w:t xml:space="preserve"> oslabily o více jak 45</w:t>
      </w:r>
      <w:r w:rsidR="004E6356">
        <w:t xml:space="preserve"> </w:t>
      </w:r>
      <w:r w:rsidRPr="00EF5853">
        <w:t xml:space="preserve">% během 10 uplynulých měsíců (WFP currency watch list). I když od dob pandemie průměrná cena potravin postupně klesá, pořád je podle zveřejněných dat na desetiletém maximu. </w:t>
      </w:r>
    </w:p>
    <w:p w14:paraId="43259441" w14:textId="3B618A3D" w:rsidR="00DB022E" w:rsidRPr="00EF3DE8" w:rsidRDefault="00EF5853" w:rsidP="00EF76D8">
      <w:pPr>
        <w:spacing w:line="276" w:lineRule="auto"/>
        <w:jc w:val="both"/>
      </w:pPr>
      <w:r w:rsidRPr="00EF5853">
        <w:t xml:space="preserve">Každým takovým problémem se mění dlouhodobé strategie zmíněných zemí. V dnešní době tak snad každá z nich zařadila posílení vlastního zemědělství a vyšší potravinové soběstačnosti do hlavních témat budoucích strategií. Z toho plyne opravdu slibná budoucnost pro moderní zemědělské technologie a možnost podílet se na rozvoji tohoto sektoru v regionu. </w:t>
      </w:r>
      <w:r w:rsidR="00902944">
        <w:t>A</w:t>
      </w:r>
      <w:r w:rsidRPr="00EF5853">
        <w:t>rabsk</w:t>
      </w:r>
      <w:r w:rsidR="00902944">
        <w:t>é</w:t>
      </w:r>
      <w:r w:rsidRPr="00EF5853">
        <w:t xml:space="preserve"> zem</w:t>
      </w:r>
      <w:r w:rsidR="00902944">
        <w:t>ě</w:t>
      </w:r>
      <w:r w:rsidRPr="00EF5853">
        <w:t xml:space="preserve">, které si dříve nikdo se zemědělstvím nespojoval, </w:t>
      </w:r>
      <w:r w:rsidR="00902944">
        <w:t>nyní projevují značný zájem</w:t>
      </w:r>
      <w:r w:rsidRPr="00EF5853">
        <w:t xml:space="preserve"> o zemědělské produkty, technologie a know-how.  </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2" w:history="1">
        <w:r w:rsidR="00DB022E" w:rsidRPr="00D4434C">
          <w:rPr>
            <w:rStyle w:val="Hypertextovodkaz"/>
          </w:rPr>
          <w:t>petr_sochor@mzv.cz</w:t>
        </w:r>
      </w:hyperlink>
    </w:p>
    <w:p w14:paraId="66FC83FE" w14:textId="06633563" w:rsidR="008C1486" w:rsidRPr="008C1486" w:rsidRDefault="008C1486" w:rsidP="008C1486">
      <w:pPr>
        <w:pStyle w:val="Nadpis3"/>
        <w:spacing w:line="276" w:lineRule="auto"/>
      </w:pPr>
      <w:r w:rsidRPr="008C1486">
        <w:t>Dovoz brambor z Egypta v silné nelibosti libanonských farmářů</w:t>
      </w:r>
    </w:p>
    <w:p w14:paraId="006084DD" w14:textId="4DF4BB07" w:rsidR="008C1486" w:rsidRPr="008C1486" w:rsidRDefault="008C1486" w:rsidP="008C1486">
      <w:pPr>
        <w:spacing w:line="276" w:lineRule="auto"/>
        <w:jc w:val="both"/>
      </w:pPr>
      <w:r w:rsidRPr="008C1486">
        <w:t xml:space="preserve">Řada libanonských farmářů se v tomto týdnu hlasitě ozvala proti vedení Ministerstva zemědělství </w:t>
      </w:r>
      <w:r w:rsidR="00E44245" w:rsidRPr="008C1486">
        <w:t>Libanonu a</w:t>
      </w:r>
      <w:r w:rsidRPr="008C1486">
        <w:t xml:space="preserve"> oznámila svůj záměr stávkovat, pokud se země rozhodne opětovně dovézt na místní trh více egyptských brambor.</w:t>
      </w:r>
    </w:p>
    <w:p w14:paraId="11D5C0BE" w14:textId="121F9CE1" w:rsidR="008C1486" w:rsidRPr="008C1486" w:rsidRDefault="008C1486" w:rsidP="008C1486">
      <w:pPr>
        <w:spacing w:line="276" w:lineRule="auto"/>
        <w:jc w:val="both"/>
      </w:pPr>
      <w:r w:rsidRPr="008C1486">
        <w:t xml:space="preserve">Začíná hlavní sezóna libanonských brambor a egyptské brambory, namísto libanonských, zaplnily místní trhy. V minulosti byla s </w:t>
      </w:r>
      <w:r w:rsidR="00E44245" w:rsidRPr="008C1486">
        <w:t>Egyptem uzavřena</w:t>
      </w:r>
      <w:r w:rsidRPr="008C1486">
        <w:t xml:space="preserve"> dohoda o dovozu brambor pouze v termínu od 1.února do 31. března v množství nepřesahující 50 000 tun. I přes to, že začátkem dubna tohoto roku vypršel termín </w:t>
      </w:r>
      <w:r w:rsidR="00E44245" w:rsidRPr="008C1486">
        <w:t>dohody, připluly</w:t>
      </w:r>
      <w:r w:rsidRPr="008C1486">
        <w:t xml:space="preserve"> v těchto dnech z Egypta další dvě </w:t>
      </w:r>
      <w:r w:rsidR="00E44245" w:rsidRPr="008C1486">
        <w:t>lodě přepravující</w:t>
      </w:r>
      <w:r w:rsidRPr="008C1486">
        <w:t xml:space="preserve"> 6 100 tun brambor a 1 000 tun cibule.</w:t>
      </w:r>
    </w:p>
    <w:p w14:paraId="5050042D" w14:textId="56C84882" w:rsidR="008C1486" w:rsidRPr="008C1486" w:rsidRDefault="008C1486" w:rsidP="008C1486">
      <w:pPr>
        <w:spacing w:line="276" w:lineRule="auto"/>
        <w:jc w:val="both"/>
      </w:pPr>
      <w:r w:rsidRPr="008C1486">
        <w:t xml:space="preserve">Syndikát libanonských farmářů sice dostal od vedení </w:t>
      </w:r>
      <w:r w:rsidR="00E44245" w:rsidRPr="008C1486">
        <w:t>Ministerstva zemědělství</w:t>
      </w:r>
      <w:r w:rsidRPr="008C1486">
        <w:t xml:space="preserve"> Libanonu příslib, že zásilka nebude v Libanonu vyloděna, totéž se ale stalo v minulém roce a libanonští farmáři byli z tohoto důvodu nuceni prodávat svoji úrodu hluboko pod cenou, aby vůbec místní produkci prodali. Syndikát je názoru, že úkolem ministerstva zemědělství je v prvé řadě chránit místní farmáře před spekulativními dovozy vzhledem k tomu, že egyptské brambory se v oblasti prodávají za dumpingové ceny </w:t>
      </w:r>
      <w:r w:rsidR="00E44245" w:rsidRPr="008C1486">
        <w:t>a jsou</w:t>
      </w:r>
      <w:r w:rsidRPr="008C1486">
        <w:t xml:space="preserve"> nabízeny za mnohem nižší ceny oproti libanonské produkci.</w:t>
      </w:r>
    </w:p>
    <w:p w14:paraId="28BD21AD" w14:textId="3442B6BF" w:rsidR="008C1486" w:rsidRPr="008C1486" w:rsidRDefault="008C1486" w:rsidP="008C1486">
      <w:pPr>
        <w:spacing w:line="276" w:lineRule="auto"/>
        <w:jc w:val="both"/>
      </w:pPr>
      <w:r w:rsidRPr="008C1486">
        <w:t>Tato situace se opakuje každý rok a místní zemědělci jsou vždy ve ztrátě. Řada farmářů vysvětlila, že za výsadbu, pěstování a sklizeň brambor jsou nuceni mnoho položek hradit v </w:t>
      </w:r>
      <w:r w:rsidR="00E44245" w:rsidRPr="008C1486">
        <w:t>dolarech,</w:t>
      </w:r>
      <w:r w:rsidRPr="008C1486">
        <w:t xml:space="preserve"> a proto se výsledná cena přibližuje částce 1</w:t>
      </w:r>
      <w:r w:rsidR="005B7EAC">
        <w:t>.</w:t>
      </w:r>
      <w:r w:rsidRPr="008C1486">
        <w:t xml:space="preserve">000 </w:t>
      </w:r>
      <w:r w:rsidR="005B7EAC" w:rsidRPr="008C1486">
        <w:t xml:space="preserve">USD </w:t>
      </w:r>
      <w:r w:rsidRPr="008C1486">
        <w:t>za tunu.</w:t>
      </w:r>
    </w:p>
    <w:p w14:paraId="7AC1A20A" w14:textId="34E58744" w:rsidR="008C1486" w:rsidRPr="008C1486" w:rsidRDefault="008C1486" w:rsidP="008C1486">
      <w:pPr>
        <w:spacing w:line="276" w:lineRule="auto"/>
        <w:jc w:val="both"/>
      </w:pPr>
      <w:r w:rsidRPr="008C1486">
        <w:t xml:space="preserve">V lepší situaci jsou v tomto roce pěstitelé tabáku, kteří v tomto </w:t>
      </w:r>
      <w:r w:rsidR="00E44245" w:rsidRPr="008C1486">
        <w:t>týdnu zahájili</w:t>
      </w:r>
      <w:r w:rsidRPr="008C1486">
        <w:t xml:space="preserve"> výsadbu tabákových sazenic ze školek. Očekává se, že počet pracovníků v oboru pěstování tabáku se letos výrazně zvýší, vzhledem k </w:t>
      </w:r>
      <w:r w:rsidR="00E44245" w:rsidRPr="008C1486">
        <w:t>nárůstu celkové</w:t>
      </w:r>
      <w:r w:rsidRPr="008C1486">
        <w:t xml:space="preserve"> </w:t>
      </w:r>
      <w:r w:rsidR="00E44245" w:rsidRPr="008C1486">
        <w:t>obdělávané plochy</w:t>
      </w:r>
      <w:r w:rsidRPr="008C1486">
        <w:t xml:space="preserve">. Důvodem je státem navýšená minimální výkupní cena libanonského tabáku. Hlavní roli v určování výkupní ceny </w:t>
      </w:r>
      <w:r w:rsidR="00E44245" w:rsidRPr="008C1486">
        <w:t>hraje místní</w:t>
      </w:r>
      <w:r w:rsidRPr="008C1486">
        <w:t xml:space="preserve"> výrobce tabákových výrobků, firma Regia. Výkupní ceny tabáku jsou v tomto roce stanoveny v USD a aktuálně se pohybují na úrovni 6-8 USD za kilogram tabáku.</w:t>
      </w:r>
    </w:p>
    <w:p w14:paraId="717262AD" w14:textId="4444D79D" w:rsidR="008C1486" w:rsidRPr="008C1486" w:rsidRDefault="008C1486" w:rsidP="008C1486">
      <w:pPr>
        <w:spacing w:line="276" w:lineRule="auto"/>
        <w:jc w:val="both"/>
      </w:pPr>
      <w:r w:rsidRPr="008C1486">
        <w:t xml:space="preserve">Libanonští zemědělci čelí vysokým finančním </w:t>
      </w:r>
      <w:r w:rsidR="00E44245" w:rsidRPr="008C1486">
        <w:t>nákladům nejenom</w:t>
      </w:r>
      <w:r w:rsidRPr="008C1486">
        <w:t xml:space="preserve"> za hnojiva, ale i za vodu, jejíž </w:t>
      </w:r>
      <w:r w:rsidR="00E44245" w:rsidRPr="008C1486">
        <w:t>cena se</w:t>
      </w:r>
      <w:r w:rsidRPr="008C1486">
        <w:t xml:space="preserve"> od minulé sezóny desetkrát znásobila v důsledku prodeje </w:t>
      </w:r>
      <w:r w:rsidR="00E44245" w:rsidRPr="008C1486">
        <w:t>a nákupu</w:t>
      </w:r>
      <w:r w:rsidRPr="008C1486">
        <w:t xml:space="preserve"> pouze </w:t>
      </w:r>
      <w:r w:rsidR="00E44245" w:rsidRPr="008C1486">
        <w:t>v USD</w:t>
      </w:r>
      <w:r w:rsidRPr="008C1486">
        <w:t>. S celkovou dolarizací libanonské ekonomiky ceny všech komodit neustále stoupají a</w:t>
      </w:r>
      <w:r w:rsidR="00E44245">
        <w:t> </w:t>
      </w:r>
      <w:r w:rsidR="00E44245" w:rsidRPr="008C1486">
        <w:t>místní zemědělci</w:t>
      </w:r>
      <w:r w:rsidRPr="008C1486">
        <w:t xml:space="preserve"> nemají dostatek likvidity, potřebné k plánovanému rozvoji zemědělství.</w:t>
      </w:r>
    </w:p>
    <w:p w14:paraId="30614FFB" w14:textId="699708DE" w:rsidR="00BD647F" w:rsidRPr="008C1486" w:rsidRDefault="008C1486" w:rsidP="008C1486">
      <w:pPr>
        <w:spacing w:before="120" w:line="276" w:lineRule="auto"/>
        <w:jc w:val="both"/>
      </w:pPr>
      <w:r w:rsidRPr="008C1486">
        <w:t>Zdroj: místní ekonomické zpravodajství</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3DD43875" w14:textId="77777777" w:rsidR="00C139C9" w:rsidRDefault="00C139C9" w:rsidP="00C139C9">
      <w:pPr>
        <w:pStyle w:val="Nadpis3"/>
        <w:spacing w:line="276" w:lineRule="auto"/>
        <w:rPr>
          <w:rStyle w:val="x4k7w5x"/>
          <w:rFonts w:ascii="Arial" w:hAnsi="Arial" w:cs="Arial"/>
          <w:sz w:val="22"/>
          <w:szCs w:val="22"/>
          <w:lang w:eastAsia="ja-JP"/>
        </w:rPr>
      </w:pPr>
      <w:r w:rsidRPr="00C139C9">
        <w:t xml:space="preserve">Rekordní vývoz japonského saké </w:t>
      </w:r>
    </w:p>
    <w:p w14:paraId="1186AF7B" w14:textId="77777777" w:rsidR="00C139C9" w:rsidRPr="00C139C9" w:rsidRDefault="00C139C9" w:rsidP="00C139C9">
      <w:pPr>
        <w:spacing w:line="276" w:lineRule="auto"/>
        <w:jc w:val="both"/>
      </w:pPr>
      <w:r w:rsidRPr="00C139C9">
        <w:t xml:space="preserve">Vývoz japonského saké roste spolu s celosvětovým boomem japonské kuchyně. V roce 2022 dosáhl třináctý rok po sobě rekordní hodnoty. V něm vývoz saké vzrostl o 18,2 % na v přepočtu 340 mld. dolarů. Na pokračujícím boomu mají svůj podíl noví producenti, kteří se zaměřují na luxusnější trh s prémiovými produkty. </w:t>
      </w:r>
    </w:p>
    <w:p w14:paraId="7706C664" w14:textId="77777777" w:rsidR="00C139C9" w:rsidRPr="00C139C9" w:rsidRDefault="00C139C9" w:rsidP="00C139C9">
      <w:pPr>
        <w:spacing w:line="276" w:lineRule="auto"/>
        <w:jc w:val="both"/>
      </w:pPr>
      <w:r w:rsidRPr="00C139C9">
        <w:t xml:space="preserve">Největší vývozce saké, japonská společnost Hakutsuru Sake brewing má sídlo v Kóbe v prefektuře Hjógo, v jedné z hlavních oblastí produkující saké v Japonsku a na tom, že saké vyrábí právě zde, si zakládá. Počet zemí a regionů, do kterých firma Hakutsuru vyváží, se rozšířil na 56 a hodnota jejího vývozu se za poslední roky zvýšila o 60 %. Společnost vytvořila nové saké nazvané Niku (v překladu maso), které se hodí ke světoznámému hovězímu masu Kóbe. Saké je obvykle považováno za nápoj vhodný k jídlům z mořských plodů, cílem společnosti je však propagovat párování s masovými pokrmy. </w:t>
      </w:r>
    </w:p>
    <w:p w14:paraId="59F5D9D2" w14:textId="77777777" w:rsidR="00C139C9" w:rsidRPr="00C139C9" w:rsidRDefault="00C139C9" w:rsidP="00C139C9">
      <w:pPr>
        <w:spacing w:line="276" w:lineRule="auto"/>
        <w:jc w:val="both"/>
      </w:pPr>
      <w:r w:rsidRPr="00C139C9">
        <w:t xml:space="preserve">Společnost Suigei se zaměřuje na budování luxusní značky. Nový design etikety na lahvi saké s velrybím ocasem se stal pro americké spotřebitele snadno rozpoznatelným a pomohl společnosti k obrovskému úspěchu. Hodnota vývozu jejich nápojů se zvýšila za 8 let z 20 mil na 200 mil jenů. Jedna láhev špičkového saké s názvem Daito se dnes prodává za v přepočtu 3,2 tis Kč. Nově vznikající tokijská společnost Clear, prodávala své nejlepší saké za v přepočtu více než 6 tis Kč za lahev na předváděcí akci luxusních vozů Lamborghini v čínském Čching –tao. </w:t>
      </w:r>
    </w:p>
    <w:p w14:paraId="442649F7" w14:textId="02BC07AD" w:rsidR="00505C2E" w:rsidRPr="00C139C9" w:rsidRDefault="00C139C9" w:rsidP="00EF76D8">
      <w:pPr>
        <w:spacing w:line="276" w:lineRule="auto"/>
        <w:jc w:val="both"/>
      </w:pPr>
      <w:r w:rsidRPr="00C139C9">
        <w:t>Podle Japonské asociace výrobců saké a šoču sice domácí poptávka neustále klesá, ale poptávka v zámoří naopak roste. Vývoz se za posledních deset let zvýšil pětkrát a průměrná cena se více než zdvojnásobila. V roce 2022 byla hlavní vývozní destinací Čína, na druhém místě pak USA. Obliba nápoje se však šíří také do Jižní Koreje a jihovýchodní Asie.</w:t>
      </w:r>
    </w:p>
    <w:p w14:paraId="0BF067F8"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UKRAJINA</w:t>
      </w:r>
    </w:p>
    <w:p w14:paraId="39C7E8B0" w14:textId="77777777" w:rsidR="007D2A9E" w:rsidRDefault="00505C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05C2E">
        <w:rPr>
          <w:rFonts w:cs="Arial"/>
        </w:rPr>
        <w:t>Yegor Reshetnyk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Kyjevě</w:t>
      </w:r>
      <w:r w:rsidRPr="00587417">
        <w:rPr>
          <w:rFonts w:cs="Arial"/>
        </w:rPr>
        <w:t xml:space="preserve">, </w:t>
      </w:r>
    </w:p>
    <w:p w14:paraId="171383A3" w14:textId="6188022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t xml:space="preserve">tel: +38 099 098 33 35, e-mail: </w:t>
      </w:r>
      <w:hyperlink r:id="rId14" w:history="1">
        <w:r w:rsidR="00D4434C" w:rsidRPr="00D54C30">
          <w:rPr>
            <w:rStyle w:val="Hypertextovodkaz"/>
          </w:rPr>
          <w:t>cz.ukrexport@meta.ua</w:t>
        </w:r>
      </w:hyperlink>
      <w:r w:rsidR="00D4434C">
        <w:t xml:space="preserve"> </w:t>
      </w:r>
    </w:p>
    <w:p w14:paraId="54766819" w14:textId="3E3FF240" w:rsidR="005E0453" w:rsidRPr="00B15995" w:rsidRDefault="005E0453" w:rsidP="00B15995">
      <w:pPr>
        <w:pStyle w:val="Nadpis3"/>
        <w:spacing w:line="276" w:lineRule="auto"/>
      </w:pPr>
      <w:r w:rsidRPr="00B15995">
        <w:t xml:space="preserve">Online aplikace pro vyřizování úvěrů pro farmáře </w:t>
      </w:r>
    </w:p>
    <w:p w14:paraId="6C740ED4" w14:textId="56E2C397" w:rsidR="005C692B" w:rsidRPr="00B15995" w:rsidRDefault="005C692B" w:rsidP="005C692B">
      <w:pPr>
        <w:spacing w:line="276" w:lineRule="auto"/>
        <w:jc w:val="both"/>
      </w:pPr>
      <w:r w:rsidRPr="00B15995">
        <w:t xml:space="preserve">Fintech </w:t>
      </w:r>
      <w:r w:rsidR="00EF3DE8" w:rsidRPr="00B15995">
        <w:t xml:space="preserve">(finanční technologie) </w:t>
      </w:r>
      <w:r w:rsidRPr="00B15995">
        <w:t xml:space="preserve">nejen pomáhá zemědělským výrobcům získat financování, ale nově </w:t>
      </w:r>
      <w:r w:rsidR="00EF3DE8" w:rsidRPr="00B15995">
        <w:t xml:space="preserve">také </w:t>
      </w:r>
      <w:r w:rsidRPr="00B15995">
        <w:t>definuje pojetí tradičního úvěrového procesu pro zemědělské výrobce. S podporou programu USAID AGRO tak byla vyvinuta a spuštěna online služba pro financování AgroApp.</w:t>
      </w:r>
    </w:p>
    <w:p w14:paraId="61B0F750" w14:textId="464BDC55" w:rsidR="00873542" w:rsidRPr="00B15995" w:rsidRDefault="005C692B" w:rsidP="00873542">
      <w:pPr>
        <w:spacing w:line="276" w:lineRule="auto"/>
        <w:jc w:val="both"/>
      </w:pPr>
      <w:r w:rsidRPr="00B15995">
        <w:t>AgroApp umožňuje zemědělským výrobcům podat žádost o financování zdarma pouze pomocí kódu EDRPOU na webových stránkách. Aplikace AgroApp získá další údaje o zemědělském podniku z více než 70 otevřených registrů a</w:t>
      </w:r>
      <w:r w:rsidR="00EF3DE8" w:rsidRPr="00B15995">
        <w:t> </w:t>
      </w:r>
      <w:r w:rsidRPr="00B15995">
        <w:t>automaticky je zformuje do žádosti podle šablony dohodnuté s partnerskými bankami.</w:t>
      </w:r>
      <w:r w:rsidR="00873542" w:rsidRPr="00B15995">
        <w:t xml:space="preserve"> Platforma spolupracuje s hlavními bankami, které poskytují přibližně 80 % trhu zemědělských úvěrů na Ukrajině.</w:t>
      </w:r>
    </w:p>
    <w:p w14:paraId="1C801409" w14:textId="77777777" w:rsidR="005C692B" w:rsidRPr="00B15995" w:rsidRDefault="005C692B" w:rsidP="005C692B">
      <w:pPr>
        <w:spacing w:line="276" w:lineRule="auto"/>
        <w:jc w:val="both"/>
      </w:pPr>
      <w:r w:rsidRPr="00B15995">
        <w:t>Zemědělec uvede požadovanou výši financování a vybere si banku, program nebo několik bank najednou. Na předložení podobného balíčku dokumentů finanční instituci "offline" stráví zemědělští výrobci obvykle několik týdnů.</w:t>
      </w:r>
    </w:p>
    <w:p w14:paraId="0620053C" w14:textId="24BAF710" w:rsidR="005C692B" w:rsidRPr="00B15995" w:rsidRDefault="005C692B" w:rsidP="005C692B">
      <w:pPr>
        <w:spacing w:line="276" w:lineRule="auto"/>
        <w:jc w:val="both"/>
      </w:pPr>
      <w:r w:rsidRPr="00B15995">
        <w:t>V roce 2022 navzdory válce získalo 100 zemědělských podniků prostřednictvím aplikace AgroApp financování v celkové výši 500 mil</w:t>
      </w:r>
      <w:r w:rsidR="00873542" w:rsidRPr="00B15995">
        <w:t>. UAH</w:t>
      </w:r>
      <w:r w:rsidRPr="00B15995">
        <w:t>. V letošním roce sezóna financování teprve začala, ale zemědělci již podali více než 300 žádostí o financování prostřednictvím této služby.</w:t>
      </w:r>
    </w:p>
    <w:p w14:paraId="1D2322CC" w14:textId="5453317A" w:rsidR="005C692B" w:rsidRPr="00B15995" w:rsidRDefault="005C692B" w:rsidP="00B15995">
      <w:pPr>
        <w:pStyle w:val="Nadpis3"/>
        <w:spacing w:line="276" w:lineRule="auto"/>
        <w:jc w:val="both"/>
      </w:pPr>
      <w:r w:rsidRPr="00B15995">
        <w:t>Podle výpočtů vědců se v roce 2023 může objem výroby hrubých zemědělských produktů snížit o 2,1 % ve srovnání s rokem 2022</w:t>
      </w:r>
    </w:p>
    <w:p w14:paraId="60BE32E9" w14:textId="00BCCE04" w:rsidR="005C692B" w:rsidRPr="00B15995" w:rsidRDefault="005E0453" w:rsidP="005C692B">
      <w:pPr>
        <w:spacing w:line="276" w:lineRule="auto"/>
        <w:jc w:val="both"/>
      </w:pPr>
      <w:r w:rsidRPr="00B15995">
        <w:t>T</w:t>
      </w:r>
      <w:r w:rsidR="005C692B" w:rsidRPr="00B15995">
        <w:t>oto snížení produkce zemědělských produktů souvisí s pokračováním války na Ukrajině a</w:t>
      </w:r>
      <w:r w:rsidR="00B15995" w:rsidRPr="00B15995">
        <w:t> </w:t>
      </w:r>
      <w:r w:rsidR="005C692B" w:rsidRPr="00B15995">
        <w:t>s</w:t>
      </w:r>
      <w:r w:rsidR="00B15995" w:rsidRPr="00B15995">
        <w:t> </w:t>
      </w:r>
      <w:r w:rsidR="005C692B" w:rsidRPr="00B15995">
        <w:t>problémy, které způsobuje ve vývoji ekonomiky jako celku.</w:t>
      </w:r>
      <w:r w:rsidR="00B15995" w:rsidRPr="00B15995">
        <w:t xml:space="preserve"> </w:t>
      </w:r>
      <w:r w:rsidR="005C692B" w:rsidRPr="00B15995">
        <w:t>Zejména pod vlivem logistických problémů při vývozu zemědělských produktů a klesajících výkupních cen jsou zemědělští producenti nuceni omezovat výrobu nejproduktivnějších druhů produktů, jako je pšenice a</w:t>
      </w:r>
      <w:r w:rsidR="00B15995" w:rsidRPr="00B15995">
        <w:t> </w:t>
      </w:r>
      <w:r w:rsidR="005C692B" w:rsidRPr="00B15995">
        <w:t>kukuřice.</w:t>
      </w:r>
    </w:p>
    <w:p w14:paraId="7BB40795" w14:textId="465496CB" w:rsidR="005C692B" w:rsidRPr="00B15995" w:rsidRDefault="005C692B" w:rsidP="005C692B">
      <w:pPr>
        <w:spacing w:line="276" w:lineRule="auto"/>
        <w:jc w:val="both"/>
      </w:pPr>
      <w:r w:rsidRPr="00B15995">
        <w:t>Ztráta příjmů zemědělských podniků v roce 2022</w:t>
      </w:r>
      <w:r w:rsidR="00B15995" w:rsidRPr="00B15995">
        <w:t xml:space="preserve"> a</w:t>
      </w:r>
      <w:r w:rsidRPr="00B15995">
        <w:t xml:space="preserve"> výrazné zvýšení cen zdrojů snižuje možnosti </w:t>
      </w:r>
      <w:r w:rsidR="00B15995" w:rsidRPr="00B15995">
        <w:t xml:space="preserve">farmářů </w:t>
      </w:r>
      <w:r w:rsidRPr="00B15995">
        <w:t>n</w:t>
      </w:r>
      <w:r w:rsidR="00B15995" w:rsidRPr="00B15995">
        <w:t>a</w:t>
      </w:r>
      <w:r w:rsidRPr="00B15995">
        <w:t>kup</w:t>
      </w:r>
      <w:r w:rsidR="00B15995" w:rsidRPr="00B15995">
        <w:t>ovat</w:t>
      </w:r>
      <w:r w:rsidRPr="00B15995">
        <w:t xml:space="preserve"> kvalit</w:t>
      </w:r>
      <w:r w:rsidR="00B15995" w:rsidRPr="00B15995">
        <w:t>ní</w:t>
      </w:r>
      <w:r w:rsidRPr="00B15995">
        <w:t xml:space="preserve"> osivo</w:t>
      </w:r>
      <w:r w:rsidR="00B15995" w:rsidRPr="00B15995">
        <w:t>vý</w:t>
      </w:r>
      <w:r w:rsidRPr="00B15995">
        <w:t xml:space="preserve"> materiál</w:t>
      </w:r>
      <w:r w:rsidR="00B15995" w:rsidRPr="00B15995">
        <w:t xml:space="preserve"> a</w:t>
      </w:r>
      <w:r w:rsidRPr="00B15995">
        <w:t xml:space="preserve"> </w:t>
      </w:r>
      <w:r w:rsidR="00B15995" w:rsidRPr="00B15995">
        <w:t>používat</w:t>
      </w:r>
      <w:r w:rsidRPr="00B15995">
        <w:t xml:space="preserve"> dostatečné množství minerálních hnojiv a</w:t>
      </w:r>
      <w:r w:rsidR="00B15995" w:rsidRPr="00B15995">
        <w:t> </w:t>
      </w:r>
      <w:r w:rsidRPr="00B15995">
        <w:t>přípravků na ochranu rostlin.</w:t>
      </w:r>
    </w:p>
    <w:p w14:paraId="75D4E9AD" w14:textId="1C049A49" w:rsidR="005C692B" w:rsidRPr="00B15995" w:rsidRDefault="005C692B" w:rsidP="005C692B">
      <w:pPr>
        <w:spacing w:line="276" w:lineRule="auto"/>
        <w:jc w:val="both"/>
      </w:pPr>
      <w:r w:rsidRPr="00B15995">
        <w:t xml:space="preserve">Relativně malý pokles objemu výroby je do značné míry způsoben nízkou srovnávací základnou v roce 2022, kdy </w:t>
      </w:r>
      <w:r w:rsidR="00B15995" w:rsidRPr="00B15995">
        <w:t>z důvodu</w:t>
      </w:r>
      <w:r w:rsidRPr="00B15995">
        <w:t xml:space="preserve"> vojenských operací hrubá produkce odvětví klesla o</w:t>
      </w:r>
      <w:r w:rsidR="00EF3DE8" w:rsidRPr="00B15995">
        <w:t> </w:t>
      </w:r>
      <w:r w:rsidRPr="00B15995">
        <w:t>více než čtvrtinu oproti roku 2021.</w:t>
      </w:r>
    </w:p>
    <w:p w14:paraId="5B78ABA9" w14:textId="095689A9" w:rsidR="005C692B" w:rsidRPr="00B15995" w:rsidRDefault="005C692B" w:rsidP="005C692B">
      <w:pPr>
        <w:spacing w:line="276" w:lineRule="auto"/>
        <w:jc w:val="both"/>
      </w:pPr>
      <w:r w:rsidRPr="00B15995">
        <w:t>Očekává se, že hrubá produkce v rostlinné výrobě bude o 2,1 % nižší než v roce 2022.</w:t>
      </w:r>
      <w:r w:rsidR="00B15995" w:rsidRPr="00B15995">
        <w:t xml:space="preserve"> </w:t>
      </w:r>
      <w:r w:rsidRPr="00B15995">
        <w:t>Sklizeň obilovin a luštěnin se oproti loňsku sníží o 11 %.</w:t>
      </w:r>
      <w:r w:rsidR="00B15995" w:rsidRPr="00B15995">
        <w:t xml:space="preserve"> </w:t>
      </w:r>
      <w:r w:rsidRPr="00B15995">
        <w:t>Zároveň se předpokládá nárůst produkce olejnin - sóji (+12,2 %), slunečnice (+6,5 %), řepky (9,1 %).</w:t>
      </w:r>
    </w:p>
    <w:p w14:paraId="3F5E5D78" w14:textId="50043CDA" w:rsidR="005C692B" w:rsidRPr="00B15995" w:rsidRDefault="005C692B" w:rsidP="005C692B">
      <w:pPr>
        <w:spacing w:line="276" w:lineRule="auto"/>
        <w:jc w:val="both"/>
      </w:pPr>
      <w:r w:rsidRPr="00B15995">
        <w:t>Podle prognózy vědců z Institutu agrární ekonomiky se objem výroby živočišných produktů oproti roku 2022 sníží o 2,2 % při mírném nárůstu produkce drůbeže (+1,1 %) a poklesu ostatních druhů, například prasat (-2,1 %) a vlny (-30 %).</w:t>
      </w:r>
    </w:p>
    <w:p w14:paraId="22348DBA" w14:textId="3BFB7F46" w:rsidR="005C692B" w:rsidRPr="00B15995" w:rsidRDefault="005C692B" w:rsidP="005C692B">
      <w:pPr>
        <w:spacing w:line="276" w:lineRule="auto"/>
        <w:jc w:val="both"/>
      </w:pPr>
      <w:r w:rsidRPr="00B15995">
        <w:t xml:space="preserve">Celkově lze říci, že podle prognózy vědců bude očekávaná produkce zemědělských produktů v roce 2023 </w:t>
      </w:r>
      <w:r w:rsidR="00B15995" w:rsidRPr="00B15995">
        <w:t>pokrývat</w:t>
      </w:r>
      <w:r w:rsidRPr="00B15995">
        <w:t xml:space="preserve"> vnitřní potravinové potřeby státu</w:t>
      </w:r>
      <w:r w:rsidR="00B15995" w:rsidRPr="00B15995">
        <w:t xml:space="preserve"> U </w:t>
      </w:r>
      <w:r w:rsidRPr="00B15995">
        <w:t xml:space="preserve">některých druhů produktů </w:t>
      </w:r>
      <w:r w:rsidR="00B15995" w:rsidRPr="00B15995">
        <w:t xml:space="preserve">se </w:t>
      </w:r>
      <w:r w:rsidRPr="00B15995">
        <w:t xml:space="preserve">dokonce zvýší, i když nepřekročí předválečnou úroveň, </w:t>
      </w:r>
      <w:r w:rsidR="00B15995" w:rsidRPr="00B15995">
        <w:t>nicméně to</w:t>
      </w:r>
      <w:r w:rsidRPr="00B15995">
        <w:t xml:space="preserve"> svědčí o stabilitě domácí zemědělské produkce.</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5" w:history="1">
        <w:r w:rsidR="00D4434C" w:rsidRPr="00D54C30">
          <w:rPr>
            <w:rStyle w:val="Hypertextovodkaz"/>
          </w:rPr>
          <w:t>lubos.marek@mze.cz</w:t>
        </w:r>
      </w:hyperlink>
      <w:r w:rsidR="00D4434C">
        <w:t xml:space="preserve"> / </w:t>
      </w:r>
      <w:hyperlink r:id="rId16" w:history="1">
        <w:r w:rsidR="00D4434C" w:rsidRPr="00D54C30">
          <w:rPr>
            <w:rStyle w:val="Hypertextovodkaz"/>
          </w:rPr>
          <w:t>commerce_hanoi@mzv.cz</w:t>
        </w:r>
      </w:hyperlink>
      <w:r w:rsidR="00D4434C">
        <w:t xml:space="preserve"> </w:t>
      </w:r>
    </w:p>
    <w:p w14:paraId="605EED28" w14:textId="77777777" w:rsidR="007935D1" w:rsidRPr="007935D1" w:rsidRDefault="007935D1" w:rsidP="007935D1">
      <w:pPr>
        <w:pStyle w:val="Nadpis3"/>
        <w:spacing w:line="276" w:lineRule="auto"/>
      </w:pPr>
      <w:r w:rsidRPr="007935D1">
        <w:t>Sójové mléko z Vietnamu bylo kontaminované</w:t>
      </w:r>
    </w:p>
    <w:p w14:paraId="4F92FA89" w14:textId="77777777" w:rsidR="007935D1" w:rsidRPr="007935D1" w:rsidRDefault="007935D1" w:rsidP="007935D1">
      <w:pPr>
        <w:spacing w:line="276" w:lineRule="auto"/>
        <w:jc w:val="both"/>
      </w:pPr>
      <w:r w:rsidRPr="007935D1">
        <w:t>Japonsko stáhlo zásilku sójového mléka z Vietnamu poté, co byly v produktu nalezeny koliformní bakterie, ačkoli výrobce deklaroval bezpečnost potraviny.</w:t>
      </w:r>
    </w:p>
    <w:p w14:paraId="54A244EB" w14:textId="77777777" w:rsidR="007935D1" w:rsidRPr="007935D1" w:rsidRDefault="007935D1" w:rsidP="007935D1">
      <w:pPr>
        <w:spacing w:line="276" w:lineRule="auto"/>
        <w:jc w:val="both"/>
      </w:pPr>
      <w:r w:rsidRPr="007935D1">
        <w:t>Japonské ministerstvo zdravotnictví uvedlo, že laboratoř pro analýzu potravin našla koliformní bakterie v 15 kartonech sójového mléka Fami Calcium vietnamské společnosti Vinasoy, které do Japonska dovezla společnost Next Trading. Následně bylo nařízeno, aby byl produkt stažen a zlikvidován.</w:t>
      </w:r>
    </w:p>
    <w:p w14:paraId="703ABB78" w14:textId="47116367" w:rsidR="007935D1" w:rsidRPr="007935D1" w:rsidRDefault="007935D1" w:rsidP="007935D1">
      <w:pPr>
        <w:spacing w:line="276" w:lineRule="auto"/>
        <w:jc w:val="both"/>
      </w:pPr>
      <w:r w:rsidRPr="007935D1">
        <w:t>Firma Next Trading uvedla, že většina sójového mléka nebyla prodána spotřebitelům, s</w:t>
      </w:r>
      <w:r>
        <w:t> </w:t>
      </w:r>
      <w:r w:rsidRPr="007935D1">
        <w:t>výjimkou 200 ml balení, která byla distribuována do vietnamských restaurací.</w:t>
      </w:r>
    </w:p>
    <w:p w14:paraId="1836CB1B" w14:textId="77777777" w:rsidR="007935D1" w:rsidRPr="007935D1" w:rsidRDefault="007935D1" w:rsidP="007935D1">
      <w:pPr>
        <w:spacing w:line="276" w:lineRule="auto"/>
        <w:jc w:val="both"/>
      </w:pPr>
      <w:r w:rsidRPr="007935D1">
        <w:t>Koliformní bakterie, které se vyskytují ve vodě a výkalech teplokrevných živočichů, většinou nezpůsobují vážná onemocnění, ale může se dostavit žaludeční nevolnost, zvracení, horečka a průjem. Za kontaminací koliformní bakterií stojí většinou nedostatečné zabezpečení proti úniku výkalů do povrchových a podzemních vod.</w:t>
      </w:r>
    </w:p>
    <w:p w14:paraId="3414570C" w14:textId="1A1F17E1" w:rsidR="00D4434C" w:rsidRPr="007935D1" w:rsidRDefault="007935D1" w:rsidP="00EF76D8">
      <w:pPr>
        <w:spacing w:line="276" w:lineRule="auto"/>
        <w:jc w:val="both"/>
      </w:pPr>
      <w:r w:rsidRPr="007935D1">
        <w:t>Vietnamská strana se jako obvykle agresivně brání jakémukoliv vlastnímu pochybení. Mluvčí společnosti Vinasoy prohlásil, že ke kontaminaci muselo dojít během přepravy, nebo distribuce v Japonsku. „Vinasoy má zkušenost s výrobou sójových produktů 25 let a je lídrem ve Vietnamu. Firma vyváží také na trhy s vysokými standardy, jako jsou USA nebo Jižní Korea“, dodal. Hlavním argumentem je to, že testy provedené Národním institutem pro kontrolu potravin ve vzorcích Fami Calcium Soy Milk určených pro export do Japonska přítomnost koliformní bakterie nepotvrdily. „Naše produkty jsou vyráběny a testovány podle mezinárodních standardů. Koliformní bakterie by neměla přežít procesy inaktivace enzymů, při kterých se sójové mléko zahřívá na 120</w:t>
      </w:r>
      <w:r w:rsidR="00EF3DE8">
        <w:t xml:space="preserve"> </w:t>
      </w:r>
      <w:r w:rsidRPr="007935D1">
        <w:t>°C a sterilizuje při teplotě 140</w:t>
      </w:r>
      <w:r w:rsidR="00EF3DE8">
        <w:t xml:space="preserve"> </w:t>
      </w:r>
      <w:r w:rsidRPr="007935D1">
        <w:t>°C,“ uvedla společnost Vinasoy.</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63AFBADF" w:rsidR="00F36E50"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7"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7D961039" w14:textId="77777777" w:rsidR="005C692B" w:rsidRPr="005C692B" w:rsidRDefault="005C692B" w:rsidP="005C692B">
      <w:pPr>
        <w:pStyle w:val="Nadpis3"/>
        <w:spacing w:line="276" w:lineRule="auto"/>
      </w:pPr>
      <w:r w:rsidRPr="005C692B">
        <w:t>Precizní šlechtění pomocí úpravy genů v Anglii</w:t>
      </w:r>
    </w:p>
    <w:p w14:paraId="00F96315" w14:textId="77777777" w:rsidR="005C692B" w:rsidRPr="005C692B" w:rsidRDefault="005C692B" w:rsidP="005C692B">
      <w:pPr>
        <w:spacing w:line="276" w:lineRule="auto"/>
        <w:jc w:val="both"/>
      </w:pPr>
      <w:r w:rsidRPr="005C692B">
        <w:t>Velká Británie přijala zákon k preciznímu šlechtění pomocí úpravy genů. Pravidla usnadní použití nových technik pro úpravu genů jak pro rostliny, tak pro zvířata. V zákoně jsou zároveň specifikována pravidla pro precizně vyšlechtěné organismy. Zákon představuje odklon Velké Británie od přísnějších pravidel EU pro geneticky modifikované organismy a platí pouze na území Anglie.</w:t>
      </w:r>
    </w:p>
    <w:p w14:paraId="7A5AC037" w14:textId="77777777" w:rsidR="005C692B" w:rsidRPr="005C692B" w:rsidRDefault="005C692B" w:rsidP="005C692B">
      <w:pPr>
        <w:spacing w:line="276" w:lineRule="auto"/>
        <w:jc w:val="both"/>
      </w:pPr>
      <w:r w:rsidRPr="005C692B">
        <w:t xml:space="preserve">Britská vláda si od tohoto zákona slibuje, že umožní anglickým zemědělcům pěstovat plodiny odolné vůči suchu a chorobám za současného snížení nutnosti aplikace pesticidů a hnojiv. Podle přesvědčení britské vlády precizní genetické šlechtění dále usnadní vytváření vlastností rostlin a zvířat, které by klasickým šlechtěním trvalo desetiletí. </w:t>
      </w:r>
    </w:p>
    <w:p w14:paraId="068D08E7" w14:textId="77777777" w:rsidR="005C692B" w:rsidRPr="007935D1" w:rsidRDefault="00000000" w:rsidP="005C692B">
      <w:pPr>
        <w:jc w:val="both"/>
        <w:rPr>
          <w:rFonts w:cs="Arial"/>
        </w:rPr>
      </w:pPr>
      <w:hyperlink r:id="rId18" w:history="1">
        <w:r w:rsidR="005C692B" w:rsidRPr="007935D1">
          <w:rPr>
            <w:rStyle w:val="Hypertextovodkaz"/>
            <w:rFonts w:cs="Arial"/>
          </w:rPr>
          <w:t>Zdroj</w:t>
        </w:r>
      </w:hyperlink>
    </w:p>
    <w:p w14:paraId="6B9B3BCA" w14:textId="77777777" w:rsidR="005C692B" w:rsidRPr="008830B7" w:rsidRDefault="005C692B" w:rsidP="005C692B">
      <w:pPr>
        <w:jc w:val="both"/>
        <w:rPr>
          <w:rFonts w:ascii="Times New Roman" w:hAnsi="Times New Roman"/>
          <w:sz w:val="24"/>
          <w:szCs w:val="24"/>
        </w:rPr>
      </w:pPr>
    </w:p>
    <w:p w14:paraId="18FEAF41" w14:textId="77777777" w:rsidR="005C692B" w:rsidRPr="005C692B" w:rsidRDefault="005C692B" w:rsidP="005C692B">
      <w:pPr>
        <w:rPr>
          <w:rFonts w:cs="Arial"/>
        </w:rPr>
      </w:pPr>
    </w:p>
    <w:sectPr w:rsidR="005C692B" w:rsidRPr="005C692B" w:rsidSect="00505C2E">
      <w:footerReference w:type="defaul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3570" w14:textId="77777777" w:rsidR="005A513A" w:rsidRDefault="005A513A" w:rsidP="00D4434C">
      <w:r>
        <w:separator/>
      </w:r>
    </w:p>
  </w:endnote>
  <w:endnote w:type="continuationSeparator" w:id="0">
    <w:p w14:paraId="320B15FE" w14:textId="77777777" w:rsidR="005A513A" w:rsidRDefault="005A513A"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0ED1" w14:textId="77777777" w:rsidR="005A513A" w:rsidRDefault="005A513A" w:rsidP="00D4434C">
      <w:r>
        <w:separator/>
      </w:r>
    </w:p>
  </w:footnote>
  <w:footnote w:type="continuationSeparator" w:id="0">
    <w:p w14:paraId="13B52D3B" w14:textId="77777777" w:rsidR="005A513A" w:rsidRDefault="005A513A"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75487014">
    <w:abstractNumId w:val="18"/>
  </w:num>
  <w:num w:numId="2" w16cid:durableId="598877444">
    <w:abstractNumId w:val="14"/>
  </w:num>
  <w:num w:numId="3" w16cid:durableId="17658831">
    <w:abstractNumId w:val="16"/>
  </w:num>
  <w:num w:numId="4" w16cid:durableId="1903981120">
    <w:abstractNumId w:val="10"/>
  </w:num>
  <w:num w:numId="5" w16cid:durableId="1727144906">
    <w:abstractNumId w:val="20"/>
  </w:num>
  <w:num w:numId="6" w16cid:durableId="1216234506">
    <w:abstractNumId w:val="21"/>
  </w:num>
  <w:num w:numId="7" w16cid:durableId="683555555">
    <w:abstractNumId w:val="17"/>
  </w:num>
  <w:num w:numId="8" w16cid:durableId="515847355">
    <w:abstractNumId w:val="3"/>
  </w:num>
  <w:num w:numId="9" w16cid:durableId="473303434">
    <w:abstractNumId w:val="9"/>
  </w:num>
  <w:num w:numId="10" w16cid:durableId="555092066">
    <w:abstractNumId w:val="6"/>
  </w:num>
  <w:num w:numId="11" w16cid:durableId="112213353">
    <w:abstractNumId w:val="15"/>
  </w:num>
  <w:num w:numId="12" w16cid:durableId="1874801904">
    <w:abstractNumId w:val="11"/>
  </w:num>
  <w:num w:numId="13" w16cid:durableId="697584630">
    <w:abstractNumId w:val="26"/>
  </w:num>
  <w:num w:numId="14" w16cid:durableId="101806863">
    <w:abstractNumId w:val="8"/>
  </w:num>
  <w:num w:numId="15" w16cid:durableId="1504934758">
    <w:abstractNumId w:val="2"/>
  </w:num>
  <w:num w:numId="16" w16cid:durableId="1834836090">
    <w:abstractNumId w:val="13"/>
  </w:num>
  <w:num w:numId="17" w16cid:durableId="1025402756">
    <w:abstractNumId w:val="7"/>
  </w:num>
  <w:num w:numId="18" w16cid:durableId="665716889">
    <w:abstractNumId w:val="1"/>
  </w:num>
  <w:num w:numId="19" w16cid:durableId="262804920">
    <w:abstractNumId w:val="24"/>
  </w:num>
  <w:num w:numId="20" w16cid:durableId="1228683570">
    <w:abstractNumId w:val="23"/>
  </w:num>
  <w:num w:numId="21" w16cid:durableId="708070539">
    <w:abstractNumId w:val="0"/>
  </w:num>
  <w:num w:numId="22" w16cid:durableId="2117287070">
    <w:abstractNumId w:val="5"/>
  </w:num>
  <w:num w:numId="23" w16cid:durableId="1459639446">
    <w:abstractNumId w:val="25"/>
  </w:num>
  <w:num w:numId="24" w16cid:durableId="295183042">
    <w:abstractNumId w:val="12"/>
  </w:num>
  <w:num w:numId="25" w16cid:durableId="666127589">
    <w:abstractNumId w:val="4"/>
  </w:num>
  <w:num w:numId="26" w16cid:durableId="1230917774">
    <w:abstractNumId w:val="19"/>
  </w:num>
  <w:num w:numId="27" w16cid:durableId="12516214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0A5"/>
    <w:rsid w:val="000458E0"/>
    <w:rsid w:val="00056BBE"/>
    <w:rsid w:val="00061EED"/>
    <w:rsid w:val="00062DAB"/>
    <w:rsid w:val="000663DF"/>
    <w:rsid w:val="000A4F06"/>
    <w:rsid w:val="000A6F30"/>
    <w:rsid w:val="000F717B"/>
    <w:rsid w:val="00126ADE"/>
    <w:rsid w:val="00146BCF"/>
    <w:rsid w:val="001D3F62"/>
    <w:rsid w:val="001F023C"/>
    <w:rsid w:val="001F29AF"/>
    <w:rsid w:val="00223F87"/>
    <w:rsid w:val="002616B5"/>
    <w:rsid w:val="00267D97"/>
    <w:rsid w:val="002A2D85"/>
    <w:rsid w:val="002A56DF"/>
    <w:rsid w:val="002E5EAD"/>
    <w:rsid w:val="00370E34"/>
    <w:rsid w:val="003964FA"/>
    <w:rsid w:val="003D2B3B"/>
    <w:rsid w:val="003D56E1"/>
    <w:rsid w:val="0040717D"/>
    <w:rsid w:val="004232BE"/>
    <w:rsid w:val="004559E3"/>
    <w:rsid w:val="004962CD"/>
    <w:rsid w:val="004A6C5B"/>
    <w:rsid w:val="004E6356"/>
    <w:rsid w:val="004E6FCD"/>
    <w:rsid w:val="00505C2E"/>
    <w:rsid w:val="005248F4"/>
    <w:rsid w:val="00524BA5"/>
    <w:rsid w:val="00587417"/>
    <w:rsid w:val="005A13F9"/>
    <w:rsid w:val="005A513A"/>
    <w:rsid w:val="005B7EAC"/>
    <w:rsid w:val="005C3BF7"/>
    <w:rsid w:val="005C692B"/>
    <w:rsid w:val="005D5E3F"/>
    <w:rsid w:val="005D69CD"/>
    <w:rsid w:val="005D7F74"/>
    <w:rsid w:val="005E0453"/>
    <w:rsid w:val="005E20B4"/>
    <w:rsid w:val="00613A7D"/>
    <w:rsid w:val="00636521"/>
    <w:rsid w:val="00656C69"/>
    <w:rsid w:val="0067358D"/>
    <w:rsid w:val="006805F4"/>
    <w:rsid w:val="006931C2"/>
    <w:rsid w:val="006A353A"/>
    <w:rsid w:val="006A382E"/>
    <w:rsid w:val="006F79AC"/>
    <w:rsid w:val="00715795"/>
    <w:rsid w:val="00717F96"/>
    <w:rsid w:val="00771977"/>
    <w:rsid w:val="00780119"/>
    <w:rsid w:val="0078308B"/>
    <w:rsid w:val="00790E93"/>
    <w:rsid w:val="007935D1"/>
    <w:rsid w:val="00795E13"/>
    <w:rsid w:val="007A531E"/>
    <w:rsid w:val="007D2A9E"/>
    <w:rsid w:val="007F3E9B"/>
    <w:rsid w:val="007F44D0"/>
    <w:rsid w:val="007F5F98"/>
    <w:rsid w:val="00807D31"/>
    <w:rsid w:val="00873542"/>
    <w:rsid w:val="00886E98"/>
    <w:rsid w:val="00892A59"/>
    <w:rsid w:val="00892E02"/>
    <w:rsid w:val="00897840"/>
    <w:rsid w:val="008A6BB3"/>
    <w:rsid w:val="008A799A"/>
    <w:rsid w:val="008C1486"/>
    <w:rsid w:val="00902944"/>
    <w:rsid w:val="00937595"/>
    <w:rsid w:val="009677BC"/>
    <w:rsid w:val="00974743"/>
    <w:rsid w:val="00993C8E"/>
    <w:rsid w:val="00A53226"/>
    <w:rsid w:val="00A91B8F"/>
    <w:rsid w:val="00AB1996"/>
    <w:rsid w:val="00AD54F3"/>
    <w:rsid w:val="00AE3F61"/>
    <w:rsid w:val="00AF51BE"/>
    <w:rsid w:val="00B05BDF"/>
    <w:rsid w:val="00B15995"/>
    <w:rsid w:val="00B173B4"/>
    <w:rsid w:val="00B208A7"/>
    <w:rsid w:val="00B27E33"/>
    <w:rsid w:val="00B318F6"/>
    <w:rsid w:val="00B554B9"/>
    <w:rsid w:val="00BA6A5B"/>
    <w:rsid w:val="00BB70E9"/>
    <w:rsid w:val="00BC341A"/>
    <w:rsid w:val="00BC4BD8"/>
    <w:rsid w:val="00BD647F"/>
    <w:rsid w:val="00BD7227"/>
    <w:rsid w:val="00C0233A"/>
    <w:rsid w:val="00C05EF5"/>
    <w:rsid w:val="00C139C9"/>
    <w:rsid w:val="00C215E0"/>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44245"/>
    <w:rsid w:val="00E52E29"/>
    <w:rsid w:val="00E853BA"/>
    <w:rsid w:val="00E87201"/>
    <w:rsid w:val="00E96F76"/>
    <w:rsid w:val="00E973C5"/>
    <w:rsid w:val="00E97C5D"/>
    <w:rsid w:val="00EA44BE"/>
    <w:rsid w:val="00EA7FE6"/>
    <w:rsid w:val="00EB12F4"/>
    <w:rsid w:val="00EF3DE8"/>
    <w:rsid w:val="00EF5853"/>
    <w:rsid w:val="00EF76D8"/>
    <w:rsid w:val="00F03535"/>
    <w:rsid w:val="00F04621"/>
    <w:rsid w:val="00F36E50"/>
    <w:rsid w:val="00F4313C"/>
    <w:rsid w:val="00F551F5"/>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character" w:customStyle="1" w:styleId="x4k7w5x">
    <w:name w:val="x4k7w5x"/>
    <w:basedOn w:val="Standardnpsmoodstavce"/>
    <w:rsid w:val="00C1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58">
      <w:bodyDiv w:val="1"/>
      <w:marLeft w:val="0"/>
      <w:marRight w:val="0"/>
      <w:marTop w:val="0"/>
      <w:marBottom w:val="0"/>
      <w:divBdr>
        <w:top w:val="none" w:sz="0" w:space="0" w:color="auto"/>
        <w:left w:val="none" w:sz="0" w:space="0" w:color="auto"/>
        <w:bottom w:val="none" w:sz="0" w:space="0" w:color="auto"/>
        <w:right w:val="none" w:sz="0" w:space="0" w:color="auto"/>
      </w:divBdr>
    </w:div>
    <w:div w:id="490027631">
      <w:bodyDiv w:val="1"/>
      <w:marLeft w:val="0"/>
      <w:marRight w:val="0"/>
      <w:marTop w:val="0"/>
      <w:marBottom w:val="0"/>
      <w:divBdr>
        <w:top w:val="none" w:sz="0" w:space="0" w:color="auto"/>
        <w:left w:val="none" w:sz="0" w:space="0" w:color="auto"/>
        <w:bottom w:val="none" w:sz="0" w:space="0" w:color="auto"/>
        <w:right w:val="none" w:sz="0" w:space="0" w:color="auto"/>
      </w:divBdr>
    </w:div>
    <w:div w:id="617836126">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841120359">
      <w:bodyDiv w:val="1"/>
      <w:marLeft w:val="0"/>
      <w:marRight w:val="0"/>
      <w:marTop w:val="0"/>
      <w:marBottom w:val="0"/>
      <w:divBdr>
        <w:top w:val="none" w:sz="0" w:space="0" w:color="auto"/>
        <w:left w:val="none" w:sz="0" w:space="0" w:color="auto"/>
        <w:bottom w:val="none" w:sz="0" w:space="0" w:color="auto"/>
        <w:right w:val="none" w:sz="0" w:space="0" w:color="auto"/>
      </w:divBdr>
    </w:div>
    <w:div w:id="1180268751">
      <w:bodyDiv w:val="1"/>
      <w:marLeft w:val="0"/>
      <w:marRight w:val="0"/>
      <w:marTop w:val="0"/>
      <w:marBottom w:val="0"/>
      <w:divBdr>
        <w:top w:val="none" w:sz="0" w:space="0" w:color="auto"/>
        <w:left w:val="none" w:sz="0" w:space="0" w:color="auto"/>
        <w:bottom w:val="none" w:sz="0" w:space="0" w:color="auto"/>
        <w:right w:val="none" w:sz="0" w:space="0" w:color="auto"/>
      </w:divBdr>
    </w:div>
    <w:div w:id="1609047978">
      <w:bodyDiv w:val="1"/>
      <w:marLeft w:val="0"/>
      <w:marRight w:val="0"/>
      <w:marTop w:val="0"/>
      <w:marBottom w:val="0"/>
      <w:divBdr>
        <w:top w:val="none" w:sz="0" w:space="0" w:color="auto"/>
        <w:left w:val="none" w:sz="0" w:space="0" w:color="auto"/>
        <w:bottom w:val="none" w:sz="0" w:space="0" w:color="auto"/>
        <w:right w:val="none" w:sz="0" w:space="0" w:color="auto"/>
      </w:divBdr>
    </w:div>
    <w:div w:id="19702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irena_leopoldova@mzv.cz" TargetMode="External"/><Relationship Id="rId18" Type="http://schemas.openxmlformats.org/officeDocument/2006/relationships/hyperlink" Target="https://www.farm-europe.eu/news/uk-genetic-technology-precision-breeding-ac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hyperlink" Target="mailto:uktrade@mze.cz" TargetMode="External"/><Relationship Id="rId2" Type="http://schemas.openxmlformats.org/officeDocument/2006/relationships/numbering" Target="numbering.xml"/><Relationship Id="rId16" Type="http://schemas.openxmlformats.org/officeDocument/2006/relationships/hyperlink" Target="mailto:commerce_hanoi@mzv.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5" Type="http://schemas.openxmlformats.org/officeDocument/2006/relationships/webSettings" Target="webSettings.xml"/><Relationship Id="rId15" Type="http://schemas.openxmlformats.org/officeDocument/2006/relationships/hyperlink" Target="mailto:lubos.marek@mze.cz" TargetMode="External"/><Relationship Id="rId10" Type="http://schemas.openxmlformats.org/officeDocument/2006/relationships/hyperlink" Target="mailto:vladimir_vana@mzv.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reza_cerna@mzv.cz" TargetMode="External"/><Relationship Id="rId14" Type="http://schemas.openxmlformats.org/officeDocument/2006/relationships/hyperlink" Target="mailto:cz.ukrexport@meta.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TotalTime>
  <Pages>6</Pages>
  <Words>3010</Words>
  <Characters>17765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20734</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2023-04-06T13:45:00Z</dcterms:created>
  <dcterms:modified xsi:type="dcterms:W3CDTF">2023-04-06T13:45:00Z</dcterms:modified>
</cp:coreProperties>
</file>