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4E65CF45"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D755A0">
        <w:rPr>
          <w:rFonts w:ascii="Arial" w:hAnsi="Arial" w:cs="Arial"/>
          <w:noProof/>
        </w:rPr>
        <w:t>pátek 6. ledna 2023</w:t>
      </w:r>
      <w:r w:rsidR="00035FAD" w:rsidRPr="00937595">
        <w:rPr>
          <w:rFonts w:ascii="Arial" w:hAnsi="Arial" w:cs="Arial"/>
        </w:rPr>
        <w:fldChar w:fldCharType="end"/>
      </w:r>
    </w:p>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18124EB4" w14:textId="77777777" w:rsidR="005610BA" w:rsidRPr="005610BA" w:rsidRDefault="005610BA" w:rsidP="005610BA">
      <w:pPr>
        <w:pStyle w:val="Nadpis3"/>
        <w:spacing w:line="276" w:lineRule="auto"/>
      </w:pPr>
      <w:r w:rsidRPr="005610BA">
        <w:t>Čína se znovu otevírá světu</w:t>
      </w:r>
    </w:p>
    <w:p w14:paraId="11620425" w14:textId="77777777" w:rsidR="005610BA" w:rsidRPr="005610BA" w:rsidRDefault="005610BA" w:rsidP="005610BA">
      <w:pPr>
        <w:spacing w:line="276" w:lineRule="auto"/>
        <w:jc w:val="both"/>
      </w:pPr>
      <w:r w:rsidRPr="005610BA">
        <w:t xml:space="preserve">Po třech letech přísného uplatňování politiky nulové tolerance covid-19 změnila Čína v prosinci minulého roku svůj postoj a došlo k jejímu zrušení. Momentálně se však Čína potýká s největší vlnou nákazy od začátku pandemie. Uvolnění protiepidemických opatření </w:t>
      </w:r>
      <w:proofErr w:type="gramStart"/>
      <w:r w:rsidRPr="005610BA">
        <w:t>zjednoduší</w:t>
      </w:r>
      <w:proofErr w:type="gramEnd"/>
      <w:r w:rsidRPr="005610BA">
        <w:t xml:space="preserve"> pohyb osob po Číně a organizaci komerčních akcí, které musely být v minulých letech rušeny či přesouvány v závislosti na vývoji epidemické situace. </w:t>
      </w:r>
    </w:p>
    <w:p w14:paraId="7845AE1E" w14:textId="77777777" w:rsidR="005610BA" w:rsidRPr="005610BA" w:rsidRDefault="005610BA" w:rsidP="005610BA">
      <w:pPr>
        <w:spacing w:line="276" w:lineRule="auto"/>
        <w:jc w:val="both"/>
      </w:pPr>
      <w:r w:rsidRPr="005610BA">
        <w:t xml:space="preserve">Kromě toho však čínské úřady také oznámily, že od 8. ledna 2023 dojde k výraznému zmírnění restrikcí při vstupu osob do Číny. Při nástupu na let do Číny bude stačit předložit negativní PCR test absolvovaný do 48 hodin před odletem a dojde k úplnému zrušení </w:t>
      </w:r>
      <w:proofErr w:type="spellStart"/>
      <w:r w:rsidRPr="005610BA">
        <w:t>popříletové</w:t>
      </w:r>
      <w:proofErr w:type="spellEnd"/>
      <w:r w:rsidRPr="005610BA">
        <w:t xml:space="preserve"> karantény. Před odletem tedy nebude nutné žádat příslušné čínské velvyslanectví o udělení zeleného cestovního kódu. Čínské úřady také avizovaly, že budou graduálně navyšovat počty mezistátních leteckých spojení. České firmy tak podle všeho budou moci v letošním roce obnovit své cesty do Číny a začít se osobně účastnit tamějších veletrhů a prezentačních akcí.</w:t>
      </w:r>
    </w:p>
    <w:p w14:paraId="2435BB52" w14:textId="77777777" w:rsidR="005610BA" w:rsidRPr="005610BA" w:rsidRDefault="005610BA" w:rsidP="005610BA">
      <w:pPr>
        <w:spacing w:line="276" w:lineRule="auto"/>
        <w:jc w:val="both"/>
      </w:pPr>
      <w:r w:rsidRPr="005610BA">
        <w:t xml:space="preserve">Rozvolnění se dotkne i kontrol zboží na celnici. Od 8. ledna přestanou být prováděny testy na přítomnost </w:t>
      </w:r>
      <w:proofErr w:type="spellStart"/>
      <w:r w:rsidRPr="005610BA">
        <w:t>koronaviru</w:t>
      </w:r>
      <w:proofErr w:type="spellEnd"/>
      <w:r w:rsidRPr="005610BA">
        <w:t xml:space="preserve"> u dovážených chlazených a mražených potravin i potravin přepravovaných při standardní teplotě.</w:t>
      </w:r>
    </w:p>
    <w:p w14:paraId="7E96BB15" w14:textId="77777777" w:rsidR="00771977" w:rsidRPr="00587417" w:rsidRDefault="00771977" w:rsidP="00771977">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77941B92" w14:textId="77777777" w:rsidR="0077197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07F2B57D" w14:textId="77777777" w:rsidR="00771977" w:rsidRPr="0058741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9" w:history="1">
        <w:r w:rsidRPr="00FB2C5D">
          <w:rPr>
            <w:rStyle w:val="Hypertextovodkaz"/>
          </w:rPr>
          <w:t>tereza_cerna@mzv.cz</w:t>
        </w:r>
      </w:hyperlink>
      <w:r w:rsidRPr="00587417">
        <w:rPr>
          <w:rFonts w:cs="Arial"/>
        </w:rPr>
        <w:t xml:space="preserve"> </w:t>
      </w:r>
    </w:p>
    <w:p w14:paraId="3835EEB2" w14:textId="77777777" w:rsidR="005610BA" w:rsidRPr="006E29E9" w:rsidRDefault="005610BA" w:rsidP="005610BA">
      <w:pPr>
        <w:pStyle w:val="Nadpis3"/>
        <w:spacing w:line="276" w:lineRule="auto"/>
      </w:pPr>
      <w:r w:rsidRPr="005610BA">
        <w:t xml:space="preserve">Spojené státy čekají na novou definici piva. Má vzniknout v návaznosti na soudní spor mezi Anheuser-Busch </w:t>
      </w:r>
      <w:proofErr w:type="spellStart"/>
      <w:r w:rsidRPr="005610BA">
        <w:t>InBev</w:t>
      </w:r>
      <w:proofErr w:type="spellEnd"/>
      <w:r w:rsidRPr="005610BA">
        <w:t xml:space="preserve"> a </w:t>
      </w:r>
      <w:proofErr w:type="spellStart"/>
      <w:r w:rsidRPr="005610BA">
        <w:t>Constellation</w:t>
      </w:r>
      <w:proofErr w:type="spellEnd"/>
      <w:r w:rsidRPr="005610BA">
        <w:t xml:space="preserve"> </w:t>
      </w:r>
      <w:proofErr w:type="spellStart"/>
      <w:r w:rsidRPr="005610BA">
        <w:t>Brands</w:t>
      </w:r>
      <w:proofErr w:type="spellEnd"/>
      <w:r w:rsidRPr="005610BA">
        <w:t> </w:t>
      </w:r>
    </w:p>
    <w:p w14:paraId="08130460" w14:textId="4A57F5E8" w:rsidR="005610BA" w:rsidRPr="006E29E9" w:rsidRDefault="005610BA" w:rsidP="005610BA">
      <w:pPr>
        <w:spacing w:line="276" w:lineRule="auto"/>
        <w:jc w:val="both"/>
      </w:pPr>
      <w:r w:rsidRPr="005610BA">
        <w:t>Doposud užívaná definice piva, která je americkými úřady užívána pro legislativní, daňové a</w:t>
      </w:r>
      <w:r w:rsidR="00AF2DEB">
        <w:t> </w:t>
      </w:r>
      <w:r w:rsidRPr="005610BA">
        <w:t>označovací účely, patrně dozná změny. Precizace kategorie piva a sladových nápojů se očekává v důsledku soudního sporu, jehož jádrem je právě otázka, jaký nápoj ještě můžeme označovat jako pivo.</w:t>
      </w:r>
    </w:p>
    <w:p w14:paraId="5C9B84F4" w14:textId="77777777" w:rsidR="005610BA" w:rsidRPr="006E29E9" w:rsidRDefault="005610BA" w:rsidP="005610BA">
      <w:pPr>
        <w:spacing w:line="276" w:lineRule="auto"/>
        <w:jc w:val="both"/>
      </w:pPr>
      <w:r w:rsidRPr="005610BA">
        <w:t xml:space="preserve">Mexická odnož nápojářské společnosti Anheuser-Busch </w:t>
      </w:r>
      <w:proofErr w:type="spellStart"/>
      <w:r w:rsidRPr="005610BA">
        <w:t>InBev</w:t>
      </w:r>
      <w:proofErr w:type="spellEnd"/>
      <w:r w:rsidRPr="005610BA">
        <w:t xml:space="preserve"> obvinila v roce 2021 americkou firmu </w:t>
      </w:r>
      <w:proofErr w:type="spellStart"/>
      <w:r w:rsidRPr="005610BA">
        <w:t>Constellation</w:t>
      </w:r>
      <w:proofErr w:type="spellEnd"/>
      <w:r w:rsidRPr="005610BA">
        <w:t xml:space="preserve"> </w:t>
      </w:r>
      <w:proofErr w:type="spellStart"/>
      <w:r w:rsidRPr="005610BA">
        <w:t>Brands</w:t>
      </w:r>
      <w:proofErr w:type="spellEnd"/>
      <w:r w:rsidRPr="005610BA">
        <w:t xml:space="preserve"> z porušení dohody o používání značky </w:t>
      </w:r>
      <w:proofErr w:type="spellStart"/>
      <w:r w:rsidRPr="005610BA">
        <w:t>Corona</w:t>
      </w:r>
      <w:proofErr w:type="spellEnd"/>
      <w:r w:rsidRPr="005610BA">
        <w:t xml:space="preserve"> s tím, že ji používá v rozporu s licenčním ujednáním na jiný výrobek než pivo. </w:t>
      </w:r>
      <w:proofErr w:type="spellStart"/>
      <w:r w:rsidRPr="005610BA">
        <w:t>Constellation</w:t>
      </w:r>
      <w:proofErr w:type="spellEnd"/>
      <w:r w:rsidRPr="005610BA">
        <w:t xml:space="preserve"> používá název </w:t>
      </w:r>
      <w:proofErr w:type="spellStart"/>
      <w:r w:rsidRPr="005610BA">
        <w:t>Corona</w:t>
      </w:r>
      <w:proofErr w:type="spellEnd"/>
      <w:r w:rsidRPr="005610BA">
        <w:t xml:space="preserve"> pro svůj nápoj hard </w:t>
      </w:r>
      <w:proofErr w:type="spellStart"/>
      <w:r w:rsidRPr="005610BA">
        <w:t>seltzer</w:t>
      </w:r>
      <w:proofErr w:type="spellEnd"/>
      <w:r w:rsidRPr="005610BA">
        <w:t xml:space="preserve">, perlivou vodu s alkoholem a příchutí. Nápoje tohoto typu jsou ve Spojených státech velmi populární. Společnost </w:t>
      </w:r>
      <w:proofErr w:type="spellStart"/>
      <w:r w:rsidRPr="005610BA">
        <w:t>Constellation</w:t>
      </w:r>
      <w:proofErr w:type="spellEnd"/>
      <w:r w:rsidRPr="005610BA">
        <w:t xml:space="preserve"> uvedla </w:t>
      </w:r>
      <w:hyperlink r:id="rId10" w:history="1">
        <w:proofErr w:type="spellStart"/>
        <w:r w:rsidRPr="005610BA">
          <w:t>Corona</w:t>
        </w:r>
        <w:proofErr w:type="spellEnd"/>
        <w:r w:rsidRPr="005610BA">
          <w:t xml:space="preserve"> Hard </w:t>
        </w:r>
        <w:proofErr w:type="spellStart"/>
        <w:r w:rsidRPr="005610BA">
          <w:t>Seltzer</w:t>
        </w:r>
        <w:proofErr w:type="spellEnd"/>
      </w:hyperlink>
      <w:r w:rsidRPr="005610BA">
        <w:t xml:space="preserve"> na trh v únoru 2020 a v roce 2021 měla 6% podíl na americkém trhu hard </w:t>
      </w:r>
      <w:proofErr w:type="spellStart"/>
      <w:r w:rsidRPr="005610BA">
        <w:t>seltrezu</w:t>
      </w:r>
      <w:proofErr w:type="spellEnd"/>
      <w:r w:rsidRPr="005610BA">
        <w:t xml:space="preserve">, což z ní činí čtvrtou největší značku v tomto doposud nejasně definovaném segmentu. Nutno dodat, že </w:t>
      </w:r>
      <w:proofErr w:type="spellStart"/>
      <w:r w:rsidRPr="005610BA">
        <w:t>Constellation</w:t>
      </w:r>
      <w:proofErr w:type="spellEnd"/>
      <w:r w:rsidRPr="005610BA">
        <w:t xml:space="preserve"> svým produktem přímo konkuruje výrobkům stejné kategorie společnosti </w:t>
      </w:r>
      <w:hyperlink r:id="rId11" w:history="1">
        <w:r w:rsidRPr="005610BA">
          <w:t xml:space="preserve">Anheuser-Busch </w:t>
        </w:r>
        <w:proofErr w:type="spellStart"/>
        <w:r w:rsidRPr="005610BA">
          <w:t>InBev</w:t>
        </w:r>
        <w:proofErr w:type="spellEnd"/>
      </w:hyperlink>
      <w:r w:rsidRPr="005610BA">
        <w:t>.</w:t>
      </w:r>
    </w:p>
    <w:p w14:paraId="554879AD" w14:textId="77777777" w:rsidR="005610BA" w:rsidRPr="006E29E9" w:rsidRDefault="005610BA" w:rsidP="005610BA">
      <w:pPr>
        <w:spacing w:line="276" w:lineRule="auto"/>
        <w:jc w:val="both"/>
      </w:pPr>
      <w:r w:rsidRPr="005610BA">
        <w:t xml:space="preserve">Hard </w:t>
      </w:r>
      <w:proofErr w:type="spellStart"/>
      <w:r w:rsidRPr="005610BA">
        <w:t>seltzery</w:t>
      </w:r>
      <w:proofErr w:type="spellEnd"/>
      <w:r w:rsidRPr="005610BA">
        <w:t xml:space="preserve"> jsou aktuálně podle amerického Úřadu pro obchod s alkoholem a tabákem (TTB) i Úřadu pro potraviny a léčiva (FDA) klasifikovány jako ochucený nápoj, který spadá do širší kategorie piva. Hlavním fermentačním zdrojem je však obvykle cukr. Předmětný nápoj tohoto </w:t>
      </w:r>
      <w:r w:rsidRPr="005610BA">
        <w:lastRenderedPageBreak/>
        <w:t xml:space="preserve">soudního sporu neobsahuje (stejně jako valná většina dalších produktů označovaných jako hard </w:t>
      </w:r>
      <w:proofErr w:type="spellStart"/>
      <w:r w:rsidRPr="005610BA">
        <w:t>seltzer</w:t>
      </w:r>
      <w:proofErr w:type="spellEnd"/>
      <w:r w:rsidRPr="005610BA">
        <w:t>) sladové ani chmelové produkty.</w:t>
      </w:r>
    </w:p>
    <w:p w14:paraId="5870D769" w14:textId="26EA7820" w:rsidR="005610BA" w:rsidRPr="006E29E9" w:rsidRDefault="005610BA" w:rsidP="005610BA">
      <w:pPr>
        <w:spacing w:line="276" w:lineRule="auto"/>
        <w:jc w:val="both"/>
      </w:pPr>
      <w:r w:rsidRPr="005610BA">
        <w:t xml:space="preserve">Ať už se jedná o hard </w:t>
      </w:r>
      <w:proofErr w:type="spellStart"/>
      <w:r w:rsidRPr="005610BA">
        <w:t>seltzer</w:t>
      </w:r>
      <w:proofErr w:type="spellEnd"/>
      <w:r w:rsidRPr="005610BA">
        <w:t xml:space="preserve">, nealkoholická piva, </w:t>
      </w:r>
      <w:proofErr w:type="spellStart"/>
      <w:r w:rsidRPr="005610BA">
        <w:t>ready</w:t>
      </w:r>
      <w:proofErr w:type="spellEnd"/>
      <w:r w:rsidRPr="005610BA">
        <w:t xml:space="preserve">-to-drink koktejly, koktejly na bázi vína nebo čaje, hranice mezi tradičními kategoriemi v alkoholu se stírají. Alkoholické limonádové nápoje typu hard </w:t>
      </w:r>
      <w:proofErr w:type="spellStart"/>
      <w:r w:rsidRPr="005610BA">
        <w:t>seltzer</w:t>
      </w:r>
      <w:proofErr w:type="spellEnd"/>
      <w:r w:rsidRPr="005610BA">
        <w:t xml:space="preserve"> představovaly roce 2021 odvětví za více než 4 miliardy dolarů a v</w:t>
      </w:r>
      <w:r w:rsidR="00AF2DEB">
        <w:t> </w:t>
      </w:r>
      <w:r w:rsidRPr="005610BA">
        <w:t xml:space="preserve">roce 2023 by mohly z hlediska prodeje předstihnout mj. např. </w:t>
      </w:r>
      <w:proofErr w:type="spellStart"/>
      <w:r w:rsidRPr="005610BA">
        <w:t>craftová</w:t>
      </w:r>
      <w:proofErr w:type="spellEnd"/>
      <w:r w:rsidRPr="005610BA">
        <w:t xml:space="preserve"> piva. Americký spotřebitel vnímá tyto výrobky jako nejlepší hodnotu, kterou za své peníze může dostat. Velké pivovarské společnosti se tak postupně mění na nápojové společnosti. </w:t>
      </w:r>
    </w:p>
    <w:p w14:paraId="7C04B0C1" w14:textId="3F1EE44E" w:rsidR="005610BA" w:rsidRDefault="005610BA" w:rsidP="005610BA">
      <w:pPr>
        <w:spacing w:line="276" w:lineRule="auto"/>
        <w:jc w:val="both"/>
      </w:pPr>
      <w:r w:rsidRPr="005610BA">
        <w:t>Jedná se o trend, který bude v roce 2023 vhodné sledovat také v kontextu českého exportu. Podle společnosti IWSR, která se zabývá analýzou trhu s nápoji, se předpokládá, že v roce 2025 bude tato doposud nejasně definovaná kategorie nápojů tvořit čtvrtinu všech prodejů alkoholických nápojů v USA. </w:t>
      </w:r>
    </w:p>
    <w:p w14:paraId="1F2961B3" w14:textId="7D3BAB16" w:rsidR="00754D71" w:rsidRDefault="00754D71" w:rsidP="005610BA">
      <w:pPr>
        <w:spacing w:line="276" w:lineRule="auto"/>
        <w:jc w:val="both"/>
      </w:pPr>
      <w:r>
        <w:rPr>
          <w:noProof/>
        </w:rPr>
        <w:drawing>
          <wp:inline distT="0" distB="0" distL="0" distR="0" wp14:anchorId="19A8F403" wp14:editId="2813088C">
            <wp:extent cx="5760720" cy="31832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183255"/>
                    </a:xfrm>
                    <a:prstGeom prst="rect">
                      <a:avLst/>
                    </a:prstGeom>
                    <a:noFill/>
                    <a:ln>
                      <a:noFill/>
                    </a:ln>
                  </pic:spPr>
                </pic:pic>
              </a:graphicData>
            </a:graphic>
          </wp:inline>
        </w:drawing>
      </w:r>
    </w:p>
    <w:p w14:paraId="751F6F16" w14:textId="77777777" w:rsidR="00754D71" w:rsidRPr="006E29E9" w:rsidRDefault="00754D71" w:rsidP="005610BA">
      <w:pPr>
        <w:spacing w:line="276" w:lineRule="auto"/>
        <w:jc w:val="both"/>
      </w:pP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3" w:history="1">
        <w:r w:rsidRPr="00D4434C">
          <w:rPr>
            <w:rStyle w:val="Hypertextovodkaz"/>
          </w:rPr>
          <w:t>lukas_zamrzla@mzv.cz</w:t>
        </w:r>
      </w:hyperlink>
      <w:r w:rsidR="00D4434C">
        <w:rPr>
          <w:rStyle w:val="Hypertextovodkaz"/>
          <w:rFonts w:cs="Arial"/>
          <w:color w:val="auto"/>
        </w:rPr>
        <w:t xml:space="preserve"> </w:t>
      </w:r>
    </w:p>
    <w:p w14:paraId="54C52416" w14:textId="77777777" w:rsidR="00AF2DEB" w:rsidRPr="00AF2DEB" w:rsidRDefault="00AF2DEB" w:rsidP="00AF2DEB">
      <w:pPr>
        <w:pStyle w:val="Nadpis3"/>
        <w:spacing w:line="276" w:lineRule="auto"/>
      </w:pPr>
      <w:r w:rsidRPr="00AF2DEB">
        <w:t>Dubaj do nového roku vkročila dočasným zrušením 30% daně na prodej alkoholu</w:t>
      </w:r>
    </w:p>
    <w:p w14:paraId="2A0643B9" w14:textId="5FC02259" w:rsidR="00AF2DEB" w:rsidRPr="00AF2DEB" w:rsidRDefault="00AF2DEB" w:rsidP="00AF2DEB">
      <w:pPr>
        <w:spacing w:line="276" w:lineRule="auto"/>
        <w:jc w:val="both"/>
      </w:pPr>
      <w:r w:rsidRPr="00AF2DEB">
        <w:t xml:space="preserve">Spojené arabské emiráty nevstoupily do nového roku 2023 pouze rekordním ohňostrojem, ale také mnoha plánovanými změnami. Jejich velká část má za úkol přilákat ještě větší množství zahraničních turistů a ukázat, že především Dubaj je zde opravdu jedno z nejlepších míst pro život. V posledních letech se říká, že Emiráty cítí vzrůstající snahu sousední Saúdské Arábie o ukrojení části turistické poptávky. I když se to mnoha lidem nemusí zdát, tak věřte, že do pár let bude Saúdská Arábie v nabídkách většiny komerčních cestovních agentur. </w:t>
      </w:r>
    </w:p>
    <w:p w14:paraId="4D60E0FB" w14:textId="77777777" w:rsidR="00AF2DEB" w:rsidRPr="00AF2DEB" w:rsidRDefault="00AF2DEB" w:rsidP="00AF2DEB">
      <w:pPr>
        <w:spacing w:line="276" w:lineRule="auto"/>
        <w:jc w:val="both"/>
      </w:pPr>
      <w:r w:rsidRPr="00AF2DEB">
        <w:t xml:space="preserve">To je také důvod, proč se Emiráty nezastavují a neustále se </w:t>
      </w:r>
      <w:proofErr w:type="gramStart"/>
      <w:r w:rsidRPr="00AF2DEB">
        <w:t>snaží</w:t>
      </w:r>
      <w:proofErr w:type="gramEnd"/>
      <w:r w:rsidRPr="00AF2DEB">
        <w:t xml:space="preserve"> zlepšovat podmínky především pro západní </w:t>
      </w:r>
      <w:proofErr w:type="spellStart"/>
      <w:r w:rsidRPr="00AF2DEB">
        <w:t>expaty</w:t>
      </w:r>
      <w:proofErr w:type="spellEnd"/>
      <w:r w:rsidRPr="00AF2DEB">
        <w:t xml:space="preserve"> a turisty. Mezi příklady z loňského roku můžeme jmenovat změnu pracovních dnů, zavedení klasického evropského víkendu nebo umožnění zavést ve firmách 4denní pracovní týden.</w:t>
      </w:r>
    </w:p>
    <w:p w14:paraId="18A3CFAF" w14:textId="3CBEF20B" w:rsidR="00AF2DEB" w:rsidRPr="00AF2DEB" w:rsidRDefault="00AF2DEB" w:rsidP="00AF2DEB">
      <w:pPr>
        <w:spacing w:line="276" w:lineRule="auto"/>
        <w:jc w:val="both"/>
      </w:pPr>
      <w:r w:rsidRPr="00AF2DEB">
        <w:t>Další, ale poměrně zásadní změnu, ohlásila dubajská samospráva hned první týden tohoto roku. Jde o velmi pozitivní krok jak pro obchodníky, tak i pro spotřebitele. Jedná se o dočasné (v současnosti na jeden rok) zrušení 30% daně z prodeje alkoholu v emirátu Dubaj. Kdo se o</w:t>
      </w:r>
      <w:r>
        <w:t> </w:t>
      </w:r>
      <w:r w:rsidRPr="00AF2DEB">
        <w:t xml:space="preserve">tento segment zajímá nebo čte mé příspěvky, tak ví, že obchodní prostředí s alkoholickými nápoji svírá mnoho opatření. Základní je 100% importní daň, která se vybírá ve všech jednotlivých emirátech. Navíc existují další daně, které jsou různé napříč 7 emiráty v zemi. V případě Dubaje to bylo dalších 30 %, jež museli distributoři aplikovat na importovaný alkohol, který prodali na území města. S touto daní tak museli počítat všichni spotřebitelé, kteří šli do obchodu nebo si dali alkohol v baru či restauraci. </w:t>
      </w:r>
    </w:p>
    <w:p w14:paraId="5F631F86" w14:textId="50E0B165" w:rsidR="00AF2DEB" w:rsidRPr="00AF2DEB" w:rsidRDefault="00AF2DEB" w:rsidP="00AF2DEB">
      <w:pPr>
        <w:spacing w:line="276" w:lineRule="auto"/>
        <w:jc w:val="both"/>
      </w:pPr>
      <w:r w:rsidRPr="00AF2DEB">
        <w:t xml:space="preserve">Silně regulovaný trh tak dostal potřebné uvolnění, které během současných zvyšujících se nákladů a inflace přichází právě včas. V Dubaji jsou zatím pouze dvě firmy, které smí alkohol distribuovat, jde o firmu </w:t>
      </w:r>
      <w:proofErr w:type="spellStart"/>
      <w:r w:rsidRPr="00AF2DEB">
        <w:t>African</w:t>
      </w:r>
      <w:proofErr w:type="spellEnd"/>
      <w:r w:rsidRPr="00AF2DEB">
        <w:t xml:space="preserve"> </w:t>
      </w:r>
      <w:proofErr w:type="spellStart"/>
      <w:r w:rsidRPr="00AF2DEB">
        <w:t>Eastern</w:t>
      </w:r>
      <w:proofErr w:type="spellEnd"/>
      <w:r w:rsidRPr="00AF2DEB">
        <w:t xml:space="preserve"> a MMI. Obě firmy na novinku rychle zareagovali a</w:t>
      </w:r>
      <w:r>
        <w:t> </w:t>
      </w:r>
      <w:r w:rsidRPr="00AF2DEB">
        <w:t xml:space="preserve">ohlásily okamžité snížení cen napříč jejich prodejnami. I když je hlavním cílem snížení cen pro koncového spotřebitele, samostatné podniky přiznávají, že nemohou jen díky této změně automaticky snížit ceny o 30 % i ve svých barech a restauracích. </w:t>
      </w:r>
    </w:p>
    <w:p w14:paraId="78BD454C" w14:textId="77777777" w:rsidR="00AF2DEB" w:rsidRPr="00AF2DEB" w:rsidRDefault="00AF2DEB" w:rsidP="00AF2DEB">
      <w:pPr>
        <w:spacing w:line="276" w:lineRule="auto"/>
        <w:jc w:val="both"/>
      </w:pPr>
      <w:r w:rsidRPr="00AF2DEB">
        <w:t xml:space="preserve">Jedním z důvodů je např. naskladněné zboží, které bylo již zakoupeno včetně této daně. Nejenom pro spotřebitele ale také pro podnikatele přišla zpráva o zrušení daně jen pár dní před zavedením nového zákona. Dalším pádným argumentem ve vyjádření podnikatelů jsou zvýšené náklady za poslední dva roky. Vyšší ceny za suroviny a za provoz nebyly promítány do současných cen, obchodníci se je snažili nezvyšovat a úspory na této dani tak mohou brát jako určité narovnání profitability. </w:t>
      </w:r>
    </w:p>
    <w:p w14:paraId="43259441" w14:textId="0D0840E0" w:rsidR="00DB022E" w:rsidRPr="00AF2DEB" w:rsidRDefault="00AF2DEB" w:rsidP="00EF76D8">
      <w:pPr>
        <w:spacing w:line="276" w:lineRule="auto"/>
        <w:jc w:val="both"/>
      </w:pPr>
      <w:r w:rsidRPr="00AF2DEB">
        <w:t>V příštích měsících uvidíme, jak se změna opravdu projeví v dubajských barech a</w:t>
      </w:r>
      <w:r>
        <w:t> </w:t>
      </w:r>
      <w:r w:rsidRPr="00AF2DEB">
        <w:t>restauracích. Nicméně minimálně ve specializovaných obchodech s alkoholem v Dubaji si již od minulého týdne můžete koupit alkohol o 30 % levněji než v roce 2022.</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4" w:history="1">
        <w:r w:rsidRPr="00D4434C">
          <w:rPr>
            <w:rStyle w:val="Hypertextovodkaz"/>
          </w:rPr>
          <w:t>irena_leopoldova@mzv.cz</w:t>
        </w:r>
      </w:hyperlink>
      <w:r w:rsidR="00D4434C">
        <w:t xml:space="preserve"> </w:t>
      </w:r>
    </w:p>
    <w:p w14:paraId="6659F23C" w14:textId="77777777" w:rsidR="000D768F" w:rsidRPr="000D768F" w:rsidRDefault="000D768F" w:rsidP="000D768F">
      <w:pPr>
        <w:pStyle w:val="Nadpis3"/>
        <w:spacing w:line="276" w:lineRule="auto"/>
      </w:pPr>
      <w:r w:rsidRPr="000D768F">
        <w:t>Japonský zemědělský vývoz opět rekordní</w:t>
      </w:r>
    </w:p>
    <w:p w14:paraId="23AED844" w14:textId="77777777" w:rsidR="000D768F" w:rsidRPr="000D768F" w:rsidRDefault="000D768F" w:rsidP="000D768F">
      <w:pPr>
        <w:spacing w:line="276" w:lineRule="auto"/>
        <w:jc w:val="both"/>
      </w:pPr>
      <w:r w:rsidRPr="000D768F">
        <w:t>Předpokládá se, že japonský vývoz zemědělských produktů a potravin dosáhne za loňský rok rekordních výsledků. Toho bude dosaženo díky oslabení jenu a oživení světové poptávky, podpořené ustupujícími obavami z pandemie.</w:t>
      </w:r>
    </w:p>
    <w:p w14:paraId="05AB74D6" w14:textId="11E9E5BC" w:rsidR="000D768F" w:rsidRPr="000D768F" w:rsidRDefault="000D768F" w:rsidP="000D768F">
      <w:pPr>
        <w:spacing w:line="276" w:lineRule="auto"/>
        <w:jc w:val="both"/>
      </w:pPr>
      <w:r w:rsidRPr="000D768F">
        <w:t>Vývoz zemědělských, potravinářských a lesnických produktů dosáhl za prvních 10 měsíců roku 2022 hodnoty 1,12 bilionu jenů (8,34 mld</w:t>
      </w:r>
      <w:r w:rsidR="003D6334">
        <w:t>.</w:t>
      </w:r>
      <w:r w:rsidRPr="000D768F">
        <w:t xml:space="preserve"> USD). Podruhé v historii tak došlo k překročení hranice 1 bil. jenů. Poprvé dosáhl vývoz zemědělských produktů tohoto milníku v roce 2021, kdy vývoz činil 1,23 bil. jenů. Nyní je jisté, že v roce 2022 bude tato hodnota vyšší. Japonská vláda si stanovila cíl dosáhnout do roku 2025 vývozu ve výši 2 bilionů jenů. Největším odběratelem japonského zemědělského zboží je Čína, kde jsou oblíbené zejména japonské hřebenatky a alkoholické nápoje. Dovoz do této země se zvýšil o 25 % v porovnání s rokem 2021. Následovaly USA, s hodnotou dovozu 165 mld. jenů, což je zvýšení o 21 %.</w:t>
      </w:r>
    </w:p>
    <w:p w14:paraId="1DADD7D6" w14:textId="77777777" w:rsidR="000D768F" w:rsidRPr="000D768F" w:rsidRDefault="000D768F" w:rsidP="000D768F">
      <w:pPr>
        <w:spacing w:line="276" w:lineRule="auto"/>
        <w:jc w:val="both"/>
      </w:pPr>
      <w:r w:rsidRPr="000D768F">
        <w:t xml:space="preserve">Japonská vláda koncem roku oznámila novou strategii, jejímž cílem je zvýšit počet výrobních oblastí, které mohou v exportních destinacích splňovat předpisy týkající se bezpečnosti potravin a karantén. Prefekturní vlády, obchodní společnosti i zemědělská družstva budou spolupracovat na vytvoření systému podpory dodržování předpisů. Novinkou je také přidání japonského okrasného kapra </w:t>
      </w:r>
      <w:proofErr w:type="spellStart"/>
      <w:r w:rsidRPr="000D768F">
        <w:t>koi</w:t>
      </w:r>
      <w:proofErr w:type="spellEnd"/>
      <w:r w:rsidRPr="000D768F">
        <w:t xml:space="preserve"> na seznam prioritních položek, u kterých existuje předpoklad pro rozšíření vývozu. Pokud je položka označena za prioritní pro vývoz, domácí producenti </w:t>
      </w:r>
      <w:proofErr w:type="gramStart"/>
      <w:r w:rsidRPr="000D768F">
        <w:t>vytvoří</w:t>
      </w:r>
      <w:proofErr w:type="gramEnd"/>
      <w:r w:rsidRPr="000D768F">
        <w:t xml:space="preserve"> skupinu, která spolupracuje na maximalizaci vývozu. Nově byly vytvořeny čtyři skupiny na podporu 11 prioritních položek.</w:t>
      </w:r>
    </w:p>
    <w:p w14:paraId="313DF905" w14:textId="77777777" w:rsidR="000D768F" w:rsidRPr="000D768F" w:rsidRDefault="000D768F" w:rsidP="000D768F">
      <w:pPr>
        <w:spacing w:after="120" w:line="276" w:lineRule="auto"/>
        <w:jc w:val="both"/>
      </w:pPr>
      <w:r w:rsidRPr="000D768F">
        <w:t xml:space="preserve">Je potřeba zmínit, že Japonsko nadále trápí dovozní omezení v některých zemích, která byla zavedena po havárii v jaderné elektrárně Fukušima </w:t>
      </w:r>
      <w:proofErr w:type="spellStart"/>
      <w:r w:rsidRPr="000D768F">
        <w:t>Daiči</w:t>
      </w:r>
      <w:proofErr w:type="spellEnd"/>
      <w:r w:rsidRPr="000D768F">
        <w:t xml:space="preserve"> v roce 2011. Japonská vláda plánuje vypustit vyčištěnou odpadní vodu z </w:t>
      </w:r>
      <w:proofErr w:type="spellStart"/>
      <w:r w:rsidRPr="000D768F">
        <w:t>fukušimské</w:t>
      </w:r>
      <w:proofErr w:type="spellEnd"/>
      <w:r w:rsidRPr="000D768F">
        <w:t xml:space="preserve"> elektrárny do oceánu na jaře 2023. Toto rozhodnutí vyvolalo ostrou kritiku nejen okolních států, ale i rybářské komunity i ekologických skupin.</w:t>
      </w:r>
    </w:p>
    <w:p w14:paraId="31870B36" w14:textId="77777777" w:rsidR="000D768F" w:rsidRPr="000D768F" w:rsidRDefault="000D768F" w:rsidP="000D768F">
      <w:pPr>
        <w:spacing w:line="276" w:lineRule="auto"/>
        <w:jc w:val="both"/>
      </w:pPr>
      <w:r w:rsidRPr="000D768F">
        <w:t xml:space="preserve">Zdroj: </w:t>
      </w:r>
      <w:proofErr w:type="spellStart"/>
      <w:r w:rsidRPr="000D768F">
        <w:t>Nikkei</w:t>
      </w:r>
      <w:proofErr w:type="spellEnd"/>
      <w:r w:rsidRPr="000D768F">
        <w:t xml:space="preserve"> </w:t>
      </w:r>
      <w:proofErr w:type="spellStart"/>
      <w:r w:rsidRPr="000D768F">
        <w:t>Asia</w:t>
      </w:r>
      <w:proofErr w:type="spellEnd"/>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5" w:history="1">
        <w:r w:rsidR="00D4434C" w:rsidRPr="00D54C30">
          <w:rPr>
            <w:rStyle w:val="Hypertextovodkaz"/>
          </w:rPr>
          <w:t>lubos.marek@mze.cz</w:t>
        </w:r>
      </w:hyperlink>
      <w:r w:rsidR="00D4434C">
        <w:t xml:space="preserve"> / </w:t>
      </w:r>
      <w:hyperlink r:id="rId16" w:history="1">
        <w:r w:rsidR="00D4434C" w:rsidRPr="00D54C30">
          <w:rPr>
            <w:rStyle w:val="Hypertextovodkaz"/>
          </w:rPr>
          <w:t>commerce_hanoi@mzv.cz</w:t>
        </w:r>
      </w:hyperlink>
      <w:r w:rsidR="00D4434C">
        <w:t xml:space="preserve"> </w:t>
      </w:r>
    </w:p>
    <w:p w14:paraId="5AC1A908" w14:textId="77777777" w:rsidR="00924E20" w:rsidRPr="00924E20" w:rsidRDefault="00924E20" w:rsidP="00924E20">
      <w:pPr>
        <w:pStyle w:val="Nadpis3"/>
        <w:spacing w:line="276" w:lineRule="auto"/>
      </w:pPr>
      <w:proofErr w:type="spellStart"/>
      <w:r w:rsidRPr="00924E20">
        <w:t>Swire</w:t>
      </w:r>
      <w:proofErr w:type="spellEnd"/>
      <w:r w:rsidRPr="00924E20">
        <w:t xml:space="preserve"> dokončil akvizice stáčíren Coca-Coly ve Vietnamu a Kambodži</w:t>
      </w:r>
    </w:p>
    <w:p w14:paraId="5A933EE4" w14:textId="1C16ECC3" w:rsidR="00924E20" w:rsidRPr="00924E20" w:rsidRDefault="00924E20" w:rsidP="00924E20">
      <w:pPr>
        <w:spacing w:line="276" w:lineRule="auto"/>
        <w:jc w:val="both"/>
      </w:pPr>
      <w:r w:rsidRPr="00924E20">
        <w:t xml:space="preserve">Hongkongský konglomerát </w:t>
      </w:r>
      <w:proofErr w:type="spellStart"/>
      <w:r w:rsidRPr="00924E20">
        <w:t>Swire</w:t>
      </w:r>
      <w:proofErr w:type="spellEnd"/>
      <w:r w:rsidRPr="00924E20">
        <w:t xml:space="preserve"> </w:t>
      </w:r>
      <w:proofErr w:type="spellStart"/>
      <w:r w:rsidRPr="00924E20">
        <w:t>Pacific</w:t>
      </w:r>
      <w:proofErr w:type="spellEnd"/>
      <w:r w:rsidRPr="00924E20">
        <w:t xml:space="preserve"> uzavřel v červenci r. 2022 dohodu o akvizici stáčíren Coca-Coly ve Vietnamu a v Kambodži. Dle prohlášení na burze zaplatil </w:t>
      </w:r>
      <w:proofErr w:type="spellStart"/>
      <w:r w:rsidRPr="00924E20">
        <w:t>Swire</w:t>
      </w:r>
      <w:proofErr w:type="spellEnd"/>
      <w:r w:rsidRPr="00924E20">
        <w:t xml:space="preserve"> za aktiva v obou zemích 1,02 mld. amerických dolarů. Jedná se o první investici </w:t>
      </w:r>
      <w:proofErr w:type="spellStart"/>
      <w:r w:rsidRPr="00924E20">
        <w:t>Swire</w:t>
      </w:r>
      <w:proofErr w:type="spellEnd"/>
      <w:r w:rsidRPr="00924E20">
        <w:t xml:space="preserve"> na trhu s nápoji v</w:t>
      </w:r>
      <w:r>
        <w:t> </w:t>
      </w:r>
      <w:r w:rsidRPr="00924E20">
        <w:t>jihovýchodní Asii, dynamickém a živém regionu s obrovským růstovým potenciálem.</w:t>
      </w:r>
    </w:p>
    <w:p w14:paraId="5DE08E7D" w14:textId="43E70273" w:rsidR="00924E20" w:rsidRPr="00924E20" w:rsidRDefault="00924E20" w:rsidP="00924E20">
      <w:pPr>
        <w:spacing w:line="276" w:lineRule="auto"/>
        <w:jc w:val="both"/>
      </w:pPr>
      <w:r w:rsidRPr="00924E20">
        <w:t xml:space="preserve">Po akvizici společnosti </w:t>
      </w:r>
      <w:proofErr w:type="spellStart"/>
      <w:r w:rsidRPr="00924E20">
        <w:t>Cambodia</w:t>
      </w:r>
      <w:proofErr w:type="spellEnd"/>
      <w:r w:rsidRPr="00924E20">
        <w:t xml:space="preserve"> </w:t>
      </w:r>
      <w:proofErr w:type="spellStart"/>
      <w:r w:rsidRPr="00924E20">
        <w:t>Beverage</w:t>
      </w:r>
      <w:proofErr w:type="spellEnd"/>
      <w:r w:rsidRPr="00924E20">
        <w:t xml:space="preserve"> v listopadu 2022 nyní společnost </w:t>
      </w:r>
      <w:proofErr w:type="spellStart"/>
      <w:r w:rsidRPr="00924E20">
        <w:t>Swire</w:t>
      </w:r>
      <w:proofErr w:type="spellEnd"/>
      <w:r w:rsidRPr="00924E20">
        <w:t xml:space="preserve"> Coca-Cola (100% dceřiná společnost </w:t>
      </w:r>
      <w:proofErr w:type="spellStart"/>
      <w:r w:rsidRPr="00924E20">
        <w:t>Swire</w:t>
      </w:r>
      <w:proofErr w:type="spellEnd"/>
      <w:r w:rsidRPr="00924E20">
        <w:t xml:space="preserve"> </w:t>
      </w:r>
      <w:proofErr w:type="spellStart"/>
      <w:r w:rsidRPr="00924E20">
        <w:t>Pacific</w:t>
      </w:r>
      <w:proofErr w:type="spellEnd"/>
      <w:r w:rsidRPr="00924E20">
        <w:t xml:space="preserve">) oznámila také dokončení akvizice společnosti Coca-Cola </w:t>
      </w:r>
      <w:proofErr w:type="spellStart"/>
      <w:r w:rsidRPr="00924E20">
        <w:t>Beverages</w:t>
      </w:r>
      <w:proofErr w:type="spellEnd"/>
      <w:r w:rsidRPr="00924E20">
        <w:t xml:space="preserve"> Vietnam. Po dokončení transakce nyní </w:t>
      </w:r>
      <w:proofErr w:type="spellStart"/>
      <w:r w:rsidRPr="00924E20">
        <w:t>Swire</w:t>
      </w:r>
      <w:proofErr w:type="spellEnd"/>
      <w:r w:rsidRPr="00924E20">
        <w:t xml:space="preserve"> Coca-Cola vlastní a</w:t>
      </w:r>
      <w:r>
        <w:t> </w:t>
      </w:r>
      <w:r w:rsidRPr="00924E20">
        <w:t>provozuje po celém Vietnamu tři zařízení na výrobu nápojů, 18 výrobních linek a šest distribučních center s 3 500 zaměstnanci.</w:t>
      </w:r>
    </w:p>
    <w:p w14:paraId="0AC72D33" w14:textId="1FB0A8A3" w:rsidR="00924E20" w:rsidRPr="00924E20" w:rsidRDefault="00924E20" w:rsidP="00924E20">
      <w:pPr>
        <w:spacing w:line="276" w:lineRule="auto"/>
        <w:jc w:val="both"/>
      </w:pPr>
      <w:r w:rsidRPr="00924E20">
        <w:t>Akvizice odráží přitažlivost vietnamského trhu s nápoji i vzhledem k jeho rostoucí populaci s</w:t>
      </w:r>
      <w:r>
        <w:t> </w:t>
      </w:r>
      <w:r w:rsidRPr="00924E20">
        <w:t>více než 99 mil. obyvatel. Navzdory tomu, že je Vietnam obecně známý jako lukrativní trh s</w:t>
      </w:r>
      <w:r>
        <w:t> </w:t>
      </w:r>
      <w:r w:rsidRPr="00924E20">
        <w:t xml:space="preserve">alkoholickými nápoji, zde existují významné příležitosti také pro značky nealkoholických nápojů. V jedné z nejrychleji rostoucích ekonomik jihovýchodní Asie (v roce 2022 měla růst HDP přes 8 %), cítí významnou a dlouhodobou příležitost i společnost </w:t>
      </w:r>
      <w:proofErr w:type="spellStart"/>
      <w:r w:rsidRPr="00924E20">
        <w:t>Swire</w:t>
      </w:r>
      <w:proofErr w:type="spellEnd"/>
      <w:r w:rsidRPr="00924E20">
        <w:t xml:space="preserve"> Coca-Cola.</w:t>
      </w:r>
    </w:p>
    <w:p w14:paraId="161DC490" w14:textId="238C9888" w:rsidR="00924E20" w:rsidRPr="00924E20" w:rsidRDefault="00924E20" w:rsidP="00924E20">
      <w:pPr>
        <w:spacing w:line="276" w:lineRule="auto"/>
        <w:jc w:val="both"/>
      </w:pPr>
      <w:r w:rsidRPr="00924E20">
        <w:t>Podle statistik dosahují současné tržby v segmentu nealkoholických nápojů 7,8 mld. amerických dolarů a očekává se, že trh ve Vietnamu poroste ročně o 7,2 %. Z toho 21 % tržeb a objemově 12 % nealkoholických nápojů by mělo připadat na spotřebu v barech a</w:t>
      </w:r>
      <w:r>
        <w:t> </w:t>
      </w:r>
      <w:r w:rsidRPr="00924E20">
        <w:t>restauracích.</w:t>
      </w:r>
    </w:p>
    <w:p w14:paraId="0F0A8349" w14:textId="6D7D9D77" w:rsidR="00924E20" w:rsidRPr="00924E20" w:rsidRDefault="00924E20" w:rsidP="00924E20">
      <w:pPr>
        <w:spacing w:line="276" w:lineRule="auto"/>
        <w:jc w:val="both"/>
      </w:pPr>
      <w:r w:rsidRPr="00924E20">
        <w:t xml:space="preserve">Jako pátá největší stáčírna Coca-Coly na světě má </w:t>
      </w:r>
      <w:proofErr w:type="spellStart"/>
      <w:r w:rsidRPr="00924E20">
        <w:t>Swire</w:t>
      </w:r>
      <w:proofErr w:type="spellEnd"/>
      <w:r w:rsidRPr="00924E20">
        <w:t xml:space="preserve"> Coca-Cola výhradní právo vyrábět, balit, distribuovat a uvádět na trh produkty společnosti Coca-Cola v Číně, Hong Kongu, Tchaj-wanu, Kambodži, Vietnamu a 13 státech USA. Vztah </w:t>
      </w:r>
      <w:proofErr w:type="spellStart"/>
      <w:r w:rsidRPr="00924E20">
        <w:t>Swire</w:t>
      </w:r>
      <w:proofErr w:type="spellEnd"/>
      <w:r w:rsidRPr="00924E20">
        <w:t xml:space="preserve"> Coca-Coly a Coca-Coly začal v</w:t>
      </w:r>
      <w:r w:rsidR="00AF2DEB">
        <w:t> </w:t>
      </w:r>
      <w:r w:rsidRPr="00924E20">
        <w:t xml:space="preserve">roce 1965 akvizicí většinového podílu v hongkongské společnosti. </w:t>
      </w:r>
    </w:p>
    <w:p w14:paraId="215B3920" w14:textId="77777777" w:rsidR="00924E20" w:rsidRPr="00924E20" w:rsidRDefault="00924E20" w:rsidP="00924E20">
      <w:pPr>
        <w:spacing w:line="276" w:lineRule="auto"/>
        <w:jc w:val="both"/>
      </w:pPr>
      <w:proofErr w:type="spellStart"/>
      <w:r w:rsidRPr="00924E20">
        <w:t>Swire</w:t>
      </w:r>
      <w:proofErr w:type="spellEnd"/>
      <w:r w:rsidRPr="00924E20">
        <w:t xml:space="preserve"> Coca-Cola v současnosti vyrábí 62 značek nápojů a distribuuje je na trh 880 milionům spotřebitelů.</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7"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4C9D5588" w14:textId="45DA8550" w:rsidR="004C773F" w:rsidRPr="004C773F" w:rsidRDefault="004C773F" w:rsidP="004C773F">
      <w:pPr>
        <w:pStyle w:val="Nadpis3"/>
        <w:spacing w:line="276" w:lineRule="auto"/>
      </w:pPr>
      <w:bookmarkStart w:id="0" w:name="_Hlk123908311"/>
      <w:r w:rsidRPr="006E1AD8">
        <w:t xml:space="preserve">Velká Británie </w:t>
      </w:r>
      <w:r w:rsidR="000D36D1">
        <w:t>se má stát</w:t>
      </w:r>
      <w:r w:rsidRPr="006E1AD8">
        <w:t xml:space="preserve"> přední</w:t>
      </w:r>
      <w:r w:rsidR="000D36D1">
        <w:t>m</w:t>
      </w:r>
      <w:r w:rsidRPr="006E1AD8">
        <w:t xml:space="preserve"> </w:t>
      </w:r>
      <w:r w:rsidR="000D36D1">
        <w:t xml:space="preserve">světovým </w:t>
      </w:r>
      <w:r w:rsidRPr="006E1AD8">
        <w:t>výrobce</w:t>
      </w:r>
      <w:r w:rsidR="000D36D1">
        <w:t>m</w:t>
      </w:r>
      <w:r w:rsidRPr="006E1AD8">
        <w:t xml:space="preserve"> laboratorně </w:t>
      </w:r>
      <w:r w:rsidR="000D36D1">
        <w:t>vyráběného</w:t>
      </w:r>
      <w:r w:rsidRPr="006E1AD8">
        <w:t xml:space="preserve"> masa</w:t>
      </w:r>
      <w:bookmarkEnd w:id="0"/>
    </w:p>
    <w:p w14:paraId="1E813694" w14:textId="220B475A" w:rsidR="004C773F" w:rsidRDefault="004C773F" w:rsidP="004C773F">
      <w:pPr>
        <w:spacing w:line="276" w:lineRule="auto"/>
        <w:jc w:val="both"/>
      </w:pPr>
      <w:r>
        <w:t xml:space="preserve">Podle průzkumu společnosti </w:t>
      </w:r>
      <w:proofErr w:type="spellStart"/>
      <w:r>
        <w:t>GovGrant</w:t>
      </w:r>
      <w:proofErr w:type="spellEnd"/>
      <w:r>
        <w:t xml:space="preserve"> se Velká Británie v budoucnu stane předním světovým výrobcem laboratorně </w:t>
      </w:r>
      <w:r w:rsidR="000D36D1">
        <w:t>vyráběného</w:t>
      </w:r>
      <w:r>
        <w:t xml:space="preserve"> masa. Předpokládá se, že toto odvětví bude v Británii rychle zvyšovat svůj podíl v potravinářském průmyslu. Výroba masa pomocí kultivace živočišných buněk by měla do roku 2035 pokrýt téměř čtvrtinu celosvětové spotřeby masa.</w:t>
      </w:r>
    </w:p>
    <w:p w14:paraId="5E17981E" w14:textId="034C3175" w:rsidR="004C773F" w:rsidRDefault="004C773F" w:rsidP="004C773F">
      <w:pPr>
        <w:spacing w:line="276" w:lineRule="auto"/>
        <w:jc w:val="both"/>
      </w:pPr>
      <w:r>
        <w:t xml:space="preserve">Specialisté z </w:t>
      </w:r>
      <w:proofErr w:type="spellStart"/>
      <w:r>
        <w:t>GovGrant</w:t>
      </w:r>
      <w:proofErr w:type="spellEnd"/>
      <w:r>
        <w:t xml:space="preserve"> zjistili, že britské firmy zaměřené na laboratorně </w:t>
      </w:r>
      <w:r w:rsidR="000D36D1">
        <w:t>vyráběné</w:t>
      </w:r>
      <w:r>
        <w:t xml:space="preserve"> maso získaly investice ve výši 28,55 mil. liber a ve výši investic zaostávají v mezinárodním srovnání pouze za Izraelem, Nizozemskem, Singapurem a USA, kde Úřad pro kontrolu potravin a léčiv (FDA) deklaroval, že laboratorně kultivované maso je bezpečné ke konzumaci.</w:t>
      </w:r>
    </w:p>
    <w:p w14:paraId="4A339442" w14:textId="77777777" w:rsidR="004C773F" w:rsidRDefault="004C773F" w:rsidP="004C773F">
      <w:pPr>
        <w:spacing w:line="276" w:lineRule="auto"/>
        <w:jc w:val="both"/>
      </w:pPr>
      <w:r>
        <w:t xml:space="preserve">Alec </w:t>
      </w:r>
      <w:proofErr w:type="spellStart"/>
      <w:r>
        <w:t>Griffiths</w:t>
      </w:r>
      <w:proofErr w:type="spellEnd"/>
      <w:r>
        <w:t xml:space="preserve">, manažer duševního vlastnictví </w:t>
      </w:r>
      <w:proofErr w:type="spellStart"/>
      <w:r>
        <w:t>GovGrant</w:t>
      </w:r>
      <w:proofErr w:type="spellEnd"/>
      <w:r>
        <w:t xml:space="preserve"> uvedl: „Vzhledem k tomu, že Úřad pro kontrolu potravin a léčiv (FDA) v USA označil laboratorně pěstované maso za bezpečné, měl by se tento trh skutečně rozjet.“</w:t>
      </w:r>
    </w:p>
    <w:p w14:paraId="37CB8E41" w14:textId="77777777" w:rsidR="004C773F" w:rsidRDefault="004C773F" w:rsidP="004C773F">
      <w:pPr>
        <w:spacing w:line="276" w:lineRule="auto"/>
        <w:jc w:val="both"/>
      </w:pPr>
      <w:r>
        <w:t xml:space="preserve">Největší objem kapitálových investic ze všech společností v tomto odvětví ve Spojeném království získala společnost </w:t>
      </w:r>
      <w:proofErr w:type="spellStart"/>
      <w:r>
        <w:t>HigherSteaks</w:t>
      </w:r>
      <w:proofErr w:type="spellEnd"/>
      <w:r>
        <w:t>. V celoevropském srovnání objemu investic do podobného druhu firem je tato společnost na šestém místě.</w:t>
      </w:r>
    </w:p>
    <w:p w14:paraId="171D2B22" w14:textId="77ED9209" w:rsidR="004C773F" w:rsidRDefault="004C773F" w:rsidP="004C773F">
      <w:pPr>
        <w:spacing w:line="276" w:lineRule="auto"/>
        <w:jc w:val="both"/>
      </w:pPr>
      <w:r>
        <w:t xml:space="preserve">Výzkumný pracovník </w:t>
      </w:r>
      <w:proofErr w:type="spellStart"/>
      <w:r>
        <w:t>GovGrant</w:t>
      </w:r>
      <w:proofErr w:type="spellEnd"/>
      <w:r>
        <w:t xml:space="preserve">, Adam </w:t>
      </w:r>
      <w:proofErr w:type="spellStart"/>
      <w:r>
        <w:t>Simmonds</w:t>
      </w:r>
      <w:proofErr w:type="spellEnd"/>
      <w:r>
        <w:t>, doplnil: „Ačkoli je Spojené království o něco pozadu za USA, stále je v této oblasti předním inovátorem. Navíc zde existuje obrovská potenciální poptávka mezi spotřebiteli, což bude pro společnosti podnět k dalším inovacím a ochraně jejich produktů. Tato oblast by se mohla stát pro Spojené království zajímavou oblastí růstu zejména proto, že počet zemí, které disponují odbornými znalostmi pro výrobu tohoto druhu masa, je malý. Určitě dojde k dalšímu nárůstu investic do britských výrobců, kteří budou chtít plně využít nadcházejícího boomu poptávky.“</w:t>
      </w:r>
    </w:p>
    <w:p w14:paraId="550C70D2" w14:textId="77777777" w:rsidR="004C773F" w:rsidRDefault="00E3498F" w:rsidP="004C773F">
      <w:pPr>
        <w:jc w:val="both"/>
      </w:pPr>
      <w:hyperlink r:id="rId18" w:history="1">
        <w:r w:rsidR="004C773F" w:rsidRPr="003B083F">
          <w:rPr>
            <w:rStyle w:val="Hypertextovodkaz"/>
          </w:rPr>
          <w:t>Zdroj</w:t>
        </w:r>
      </w:hyperlink>
    </w:p>
    <w:p w14:paraId="2EB47923" w14:textId="537F00F7" w:rsidR="00F36E50" w:rsidRPr="00F36E50" w:rsidRDefault="00F36E50" w:rsidP="00EF76D8">
      <w:pPr>
        <w:spacing w:line="276" w:lineRule="auto"/>
      </w:pPr>
    </w:p>
    <w:sectPr w:rsidR="00F36E50" w:rsidRPr="00F36E50" w:rsidSect="00505C2E">
      <w:footerReference w:type="defaul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808E" w14:textId="77777777" w:rsidR="00E3498F" w:rsidRDefault="00E3498F" w:rsidP="00D4434C">
      <w:r>
        <w:separator/>
      </w:r>
    </w:p>
  </w:endnote>
  <w:endnote w:type="continuationSeparator" w:id="0">
    <w:p w14:paraId="3A71D2FF" w14:textId="77777777" w:rsidR="00E3498F" w:rsidRDefault="00E3498F"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80AC" w14:textId="77777777" w:rsidR="00E3498F" w:rsidRDefault="00E3498F" w:rsidP="00D4434C">
      <w:r>
        <w:separator/>
      </w:r>
    </w:p>
  </w:footnote>
  <w:footnote w:type="continuationSeparator" w:id="0">
    <w:p w14:paraId="3BD3C4CD" w14:textId="77777777" w:rsidR="00E3498F" w:rsidRDefault="00E3498F"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14A6"/>
    <w:rsid w:val="00035FAD"/>
    <w:rsid w:val="000458E0"/>
    <w:rsid w:val="00056BBE"/>
    <w:rsid w:val="00061EED"/>
    <w:rsid w:val="00062DAB"/>
    <w:rsid w:val="000663DF"/>
    <w:rsid w:val="000A4F06"/>
    <w:rsid w:val="000D36D1"/>
    <w:rsid w:val="000D768F"/>
    <w:rsid w:val="000F717B"/>
    <w:rsid w:val="00126ADE"/>
    <w:rsid w:val="00146BCF"/>
    <w:rsid w:val="001D3F62"/>
    <w:rsid w:val="001F023C"/>
    <w:rsid w:val="001F29AF"/>
    <w:rsid w:val="00223F87"/>
    <w:rsid w:val="002616B5"/>
    <w:rsid w:val="00267D97"/>
    <w:rsid w:val="002A2D85"/>
    <w:rsid w:val="002A56DF"/>
    <w:rsid w:val="002E5EAD"/>
    <w:rsid w:val="00370E34"/>
    <w:rsid w:val="003964FA"/>
    <w:rsid w:val="003D2B3B"/>
    <w:rsid w:val="003D56E1"/>
    <w:rsid w:val="003D6334"/>
    <w:rsid w:val="0040717D"/>
    <w:rsid w:val="004232BE"/>
    <w:rsid w:val="004559E3"/>
    <w:rsid w:val="004962CD"/>
    <w:rsid w:val="004A6C5B"/>
    <w:rsid w:val="004C773F"/>
    <w:rsid w:val="004E6FCD"/>
    <w:rsid w:val="00505C2E"/>
    <w:rsid w:val="005248F4"/>
    <w:rsid w:val="00524BA5"/>
    <w:rsid w:val="005610BA"/>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54D71"/>
    <w:rsid w:val="00771977"/>
    <w:rsid w:val="00780119"/>
    <w:rsid w:val="0078308B"/>
    <w:rsid w:val="00790E93"/>
    <w:rsid w:val="00795E13"/>
    <w:rsid w:val="007A531E"/>
    <w:rsid w:val="007D2A9E"/>
    <w:rsid w:val="007F3E9B"/>
    <w:rsid w:val="007F44D0"/>
    <w:rsid w:val="007F5F98"/>
    <w:rsid w:val="00807D31"/>
    <w:rsid w:val="00886E98"/>
    <w:rsid w:val="00892A59"/>
    <w:rsid w:val="00892E02"/>
    <w:rsid w:val="00897840"/>
    <w:rsid w:val="008A6BB3"/>
    <w:rsid w:val="008A799A"/>
    <w:rsid w:val="009236EB"/>
    <w:rsid w:val="00924E20"/>
    <w:rsid w:val="00937595"/>
    <w:rsid w:val="009677BC"/>
    <w:rsid w:val="00974743"/>
    <w:rsid w:val="00993C8E"/>
    <w:rsid w:val="00A53226"/>
    <w:rsid w:val="00A91B8F"/>
    <w:rsid w:val="00AB1996"/>
    <w:rsid w:val="00AD54F3"/>
    <w:rsid w:val="00AE3F61"/>
    <w:rsid w:val="00AF2DEB"/>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755A0"/>
    <w:rsid w:val="00DA01A0"/>
    <w:rsid w:val="00DA25B0"/>
    <w:rsid w:val="00DB022E"/>
    <w:rsid w:val="00DB0371"/>
    <w:rsid w:val="00DB3BA7"/>
    <w:rsid w:val="00E0689A"/>
    <w:rsid w:val="00E3498F"/>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Normlnweb">
    <w:name w:val="Normal (Web)"/>
    <w:basedOn w:val="Normln"/>
    <w:uiPriority w:val="99"/>
    <w:semiHidden/>
    <w:unhideWhenUsed/>
    <w:rsid w:val="005610BA"/>
    <w:pPr>
      <w:spacing w:before="100" w:beforeAutospacing="1" w:after="100" w:afterAutospacing="1"/>
    </w:pPr>
    <w:rPr>
      <w:rFonts w:ascii="Times New Roman" w:eastAsia="Times New Roman" w:hAnsi="Times New Roman"/>
      <w:sz w:val="24"/>
      <w:szCs w:val="24"/>
      <w:lang w:val="en-US"/>
    </w:rPr>
  </w:style>
  <w:style w:type="paragraph" w:styleId="FormtovanvHTML">
    <w:name w:val="HTML Preformatted"/>
    <w:basedOn w:val="Normln"/>
    <w:link w:val="FormtovanvHTMLChar"/>
    <w:uiPriority w:val="99"/>
    <w:unhideWhenUsed/>
    <w:rsid w:val="00924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924E20"/>
    <w:rPr>
      <w:rFonts w:ascii="Courier New" w:eastAsia="Times New Roman" w:hAnsi="Courier New" w:cs="Courier New"/>
      <w:lang w:val="en-US" w:eastAsia="en-US"/>
    </w:rPr>
  </w:style>
  <w:style w:type="character" w:customStyle="1" w:styleId="y2iqfc">
    <w:name w:val="y2iqfc"/>
    <w:basedOn w:val="Standardnpsmoodstavce"/>
    <w:rsid w:val="0092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79305">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kas_zamrzla@mzv.cz" TargetMode="External"/><Relationship Id="rId18" Type="http://schemas.openxmlformats.org/officeDocument/2006/relationships/hyperlink" Target="https://www.grocerygazette.co.uk/2023/01/05/uk-lab-grown-meat-produc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uktrade@mze.cz" TargetMode="External"/><Relationship Id="rId2" Type="http://schemas.openxmlformats.org/officeDocument/2006/relationships/numbering" Target="numbering.xml"/><Relationship Id="rId16" Type="http://schemas.openxmlformats.org/officeDocument/2006/relationships/hyperlink" Target="mailto:commerce_hanoi@mzv.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dlight.com/our-seltzers/bud-light-seltzer/" TargetMode="External"/><Relationship Id="rId5" Type="http://schemas.openxmlformats.org/officeDocument/2006/relationships/webSettings" Target="webSettings.xml"/><Relationship Id="rId15" Type="http://schemas.openxmlformats.org/officeDocument/2006/relationships/hyperlink" Target="mailto:lubos.marek@mze.cz" TargetMode="External"/><Relationship Id="rId10" Type="http://schemas.openxmlformats.org/officeDocument/2006/relationships/hyperlink" Target="https://www.coronausa.com/pages/corona-seltz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reza_cerna@mzv.cz" TargetMode="External"/><Relationship Id="rId14" Type="http://schemas.openxmlformats.org/officeDocument/2006/relationships/hyperlink" Target="mailto:irena_leopoldova@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11</TotalTime>
  <Pages>5</Pages>
  <Words>2026</Words>
  <Characters>11960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13959</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3</cp:revision>
  <dcterms:created xsi:type="dcterms:W3CDTF">2023-01-06T13:27:00Z</dcterms:created>
  <dcterms:modified xsi:type="dcterms:W3CDTF">2023-01-06T13:38:00Z</dcterms:modified>
</cp:coreProperties>
</file>