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3471A9D8"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5804C8">
        <w:rPr>
          <w:rFonts w:ascii="Arial" w:hAnsi="Arial" w:cs="Arial"/>
          <w:noProof/>
        </w:rPr>
        <w:t>pátek 3. března 2023</w:t>
      </w:r>
      <w:r w:rsidR="00035FAD" w:rsidRPr="00937595">
        <w:rPr>
          <w:rFonts w:ascii="Arial" w:hAnsi="Arial" w:cs="Arial"/>
        </w:rPr>
        <w:fldChar w:fldCharType="end"/>
      </w:r>
    </w:p>
    <w:p w14:paraId="59A0FB4D" w14:textId="3671C3B2" w:rsidR="00F70102" w:rsidRDefault="00F70102" w:rsidP="00F70102"/>
    <w:p w14:paraId="456D63B9" w14:textId="77777777" w:rsidR="00D24606" w:rsidRPr="00F70102" w:rsidRDefault="00D24606" w:rsidP="00F70102"/>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609FC348" w14:textId="77777777" w:rsidR="002363C3" w:rsidRPr="002363C3" w:rsidRDefault="002363C3" w:rsidP="002363C3">
      <w:pPr>
        <w:pStyle w:val="Nadpis3"/>
        <w:spacing w:line="276" w:lineRule="auto"/>
      </w:pPr>
      <w:r w:rsidRPr="002363C3">
        <w:t>Velvyslanectví v Pekingu uspořádalo webinář týkající se e-commerce</w:t>
      </w:r>
    </w:p>
    <w:p w14:paraId="6C139D4F" w14:textId="77777777" w:rsidR="002363C3" w:rsidRPr="002363C3" w:rsidRDefault="002363C3" w:rsidP="002363C3">
      <w:pPr>
        <w:spacing w:line="276" w:lineRule="auto"/>
        <w:jc w:val="both"/>
      </w:pPr>
      <w:r w:rsidRPr="002363C3">
        <w:t xml:space="preserve">Webinář se uskutečnil dne 27. února 2023 a účastníkům z řad českých firem představil současné čínské e-commerce prostředí, hlavní aktéry v tomto odvětví, specifika cross-border e-commerce a projekty českých národních pavilonů. Nosným pilířem webináře byla prezentace odborníka z odvětví pana Johna Piao, který je spoluzakladatelem a vedoucím sekce e-commerce čínské společnosti Digiant Global. </w:t>
      </w:r>
    </w:p>
    <w:p w14:paraId="4786DF14" w14:textId="0DF991BB" w:rsidR="002363C3" w:rsidRPr="002363C3" w:rsidRDefault="002363C3" w:rsidP="002363C3">
      <w:pPr>
        <w:spacing w:line="276" w:lineRule="auto"/>
        <w:jc w:val="both"/>
      </w:pPr>
      <w:r w:rsidRPr="002363C3">
        <w:t>Komuniké Čínského statistického úřadu za rok 2022 uvádí, že maloobchodní online prodeje fyzického zboží v daném roce přesáhly částku v přepočtu 38 bilionů Kč. Oproti roku 2021 se jednalo o více než 6procentní nárůst, což sice silně zaostává za 14procentním růstem zaznamenaným v předchozím období, ale je pozoruhodné, že e-commerce rostlo navzdory tomu, že celkové prodeje spotřebního zboží bez ohledu na prodejní kanál zaznamenaly mírný pokles. Zároveň je třeba mít na paměti, že čínskou spotřebitelskou poptávku v loňském roce tlumila přísná protiepidemická opatření.</w:t>
      </w:r>
    </w:p>
    <w:p w14:paraId="1C28D404" w14:textId="6812F84A" w:rsidR="002363C3" w:rsidRPr="002363C3" w:rsidRDefault="002363C3" w:rsidP="002363C3">
      <w:pPr>
        <w:spacing w:line="276" w:lineRule="auto"/>
        <w:jc w:val="both"/>
      </w:pPr>
      <w:r w:rsidRPr="002363C3">
        <w:t>Kanál e-commerce stál v roce 2022 za 27,2 procenty veškerých prodejů spotřebního zboží. Očekává se, že tento trend, kdy fyzický retail ustupuje tomu onlinovému, bude nadále pokračovat a do roku 2025 by online mohl držet více než 32procentní podíl. Při pohledu na jednotlivé kategorie zboží lze zjistit, že nejvíce rostly online prodeje potravin a oděvů, konkrétně o 16,1 a 3,5 procenta. Jedná se zároveň o nejžádanější kategorie z dovozu. Kromě nich však čínské spotřebitele zajímají importované domácí spotřebiče, zboží každodenní potřeby, kosmetika, šperky a nápoje. Poptávku po nich lze pozorovat zejména u lidí ve věku 25 až 40 let, kteří zároveň disponují nejvyšší kupní silou.</w:t>
      </w:r>
    </w:p>
    <w:p w14:paraId="655A5772" w14:textId="1E1ECAA1" w:rsidR="002363C3" w:rsidRPr="002363C3" w:rsidRDefault="002363C3" w:rsidP="002363C3">
      <w:pPr>
        <w:spacing w:line="276" w:lineRule="auto"/>
        <w:jc w:val="both"/>
      </w:pPr>
      <w:r w:rsidRPr="002363C3">
        <w:t>Jednou z charakteristik čínského e-commerce prostředí je jeho silná centralizace. Dominuje mu hrstka platforem, přičemž tři z nich dohromady drží 80procentní podíl na trhu. Jedná se o</w:t>
      </w:r>
      <w:r w:rsidR="001B1739">
        <w:t> </w:t>
      </w:r>
      <w:r w:rsidRPr="002363C3">
        <w:t>dvě platformy vlastněné Alibabou (Taobao, Tmall) a JD.com. E-commerce platformy představují unifikovaná tržiště, kde uživatel nalezne širokou škálu produktů od různých prodejců. I v čínském prostředí jsou k nalezení samostatné e-shopy, ale jejich účelem často bývá nabízet speciální služby, které e-commerce platformy nepodporují, jako je například možnost uzpůsobit produkt specifickým přáním zákazníka.</w:t>
      </w:r>
    </w:p>
    <w:p w14:paraId="0F5826DE" w14:textId="6013E501" w:rsidR="00EB12F4" w:rsidRDefault="002363C3" w:rsidP="00EF76D8">
      <w:pPr>
        <w:spacing w:line="276" w:lineRule="auto"/>
        <w:jc w:val="both"/>
      </w:pPr>
      <w:r w:rsidRPr="002363C3">
        <w:t>Svou roli v čínském e-commerce prostředí hrají také sociální média, protože právě tam spotřebitelé často nachází inspiraci pro své nákupy. Hlavními hráči v tomto odvětví jsou například Weibo, Xiaohongshu (RED), Douyin (čínská verze TikToku) a Kuaishou. Správná marketingová kampaň by se tedy neměla soustředit pouze na zviditelnění na e-commerce platformách, ale měla by oslovit i uživatele sociálních sítí, čehož lze docílit napřímo publikováním příspěvků na firemním účtu nebo nepřímo prostřednictvím influencerů.</w:t>
      </w:r>
    </w:p>
    <w:p w14:paraId="1FCE8916" w14:textId="77777777" w:rsidR="00D24606" w:rsidRDefault="00D24606">
      <w:pPr>
        <w:rPr>
          <w:rFonts w:eastAsiaTheme="minorEastAsia" w:cs="Arial"/>
          <w:b/>
          <w:bCs/>
          <w:sz w:val="28"/>
          <w:szCs w:val="28"/>
        </w:rPr>
      </w:pPr>
      <w:r>
        <w:rPr>
          <w:rFonts w:cs="Arial"/>
        </w:rPr>
        <w:br w:type="page"/>
      </w:r>
    </w:p>
    <w:p w14:paraId="1E920695" w14:textId="109784CE" w:rsidR="00356B3B" w:rsidRPr="00587417" w:rsidRDefault="00356B3B" w:rsidP="00356B3B">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lastRenderedPageBreak/>
        <w:t>SRBSKO</w:t>
      </w:r>
    </w:p>
    <w:p w14:paraId="63133C6C" w14:textId="77777777" w:rsidR="00356B3B" w:rsidRPr="00587417" w:rsidRDefault="00356B3B" w:rsidP="00356B3B">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Pr="00587417">
        <w:rPr>
          <w:rFonts w:cs="Arial"/>
        </w:rPr>
        <w:t xml:space="preserve">, Zemědělský diplomat, velvyslanectví ČR v Bělehradě </w:t>
      </w:r>
    </w:p>
    <w:p w14:paraId="7401E135" w14:textId="77777777" w:rsidR="00356B3B" w:rsidRPr="00587417" w:rsidRDefault="00356B3B" w:rsidP="00356B3B">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Pr>
          <w:rFonts w:cs="Arial"/>
        </w:rPr>
        <w:t xml:space="preserve"> </w:t>
      </w:r>
      <w:r w:rsidRPr="00587417">
        <w:rPr>
          <w:rFonts w:cs="Arial"/>
        </w:rPr>
        <w:t xml:space="preserve">+381 63 388931, </w:t>
      </w:r>
      <w:r>
        <w:rPr>
          <w:rFonts w:cs="Arial"/>
        </w:rPr>
        <w:t xml:space="preserve">e-mail: </w:t>
      </w:r>
      <w:hyperlink r:id="rId9" w:history="1">
        <w:r w:rsidRPr="00F00B6D">
          <w:rPr>
            <w:rStyle w:val="Hypertextovodkaz"/>
            <w:rFonts w:cs="Arial"/>
          </w:rPr>
          <w:t>vladimir_vana@mzv.cz</w:t>
        </w:r>
      </w:hyperlink>
      <w:r w:rsidRPr="00587417">
        <w:rPr>
          <w:rFonts w:cs="Arial"/>
        </w:rPr>
        <w:t xml:space="preserve"> </w:t>
      </w:r>
    </w:p>
    <w:p w14:paraId="07CC5661" w14:textId="77777777" w:rsidR="00356B3B" w:rsidRPr="00356B3B" w:rsidRDefault="00356B3B" w:rsidP="00356B3B">
      <w:pPr>
        <w:pStyle w:val="Nadpis3"/>
        <w:spacing w:line="276" w:lineRule="auto"/>
      </w:pPr>
      <w:r w:rsidRPr="00356B3B">
        <w:t>Bosna a Hercegovina podpoří i letos nákupy jalovic v zahraničí</w:t>
      </w:r>
    </w:p>
    <w:p w14:paraId="451A85F4" w14:textId="77777777" w:rsidR="00356B3B" w:rsidRPr="00356B3B" w:rsidRDefault="00356B3B" w:rsidP="00356B3B">
      <w:pPr>
        <w:spacing w:line="276" w:lineRule="auto"/>
        <w:jc w:val="both"/>
      </w:pPr>
      <w:r w:rsidRPr="00356B3B">
        <w:t>Na konferenci Chovatelů dojného skotu Republiky Srbské, která se konala ve dnech 27. - 28. února 2023 ve městě Gradiška na severu Bosny a Hercegoviny, zaznělo, že i v letošním roce podpoří Ministerstvo zemědělství Republiky Srbské chovatele mléčného skotu. Kromě jiného jim budou poskytnuty dotace na nákup jalovic v zahraničí. Pro tento účel bude z rozpočtu ministerstva vyčleněna cca. 1 mil. EUR, což je oproti loňskému roku výrazné navýšení.</w:t>
      </w:r>
    </w:p>
    <w:p w14:paraId="2591BCC1" w14:textId="53F555AA" w:rsidR="00356B3B" w:rsidRPr="00356B3B" w:rsidRDefault="00356B3B" w:rsidP="00356B3B">
      <w:pPr>
        <w:spacing w:line="276" w:lineRule="auto"/>
        <w:jc w:val="both"/>
      </w:pPr>
      <w:r w:rsidRPr="00356B3B">
        <w:t>Také v další entitě plánuje Ministerstvo zemědělství Federace Bosny a Hercegoviny podpořit nákup jalovic dojného skotu pro zkvalitnění místních chovů a tím přispět ke zvýšení a</w:t>
      </w:r>
      <w:r w:rsidR="001B1739">
        <w:t> </w:t>
      </w:r>
      <w:r w:rsidRPr="00356B3B">
        <w:t xml:space="preserve">zkvalitnění produkce mléka. Očekává se, že částka, kterou dovoz jalovic ministerstvo podpoří, bude v podobné výši jako v případě sousední entity. </w:t>
      </w:r>
    </w:p>
    <w:p w14:paraId="549C35E4" w14:textId="4D2B0836" w:rsidR="00356B3B" w:rsidRPr="00800218" w:rsidRDefault="00356B3B" w:rsidP="00EF76D8">
      <w:pPr>
        <w:spacing w:line="276" w:lineRule="auto"/>
        <w:jc w:val="both"/>
      </w:pPr>
      <w:r w:rsidRPr="00356B3B">
        <w:t>Pro české chovatele plemenných zvířata a mléčného skotu je důležité, že v celé Bosně a Hercegovině panuje širší povědomí o kvalitách českých zvířat a lze tak očekávat, že v letošním roce bude větší část poptávky po jalovicích, kterou navíc podpoří dotační pobídky, směřována právě do České republiky. Podle údajů Českého statistického úřadu činila v loňském roce hodnota českého vývozu živého plemenného skotu do Bosny a Hercegoviny více než 55 mil. Kč.</w:t>
      </w:r>
    </w:p>
    <w:p w14:paraId="7E96BB15" w14:textId="77777777" w:rsidR="00771977" w:rsidRPr="00587417" w:rsidRDefault="00771977" w:rsidP="00771977">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77941B92" w14:textId="77777777" w:rsidR="0077197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07F2B57D" w14:textId="77777777" w:rsidR="00771977" w:rsidRPr="0058741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10" w:history="1">
        <w:r w:rsidRPr="00FB2C5D">
          <w:rPr>
            <w:rStyle w:val="Hypertextovodkaz"/>
          </w:rPr>
          <w:t>tereza_cerna@mzv.cz</w:t>
        </w:r>
      </w:hyperlink>
      <w:r w:rsidRPr="00587417">
        <w:rPr>
          <w:rFonts w:cs="Arial"/>
        </w:rPr>
        <w:t xml:space="preserve"> </w:t>
      </w:r>
    </w:p>
    <w:p w14:paraId="317B272D" w14:textId="77777777" w:rsidR="00F70102" w:rsidRPr="00F70102" w:rsidRDefault="00F70102" w:rsidP="00F70102">
      <w:pPr>
        <w:pStyle w:val="Nadpis3"/>
        <w:spacing w:line="276" w:lineRule="auto"/>
      </w:pPr>
      <w:r w:rsidRPr="00F70102">
        <w:t>FDA přichází s doporučením pro označování rostlinných alternativ mléka s cílem informovat spotřebitele</w:t>
      </w:r>
    </w:p>
    <w:p w14:paraId="5C9AB7CC" w14:textId="77777777" w:rsidR="00F70102" w:rsidRPr="00F70102" w:rsidRDefault="00F70102" w:rsidP="00F70102">
      <w:pPr>
        <w:jc w:val="both"/>
      </w:pPr>
      <w:r w:rsidRPr="00F70102">
        <w:t xml:space="preserve">Americký Úřad pro kontrolu potravin a léčiv (FDA) minulý týden publikoval návrh </w:t>
      </w:r>
      <w:hyperlink r:id="rId11" w:history="1">
        <w:r w:rsidRPr="002744E0">
          <w:rPr>
            <w:rStyle w:val="Hypertextovodkaz"/>
          </w:rPr>
          <w:t>doporučení pro výrobce ohledně označování potravin rostlinného původu</w:t>
        </w:r>
      </w:hyperlink>
      <w:r w:rsidRPr="002744E0">
        <w:rPr>
          <w:b/>
        </w:rPr>
        <w:t xml:space="preserve">. </w:t>
      </w:r>
      <w:r w:rsidRPr="00F70102">
        <w:t>Návrh poskytuje výrobcům metodiku pro označování nápojů, které jsou na trh uváděny jako rostlinné alternativy mléka. Každý takový výrobek, který nese ve svém názvu slovo „mléko“, by měl nově obsahovat označení s informací, jak je tento výrobek nutričně srovnatelný s referenčními hodnotami klíčových složek kravského mléka. V budoucnu by se na etiketách alternativ mléka mělo uvádět např. že "obsahuje větší množství vitaminu D a menší množství vápníku než mléko".</w:t>
      </w:r>
    </w:p>
    <w:p w14:paraId="3689EDC5" w14:textId="77777777" w:rsidR="00F70102" w:rsidRDefault="00F70102" w:rsidP="00F70102">
      <w:pPr>
        <w:spacing w:line="276" w:lineRule="auto"/>
        <w:jc w:val="both"/>
      </w:pPr>
      <w:r>
        <w:t xml:space="preserve">Označování rostlinných alternativ produktů živočišného původu je v USA ve srovnání s EU minimálně regulovanou oblastí. </w:t>
      </w:r>
    </w:p>
    <w:p w14:paraId="64735E2E" w14:textId="77777777" w:rsidR="00F70102" w:rsidRPr="00A07098" w:rsidRDefault="00F70102" w:rsidP="00F70102">
      <w:pPr>
        <w:spacing w:line="276" w:lineRule="auto"/>
        <w:jc w:val="both"/>
      </w:pPr>
      <w:r>
        <w:t xml:space="preserve">Motivací k přípravě návrhu je podle FDA </w:t>
      </w:r>
      <w:r w:rsidRPr="00A07098">
        <w:t>řešit výrazný nárůst rostlinných alternativ</w:t>
      </w:r>
      <w:r>
        <w:t xml:space="preserve"> mléčných výrobků na trhu. Nové označení by pak mělo „vést </w:t>
      </w:r>
      <w:r w:rsidRPr="00A07098">
        <w:t>k tomu, aby spotřebitelé měli k dispozici jasné označení, které jim poskytne informace potřebné k informovanému rozhodování o výživě a nákupu výrobků, které kupují pro sebe a své rodiny"</w:t>
      </w:r>
      <w:r>
        <w:t xml:space="preserve">, uvedl </w:t>
      </w:r>
      <w:r w:rsidRPr="00A07098">
        <w:t>komisař FDA Robert M. Califf</w:t>
      </w:r>
      <w:r>
        <w:t xml:space="preserve">. </w:t>
      </w:r>
      <w:r w:rsidRPr="00A07098">
        <w:t xml:space="preserve">Krom nárůstu dostupnosti a spotřeby </w:t>
      </w:r>
      <w:r>
        <w:t xml:space="preserve">těchto nápojů </w:t>
      </w:r>
      <w:r w:rsidRPr="00A07098">
        <w:t xml:space="preserve">se také výrazně rozšířila nabídka </w:t>
      </w:r>
      <w:r>
        <w:t>jejich variant</w:t>
      </w:r>
      <w:r w:rsidRPr="00A07098">
        <w:t xml:space="preserve">. Přestože jsou tyto výrobky vyráběny </w:t>
      </w:r>
      <w:r>
        <w:t xml:space="preserve">na bázi </w:t>
      </w:r>
      <w:r w:rsidRPr="00A07098">
        <w:t>rostlinných materiálů, jako jsou ořechy, l</w:t>
      </w:r>
      <w:r>
        <w:t>uštěniny, semena nebo zrna, tak jsou v USA dominantně a v souladu se stávajícími pravidly označovány</w:t>
      </w:r>
      <w:r w:rsidRPr="00A07098">
        <w:t xml:space="preserve"> názvy, které obsahují termín "mléko".</w:t>
      </w:r>
      <w:r>
        <w:t xml:space="preserve"> Situace se neliší ani v případě označování dalších deklarovaných alternativ mléčných výrobků, přičemž FDA nevyloučila, že se v budoucnu bude věnovat i jejich otázce.</w:t>
      </w:r>
    </w:p>
    <w:p w14:paraId="38F0ECB8" w14:textId="77777777" w:rsidR="00F70102" w:rsidRDefault="00F70102" w:rsidP="00F70102">
      <w:pPr>
        <w:spacing w:line="276" w:lineRule="auto"/>
        <w:jc w:val="both"/>
      </w:pPr>
      <w:r>
        <w:t xml:space="preserve">Očekává se, že ačkoliv je návrh metodiky FDA skutečně pouze </w:t>
      </w:r>
      <w:r w:rsidRPr="00A1283D">
        <w:t>doporučení</w:t>
      </w:r>
      <w:r>
        <w:t>m, které nebude vynucováno a kontrolováno, tak</w:t>
      </w:r>
      <w:r w:rsidRPr="00A1283D">
        <w:t xml:space="preserve"> </w:t>
      </w:r>
      <w:r>
        <w:t xml:space="preserve">výrobci se jím řídit budou, přičemž část upustí od užívání slova „mléko“. Důvodem je obava výrobců z potenciálních soudních sporů se spotřebiteli, kdy soudy k metodice FDA obecně přikládají váhu. </w:t>
      </w:r>
      <w:r w:rsidRPr="00A07098">
        <w:t xml:space="preserve">Úřad FDA </w:t>
      </w:r>
      <w:r>
        <w:t xml:space="preserve">aktuálně </w:t>
      </w:r>
      <w:r w:rsidRPr="00A07098">
        <w:t xml:space="preserve">přijímá připomínky k návrhu pokynů. </w:t>
      </w:r>
      <w:r>
        <w:t>Hlavním a opakujícím se motivem veřejné diskuze jsou otázky přístupu ke kategoriím mléka a rostlinných nápojů, které se mohou nahlížet jako náhražky mléka nebo jako kategorie sama o sobě. Rozpor je také kolem nastavení referenční nutriční hodnoty kravského mléka, jako normativně pozitivně deklarované.</w:t>
      </w:r>
    </w:p>
    <w:p w14:paraId="0DB618CD" w14:textId="58E91436" w:rsidR="00F70102" w:rsidRDefault="00F70102" w:rsidP="00F70102">
      <w:pPr>
        <w:spacing w:line="276" w:lineRule="auto"/>
        <w:jc w:val="both"/>
      </w:pPr>
      <w:r w:rsidRPr="00823E00">
        <w:t xml:space="preserve">Rostlinné alternativy mléka se </w:t>
      </w:r>
      <w:r>
        <w:t xml:space="preserve">v posledních 5 letech </w:t>
      </w:r>
      <w:r w:rsidRPr="00823E00">
        <w:t>staly pevnou</w:t>
      </w:r>
      <w:r>
        <w:t xml:space="preserve"> </w:t>
      </w:r>
      <w:r w:rsidRPr="00823E00">
        <w:t xml:space="preserve">součástí </w:t>
      </w:r>
      <w:r>
        <w:t>amerického</w:t>
      </w:r>
      <w:r w:rsidRPr="00823E00">
        <w:t xml:space="preserve"> </w:t>
      </w:r>
      <w:r>
        <w:t>spotřebního koše. Nadále již neplatí, že by</w:t>
      </w:r>
      <w:r w:rsidRPr="00823E00">
        <w:t xml:space="preserve"> </w:t>
      </w:r>
      <w:r>
        <w:t>sójové</w:t>
      </w:r>
      <w:r w:rsidRPr="00823E00">
        <w:t xml:space="preserve">, </w:t>
      </w:r>
      <w:r>
        <w:t>mandlové či</w:t>
      </w:r>
      <w:r w:rsidRPr="00823E00">
        <w:t xml:space="preserve"> ovesné mléko </w:t>
      </w:r>
      <w:r>
        <w:t xml:space="preserve">nakupovali </w:t>
      </w:r>
      <w:r w:rsidRPr="00823E00">
        <w:t xml:space="preserve">vegani a spotřebitelé s </w:t>
      </w:r>
      <w:r>
        <w:t>dietetickým</w:t>
      </w:r>
      <w:r w:rsidRPr="00823E00">
        <w:t xml:space="preserve"> omezením</w:t>
      </w:r>
      <w:r>
        <w:t>. V následujících letech se očekává další nárůst tržeb v tomto sektoru.  Spotřeba rostlinných alternativ mléka na hlavu v roce 2022 v USA dosáhla 2,7 kg a m</w:t>
      </w:r>
      <w:r w:rsidRPr="00006429">
        <w:t>aloobchodní</w:t>
      </w:r>
      <w:r>
        <w:t xml:space="preserve"> prodej</w:t>
      </w:r>
      <w:r w:rsidRPr="00006429">
        <w:t xml:space="preserve"> </w:t>
      </w:r>
      <w:r>
        <w:t>těchto nápojů</w:t>
      </w:r>
      <w:r w:rsidRPr="00006429">
        <w:t xml:space="preserve"> </w:t>
      </w:r>
      <w:r>
        <w:t>vzrostl téměř o 7 %. Dvouciferný</w:t>
      </w:r>
      <w:r w:rsidRPr="00006429">
        <w:t xml:space="preserve"> růst</w:t>
      </w:r>
      <w:r>
        <w:t xml:space="preserve"> zaznamenaly nápoje ovesné a hrachové. Američtí zákazníci mají zájem o nové chutě a</w:t>
      </w:r>
      <w:r w:rsidR="001B1739">
        <w:t> </w:t>
      </w:r>
      <w:r>
        <w:t>alternativy a rozšiřuje se podíl těch, kteří netrvají na maximální podobnosti s chutí a</w:t>
      </w:r>
      <w:r w:rsidR="001B1739">
        <w:t> </w:t>
      </w:r>
      <w:r>
        <w:t>konzistencí kravského mléka. Ačkoliv většina největších výrobců těchto nápojů pochází z USA a místní trh je vysoce konkurenční, předpokládaný růst trhu a zájem nové produkty slibují prostor pro import.</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2" w:history="1">
        <w:r w:rsidRPr="00D4434C">
          <w:rPr>
            <w:rStyle w:val="Hypertextovodkaz"/>
          </w:rPr>
          <w:t>lukas_zamrzla@mzv.cz</w:t>
        </w:r>
      </w:hyperlink>
      <w:r w:rsidR="00D4434C">
        <w:rPr>
          <w:rStyle w:val="Hypertextovodkaz"/>
          <w:rFonts w:cs="Arial"/>
          <w:color w:val="auto"/>
        </w:rPr>
        <w:t xml:space="preserve"> </w:t>
      </w:r>
    </w:p>
    <w:p w14:paraId="3FDBC929" w14:textId="77777777" w:rsidR="00800218" w:rsidRPr="00800218" w:rsidRDefault="00800218" w:rsidP="00800218">
      <w:pPr>
        <w:pStyle w:val="Nadpis3"/>
        <w:spacing w:line="276" w:lineRule="auto"/>
      </w:pPr>
      <w:r w:rsidRPr="00800218">
        <w:t>Rekordní Gulfood 2023</w:t>
      </w:r>
    </w:p>
    <w:p w14:paraId="6DC103BB" w14:textId="5B75BB7D" w:rsidR="00800218" w:rsidRPr="00800218" w:rsidRDefault="00800218" w:rsidP="00800218">
      <w:pPr>
        <w:spacing w:line="276" w:lineRule="auto"/>
        <w:jc w:val="both"/>
      </w:pPr>
      <w:r w:rsidRPr="00800218">
        <w:t>V posledních letech trhají veletrhy a konference v emirátském Dubaji vystavovatelské i</w:t>
      </w:r>
      <w:r w:rsidR="001B1739">
        <w:t> </w:t>
      </w:r>
      <w:r w:rsidRPr="00800218">
        <w:t xml:space="preserve">návštěvnické rekordy. Stejně tak rekordní je počet takových akcí v této turistické a především obchodní metropoli. Situaci pomohla především jistota a důvěra získaná během posledních dvou let, kdy i přes celosvětová pandemická opatření byly emiráty schopny akce bezpečně pořádat. Od začátku roku 2023 jsou veletrhy v Dubaji až extrémního rázu, překračují rekordy předpandemických let a testují limity místních výstavních prostor World Trade Center. </w:t>
      </w:r>
    </w:p>
    <w:p w14:paraId="20B914F9" w14:textId="77777777" w:rsidR="00800218" w:rsidRPr="00800218" w:rsidRDefault="00800218" w:rsidP="00800218">
      <w:pPr>
        <w:spacing w:line="276" w:lineRule="auto"/>
        <w:jc w:val="both"/>
      </w:pPr>
      <w:r w:rsidRPr="00800218">
        <w:t xml:space="preserve">Výjimkou nebyl ani jeden z největších světových potravinářských veletrhů Gulfood 2023. I když se ze zkušeností s letošními akcemi čekala vysoká návštěvnost, realita byla ještě lepší. Veletržní správa se rozhodla velmi výrazně rozšířit i výstavní plochu. Pravdou je, že tato slavnost potravinářství každoročně odmítne více jak 7 000 firem, které čekají na listině náhradníků. I proto se vedení veletrhu snaží hledat cesty, jak obrovskou poptávku po výstavách uspokojit. </w:t>
      </w:r>
    </w:p>
    <w:p w14:paraId="776647A1" w14:textId="77777777" w:rsidR="00800218" w:rsidRPr="00800218" w:rsidRDefault="00800218" w:rsidP="00800218">
      <w:pPr>
        <w:spacing w:line="276" w:lineRule="auto"/>
        <w:jc w:val="both"/>
      </w:pPr>
      <w:r w:rsidRPr="00800218">
        <w:t xml:space="preserve">V letošním roce se ke všem obsazeným halám WTC Dubaj přidaly i slavnostní sály, chodby, a aby to nebylo málo, rozhodlo se vedení veletrhu vybudovat na místě parkoviště obří nafukovací halu pro nové vystavovatele. Celkem tedy bylo 28 hal, do kterých umístili více jak 5000 oficiálních vystavovatelů. Do tohoto čísla nepočítáme ty, kteří se přidali k vystavujícím anebo obcházeli veletrh se svými produkty a letáky. Zmíněné firmy letos dorazily ze 125 zemí světa. To je další důkaz faktu, že v případě Gulfoodu nejde pouze o lokální událost pro obchod na Blízkém východě, ale že jde o nejdůležitější potravinářskou akci mimo EU. </w:t>
      </w:r>
    </w:p>
    <w:p w14:paraId="29D6EE04" w14:textId="67F8282E" w:rsidR="00800218" w:rsidRPr="00800218" w:rsidRDefault="00800218" w:rsidP="00800218">
      <w:pPr>
        <w:spacing w:line="276" w:lineRule="auto"/>
        <w:jc w:val="both"/>
      </w:pPr>
      <w:r w:rsidRPr="00800218">
        <w:t>Na českém stánku Ministerstva zemědělství vystavovalo 17 firem, další dvě se prezentovaly samostatně ve specializovaných halách a vysoký počet českých podniků navštívil tuto akci i</w:t>
      </w:r>
      <w:r w:rsidR="001B1739">
        <w:t> </w:t>
      </w:r>
      <w:r w:rsidRPr="00800218">
        <w:t xml:space="preserve">bez vlastních stánků. Gulfood 2023 tak zanechal historicky nejsilnější českou stopu. </w:t>
      </w:r>
    </w:p>
    <w:p w14:paraId="43259441" w14:textId="14CF1C9D" w:rsidR="00DB022E" w:rsidRPr="00800218" w:rsidRDefault="00800218" w:rsidP="00EF76D8">
      <w:pPr>
        <w:spacing w:line="276" w:lineRule="auto"/>
        <w:jc w:val="both"/>
      </w:pPr>
      <w:r w:rsidRPr="00800218">
        <w:t>Návštěvnost veletrhu byla tak vysoká, že se během dne tvořily na chodbách mezi halami doslova účastnické zácpy. I to je jeden z důvodů, proč se veletržní správa Gulfood rozhodla o</w:t>
      </w:r>
      <w:r w:rsidR="001B1739">
        <w:t> </w:t>
      </w:r>
      <w:r w:rsidRPr="00800218">
        <w:t xml:space="preserve">rozšíření počtu vlastních veletrhů v příštím roce o další dva. Ke slavnému Gulfoodu a Gulfood Manufacturing tak přibude také Gulfood v Saúdské Arábii a Gulfood 2 v Dubaji.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3" w:history="1">
        <w:r w:rsidR="00DB022E" w:rsidRPr="00D4434C">
          <w:rPr>
            <w:rStyle w:val="Hypertextovodkaz"/>
          </w:rPr>
          <w:t>petr_sochor@mzv.cz</w:t>
        </w:r>
      </w:hyperlink>
    </w:p>
    <w:p w14:paraId="133EAF3F" w14:textId="77777777" w:rsidR="002363C3" w:rsidRPr="002363C3" w:rsidRDefault="002363C3" w:rsidP="002363C3">
      <w:pPr>
        <w:pStyle w:val="Nadpis3"/>
        <w:spacing w:line="276" w:lineRule="auto"/>
      </w:pPr>
      <w:r w:rsidRPr="002363C3">
        <w:t>Libanon – výrazné zvýšení ceny brambor</w:t>
      </w:r>
    </w:p>
    <w:p w14:paraId="66D5C838" w14:textId="3C1D1DB6" w:rsidR="002363C3" w:rsidRPr="002363C3" w:rsidRDefault="002363C3" w:rsidP="002363C3">
      <w:pPr>
        <w:spacing w:line="276" w:lineRule="auto"/>
        <w:jc w:val="both"/>
      </w:pPr>
      <w:r w:rsidRPr="002363C3">
        <w:t>Maloobchodní ceny brambor se zvýšily v tomto týdnu na domácím trhu a dosáhly úrovně 2</w:t>
      </w:r>
      <w:r>
        <w:t> </w:t>
      </w:r>
      <w:r w:rsidRPr="002363C3">
        <w:t>USD za kilogram. Takové ceny Libanon nepamatuje, ještě v roce 2018 se cena brambor pohybovala na úrovni 0,25 USD – 0,27 USD za kilogram. Aktuální cenový nárůst nemá opodstatnění, podzimní úroda byla v Libanonu standardní, i když je pravda, že dovoz brambor každoročně narůstá. Hodnota dovozu se za rok 2022 pohybovala na úrovni 40 milionů USD a</w:t>
      </w:r>
      <w:r>
        <w:t> </w:t>
      </w:r>
      <w:r w:rsidRPr="002363C3">
        <w:t>představovala množství 87 tisíc tun. Vývoz libanonských brambor byl stabilní ve srovnání s minulostí, bylo vyvezeno 60 tisíc tun. Hlavní země, ze kterých Libanon nejvíce dováží jsou Egypt (25 tisíc tun, Nizozemsko 12 tisíc tun, Francie 5 tisíc tun, Dánsko 2 tisíce tun a Belgie 2</w:t>
      </w:r>
      <w:r>
        <w:t> </w:t>
      </w:r>
      <w:r w:rsidRPr="002363C3">
        <w:t>tisíce tun).</w:t>
      </w:r>
    </w:p>
    <w:p w14:paraId="326EFF5C" w14:textId="65654083" w:rsidR="002363C3" w:rsidRPr="002363C3" w:rsidRDefault="002363C3" w:rsidP="002363C3">
      <w:pPr>
        <w:spacing w:line="276" w:lineRule="auto"/>
        <w:jc w:val="both"/>
      </w:pPr>
      <w:r w:rsidRPr="002363C3">
        <w:t>Tradičně jsou libanonští farmáři závislí na chemických hnojivech a pesticidech. Většina farmářů donedávna věřila, že se zvýšením množství použitých chemických hnojiv se výrazně zvýší i jejich výnosy. Se zhoršující se hospodářskou situací v zemi, zejména v letech 2020 – 2022, nedostatku volně směnitelné měny na nákup agrochemikálií, semen, krmiv pro zvířata, vakcín a dalších základních veterinárních potřeb, byli zemědělci nuceni přehodnotit situaci a</w:t>
      </w:r>
      <w:r>
        <w:t> </w:t>
      </w:r>
      <w:r w:rsidRPr="002363C3">
        <w:t>začít používat méně hnojiv a pesticidů. Hledají způsoby, jak lépe využívat půdu s co nejmenšími náklady, zejména na zavlažování. V tomto roce, byl pod patronátem FAO, nastartován projekt, který pomáhá zemědělcům snížit jejich závislost na pesticidech a</w:t>
      </w:r>
      <w:r>
        <w:t> </w:t>
      </w:r>
      <w:r w:rsidRPr="002363C3">
        <w:t xml:space="preserve">hnojivech. Současně se projekt také zabývá odstraňováním následků znečišťování libanonských vodních toků. Projekt pod názvem Integrated Crop Management stanovil zemědělské standardy v souladu s principy odpovědnosti vůči životnímu prostředí. V rámci tohoto projektu byl na severu Libanonu uveden zkušební projekt jako experiment s novými odrůdami brambor, s cílem vypěstování kvalitních produktů vhodných pro vývoz do EU </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4" w:history="1">
        <w:r w:rsidRPr="00D4434C">
          <w:rPr>
            <w:rStyle w:val="Hypertextovodkaz"/>
          </w:rPr>
          <w:t>irena_leopoldova@mzv.cz</w:t>
        </w:r>
      </w:hyperlink>
      <w:r w:rsidR="00D4434C">
        <w:t xml:space="preserve"> </w:t>
      </w:r>
    </w:p>
    <w:p w14:paraId="25CA4A7F" w14:textId="77777777" w:rsidR="002363C3" w:rsidRPr="002363C3" w:rsidRDefault="002363C3" w:rsidP="002363C3">
      <w:pPr>
        <w:pStyle w:val="Nadpis3"/>
        <w:spacing w:line="276" w:lineRule="auto"/>
      </w:pPr>
      <w:r w:rsidRPr="002363C3">
        <w:t>Japonský papír z mláta</w:t>
      </w:r>
    </w:p>
    <w:p w14:paraId="5C98BB82" w14:textId="77777777" w:rsidR="002363C3" w:rsidRPr="002363C3" w:rsidRDefault="002363C3" w:rsidP="002363C3">
      <w:pPr>
        <w:spacing w:line="276" w:lineRule="auto"/>
        <w:jc w:val="both"/>
      </w:pPr>
      <w:r w:rsidRPr="002363C3">
        <w:t>S rostoucím zájmem o řemeslná piva řeší japonské pivovary otázku, jak využít zbytky ze sladu, které vznikají při výrobě piva. Jokohamský startup Kitafuku zahájil recyklaci pivovarských zbytků a začal vyrábět „řemeslný pivní papír“, který následně používá během pivních akcí různými způsoby, ať už jde o jídelní lístky, podtácky nebo držáky na nápoje.</w:t>
      </w:r>
    </w:p>
    <w:p w14:paraId="6A5E4E1B" w14:textId="77777777" w:rsidR="002363C3" w:rsidRPr="002363C3" w:rsidRDefault="002363C3" w:rsidP="002363C3">
      <w:pPr>
        <w:spacing w:line="276" w:lineRule="auto"/>
        <w:jc w:val="both"/>
      </w:pPr>
      <w:r w:rsidRPr="002363C3">
        <w:t xml:space="preserve">Velké pivovary disponují vlastním zařízením na sušení sladových kalů (mláta), a vyrábějí z něj například krmivo pro zvířata. Malé řemeslné pivovary však nemají jinou možnost než se spoléhat na pomoc zvenčí a jen obtížně hledají farmy, které by mláto odebíraly. </w:t>
      </w:r>
    </w:p>
    <w:p w14:paraId="3EE74085" w14:textId="77777777" w:rsidR="002363C3" w:rsidRPr="002363C3" w:rsidRDefault="002363C3" w:rsidP="002363C3">
      <w:pPr>
        <w:spacing w:line="276" w:lineRule="auto"/>
        <w:jc w:val="both"/>
      </w:pPr>
      <w:r w:rsidRPr="002363C3">
        <w:t>Pan Matsuzaka ze společnosti Kitafuku využil zkušeností papírny z prefektury Nara, která vyráběla recyklovaný papír z rostlin rýže a trávy. Tento proces se snažil použit i na zbytky z výroby piva. Od prosince 2020 společnost Kitafuku shromáždila od osmi pivovarů 1 500 kg sladových kalů a vyrobila z nich kartonové krabice a další výrobky. Do té doby pivovary platily měsíčně statisíce jenů za likvidaci odpadů ze sladu.</w:t>
      </w:r>
    </w:p>
    <w:p w14:paraId="442649F7" w14:textId="050D08B8" w:rsidR="00505C2E" w:rsidRPr="00800218" w:rsidRDefault="002363C3" w:rsidP="00EF76D8">
      <w:pPr>
        <w:spacing w:line="276" w:lineRule="auto"/>
        <w:jc w:val="both"/>
      </w:pPr>
      <w:r w:rsidRPr="002363C3">
        <w:t>Pivovary zdarma dodávají firmě Kitafuku zbytky sladu, ze kterého firma vyrábí papír pro jídelní lístky a další výrobky z papíru používaných v restauracích. Sládek pivovaru Number one například používá vizitky vyrobené z tohoto papíru s tím, že jde o „začátek konverzace se zákazníky a obchodními partnery“. Sdružení řemeslných pivovarů v prefektuře Šizuoka ve středním Japonsku plánuje dodávat pivo v kartonových krabicích vyrobených tímto procesem.</w:t>
      </w:r>
    </w:p>
    <w:p w14:paraId="0BF067F8"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39C7E8B0" w14:textId="77777777" w:rsidR="007D2A9E" w:rsidRDefault="00505C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Kyjevě</w:t>
      </w:r>
      <w:r w:rsidRPr="00587417">
        <w:rPr>
          <w:rFonts w:cs="Arial"/>
        </w:rPr>
        <w:t xml:space="preserve">, </w:t>
      </w:r>
    </w:p>
    <w:p w14:paraId="171383A3" w14:textId="6188022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t xml:space="preserve">tel: +38 099 098 33 35, e-mail: </w:t>
      </w:r>
      <w:hyperlink r:id="rId15" w:history="1">
        <w:r w:rsidR="00D4434C" w:rsidRPr="00D54C30">
          <w:rPr>
            <w:rStyle w:val="Hypertextovodkaz"/>
          </w:rPr>
          <w:t>cz.ukrexport@meta.ua</w:t>
        </w:r>
      </w:hyperlink>
      <w:r w:rsidR="00D4434C">
        <w:t xml:space="preserve"> </w:t>
      </w:r>
    </w:p>
    <w:p w14:paraId="2AC8AE39" w14:textId="77777777" w:rsidR="00D24606" w:rsidRPr="00D24606" w:rsidRDefault="00BC341A" w:rsidP="00D24606">
      <w:pPr>
        <w:pStyle w:val="Nadpis3"/>
        <w:spacing w:line="276" w:lineRule="auto"/>
      </w:pPr>
      <w:r w:rsidRPr="00BC341A">
        <w:rPr>
          <w:rFonts w:cs="Arial"/>
        </w:rPr>
        <w:t xml:space="preserve"> </w:t>
      </w:r>
      <w:r w:rsidR="00D24606" w:rsidRPr="00D24606">
        <w:t>Státní podpora pro zemědělce</w:t>
      </w:r>
    </w:p>
    <w:p w14:paraId="6FD08A95" w14:textId="77777777" w:rsidR="00D24606" w:rsidRDefault="00D24606" w:rsidP="00D24606">
      <w:pPr>
        <w:pStyle w:val="Odstavecseseznamem"/>
        <w:numPr>
          <w:ilvl w:val="0"/>
          <w:numId w:val="30"/>
        </w:numPr>
        <w:spacing w:line="276" w:lineRule="auto"/>
        <w:jc w:val="both"/>
      </w:pPr>
      <w:r>
        <w:t>Minerální hnojiva a osivo slunečnice</w:t>
      </w:r>
    </w:p>
    <w:p w14:paraId="2E617A14" w14:textId="77777777" w:rsidR="00D24606" w:rsidRDefault="00D24606" w:rsidP="00D24606">
      <w:pPr>
        <w:spacing w:line="276" w:lineRule="auto"/>
        <w:jc w:val="both"/>
      </w:pPr>
      <w:r>
        <w:t>Ukrajinští farmáři mohou žádat o podporu ve formě minerálních hnojiv z programu USAID AGRO v rámci iniciativy USAID na podporu udržitelnosti zemědělského sektoru (Agriculture Resilience Initiative).</w:t>
      </w:r>
      <w:r w:rsidRPr="004F6095">
        <w:t xml:space="preserve"> </w:t>
      </w:r>
      <w:r>
        <w:t xml:space="preserve">Projekt je realizován ve spolupráci s Ministerstvem zemědělské politiky a potravin Ukrajiny. Rozděleno bude 6 tis. tun minerálních hnojiv a slunečnicová semena pro pěstování na 28 tis. hektarech. Žádosti se přijímají od 1. do 14. března prostřednictvím Státního agrárního registru (DAR). </w:t>
      </w:r>
    </w:p>
    <w:p w14:paraId="6C952628" w14:textId="77777777" w:rsidR="00D24606" w:rsidRDefault="00D24606" w:rsidP="00D24606">
      <w:pPr>
        <w:spacing w:line="276" w:lineRule="auto"/>
        <w:jc w:val="both"/>
      </w:pPr>
      <w:r>
        <w:t>Farmáři si mohou vybrat jednu ze tří variant podpory:</w:t>
      </w:r>
    </w:p>
    <w:p w14:paraId="30E5C504" w14:textId="77777777" w:rsidR="00D24606" w:rsidRDefault="00D24606" w:rsidP="00D24606">
      <w:pPr>
        <w:pStyle w:val="Odstavecseseznamem"/>
        <w:numPr>
          <w:ilvl w:val="0"/>
          <w:numId w:val="28"/>
        </w:numPr>
        <w:spacing w:line="276" w:lineRule="auto"/>
        <w:jc w:val="both"/>
      </w:pPr>
      <w:r>
        <w:t xml:space="preserve">1 tuna minerálních hnojiv pro výživu ozimých plodin </w:t>
      </w:r>
    </w:p>
    <w:p w14:paraId="79C40749" w14:textId="77777777" w:rsidR="00D24606" w:rsidRDefault="00D24606" w:rsidP="00D24606">
      <w:pPr>
        <w:pStyle w:val="Odstavecseseznamem"/>
        <w:numPr>
          <w:ilvl w:val="0"/>
          <w:numId w:val="28"/>
        </w:numPr>
        <w:spacing w:line="276" w:lineRule="auto"/>
        <w:jc w:val="both"/>
      </w:pPr>
      <w:r>
        <w:t xml:space="preserve">1 tuna minerálních hnojiv pro hlavní a následnou aplikaci u jarních </w:t>
      </w:r>
    </w:p>
    <w:p w14:paraId="70587DBE" w14:textId="77777777" w:rsidR="00D24606" w:rsidRDefault="00D24606" w:rsidP="00D24606">
      <w:pPr>
        <w:pStyle w:val="Odstavecseseznamem"/>
        <w:numPr>
          <w:ilvl w:val="0"/>
          <w:numId w:val="28"/>
        </w:numPr>
        <w:spacing w:line="276" w:lineRule="auto"/>
        <w:jc w:val="both"/>
      </w:pPr>
      <w:r>
        <w:t>až 25 výsevních jednotek slunečnicových semen společnosti - Limagrain (hybridy určené pro klasickou technologii pěstování v dávce 1 výsevní jednotka na 2 ha).</w:t>
      </w:r>
    </w:p>
    <w:p w14:paraId="0DDCD68A" w14:textId="77777777" w:rsidR="00D24606" w:rsidRDefault="00D24606" w:rsidP="00D24606">
      <w:pPr>
        <w:spacing w:line="276" w:lineRule="auto"/>
        <w:jc w:val="both"/>
      </w:pPr>
      <w:r>
        <w:t>Podmínky poskytnutí podpory:</w:t>
      </w:r>
    </w:p>
    <w:p w14:paraId="6C1F30FD" w14:textId="1C11397C" w:rsidR="00D24606" w:rsidRDefault="00D24606" w:rsidP="00D24606">
      <w:pPr>
        <w:pStyle w:val="Odstavecseseznamem"/>
        <w:numPr>
          <w:ilvl w:val="0"/>
          <w:numId w:val="29"/>
        </w:numPr>
        <w:spacing w:line="276" w:lineRule="auto"/>
        <w:jc w:val="both"/>
      </w:pPr>
      <w:r>
        <w:t xml:space="preserve">žadatel musí být registrován jako právnická nebo fyzická osoba; </w:t>
      </w:r>
    </w:p>
    <w:p w14:paraId="03A75758" w14:textId="77777777" w:rsidR="00D24606" w:rsidRDefault="00D24606" w:rsidP="00D24606">
      <w:pPr>
        <w:pStyle w:val="Odstavecseseznamem"/>
        <w:numPr>
          <w:ilvl w:val="0"/>
          <w:numId w:val="29"/>
        </w:numPr>
        <w:spacing w:line="276" w:lineRule="auto"/>
        <w:jc w:val="both"/>
      </w:pPr>
      <w:r>
        <w:t>obhospodařuje od 5 do 500 hektarů, které se nacházejí v následujících regionech: Dněpropetrovsk, Doněck, Záporoží, Kirovohrad, Kyjev, Luhansk, Mykolajiv, Oděsa, Poltava, Sumy, Charkov, Cherson, Černihov;</w:t>
      </w:r>
    </w:p>
    <w:p w14:paraId="45CE8124" w14:textId="77777777" w:rsidR="00D24606" w:rsidRDefault="00D24606" w:rsidP="00D24606">
      <w:pPr>
        <w:pStyle w:val="Odstavecseseznamem"/>
        <w:numPr>
          <w:ilvl w:val="0"/>
          <w:numId w:val="29"/>
        </w:numPr>
        <w:spacing w:line="276" w:lineRule="auto"/>
        <w:jc w:val="both"/>
      </w:pPr>
      <w:r>
        <w:t xml:space="preserve">nevykonává hospodářskou činnost na okupovaných územích, na území Ruské federace a Běloruské republiky; nepodléhá sankcím podle ukrajinských právních předpisů atd.; </w:t>
      </w:r>
    </w:p>
    <w:p w14:paraId="1E3D286F" w14:textId="240A6416" w:rsidR="00D24606" w:rsidRDefault="00D24606" w:rsidP="00D24606">
      <w:pPr>
        <w:pStyle w:val="Odstavecseseznamem"/>
        <w:numPr>
          <w:ilvl w:val="0"/>
          <w:numId w:val="29"/>
        </w:numPr>
        <w:spacing w:line="276" w:lineRule="auto"/>
        <w:jc w:val="both"/>
      </w:pPr>
      <w:r>
        <w:t>musí si zajistit logistiku dodávky hnojiva/osiva z regionálních distribučních míst vlastní dopravou</w:t>
      </w:r>
      <w:r w:rsidR="00150953">
        <w:t xml:space="preserve"> a </w:t>
      </w:r>
      <w:r>
        <w:t>na vlastní náklady.</w:t>
      </w:r>
    </w:p>
    <w:p w14:paraId="0CB00B21" w14:textId="77777777" w:rsidR="00D24606" w:rsidRDefault="00D24606" w:rsidP="00D24606">
      <w:pPr>
        <w:pStyle w:val="Odstavecseseznamem"/>
        <w:numPr>
          <w:ilvl w:val="0"/>
          <w:numId w:val="30"/>
        </w:numPr>
        <w:spacing w:before="120" w:line="276" w:lineRule="auto"/>
        <w:ind w:left="714" w:hanging="357"/>
        <w:contextualSpacing w:val="0"/>
        <w:jc w:val="both"/>
      </w:pPr>
      <w:r>
        <w:t>Osivo jarních plodin</w:t>
      </w:r>
    </w:p>
    <w:p w14:paraId="58A7B10D" w14:textId="77777777" w:rsidR="00D24606" w:rsidRDefault="00D24606" w:rsidP="00D24606">
      <w:pPr>
        <w:spacing w:line="276" w:lineRule="auto"/>
        <w:jc w:val="both"/>
      </w:pPr>
      <w:r>
        <w:t>Organizace OSN pro výživu a zemědělství (FAO) vyhlásila zahájení termínu pro podání žádostí o poskytnutí osiva jarních plodin (pšenice, ječmene, hrachu) na podporu drobných zemědělců v přífrontových oblastech.</w:t>
      </w:r>
      <w:r w:rsidRPr="00065483">
        <w:t xml:space="preserve"> </w:t>
      </w:r>
      <w:r>
        <w:t xml:space="preserve"> Každý příjemce (až 3 tisíce) obdrží 2 000 kg osiva jarních plodin, což umožní osetí 10 hektarů půdy. V závislosti na regionu si zemědělci mohou vybrat jednu ze tří jarních plodin: pšenici, ječmen nebo hrách.</w:t>
      </w:r>
      <w:r w:rsidRPr="00065483">
        <w:t xml:space="preserve"> </w:t>
      </w:r>
      <w:r>
        <w:t>Žádost je nutné podat prostřednictvím Státního agrárního registru (DAR)</w:t>
      </w:r>
      <w:r w:rsidRPr="00065483">
        <w:t xml:space="preserve"> </w:t>
      </w:r>
      <w:r>
        <w:t>do 10. března 2023.</w:t>
      </w:r>
    </w:p>
    <w:p w14:paraId="3440252D" w14:textId="77777777" w:rsidR="00D24606" w:rsidRDefault="00D24606" w:rsidP="00D24606">
      <w:pPr>
        <w:spacing w:line="276" w:lineRule="auto"/>
        <w:jc w:val="both"/>
      </w:pPr>
      <w:r>
        <w:t>Podmínky poskytnutí podpory:</w:t>
      </w:r>
    </w:p>
    <w:p w14:paraId="1BDF06F1" w14:textId="7BBB2F69" w:rsidR="00D24606" w:rsidRDefault="00D24606" w:rsidP="00D24606">
      <w:pPr>
        <w:pStyle w:val="Odstavecseseznamem"/>
        <w:numPr>
          <w:ilvl w:val="0"/>
          <w:numId w:val="31"/>
        </w:numPr>
        <w:spacing w:line="276" w:lineRule="auto"/>
        <w:jc w:val="both"/>
      </w:pPr>
      <w:r>
        <w:t>program je určen právnickým osobám (zemědělským podnikům a společnostem s</w:t>
      </w:r>
      <w:r w:rsidR="001B1739">
        <w:t> </w:t>
      </w:r>
      <w:r>
        <w:t>ručením omezeným) a jednotlivým podnikatelům;</w:t>
      </w:r>
    </w:p>
    <w:p w14:paraId="561A0BFD" w14:textId="77777777" w:rsidR="00D24606" w:rsidRDefault="00D24606" w:rsidP="00D24606">
      <w:pPr>
        <w:pStyle w:val="Odstavecseseznamem"/>
        <w:numPr>
          <w:ilvl w:val="0"/>
          <w:numId w:val="31"/>
        </w:numPr>
        <w:spacing w:line="276" w:lineRule="auto"/>
        <w:jc w:val="both"/>
      </w:pPr>
      <w:r>
        <w:t>žadatel musí mít registrovanou zemědělskou půdu o rozloze 10 až 500 hektarů;</w:t>
      </w:r>
    </w:p>
    <w:p w14:paraId="404ACAD7" w14:textId="77777777" w:rsidR="00D24606" w:rsidRDefault="00D24606" w:rsidP="00D24606">
      <w:pPr>
        <w:pStyle w:val="Odstavecseseznamem"/>
        <w:numPr>
          <w:ilvl w:val="0"/>
          <w:numId w:val="31"/>
        </w:numPr>
        <w:spacing w:line="276" w:lineRule="auto"/>
        <w:jc w:val="both"/>
      </w:pPr>
      <w:r>
        <w:t>pouze žadatelé, kteří jsou registrovaní a podnikají ve válkou postižených oblastech</w:t>
      </w:r>
      <w:r w:rsidRPr="00065483">
        <w:t xml:space="preserve"> </w:t>
      </w:r>
      <w:r>
        <w:t>(Sumská, Černihovská, Doněcká, Charkovská, Dněpropetrovská, Záporožská, Mykolajivská, Chersonská a Oděská oblast).</w:t>
      </w:r>
    </w:p>
    <w:p w14:paraId="1543E1D2" w14:textId="77777777" w:rsidR="00D24606" w:rsidRPr="00D24606" w:rsidRDefault="00D24606" w:rsidP="00D24606">
      <w:pPr>
        <w:pStyle w:val="Nadpis3"/>
        <w:spacing w:line="276" w:lineRule="auto"/>
      </w:pPr>
      <w:r w:rsidRPr="00D24606">
        <w:t>Ukrajinští zemědělci dostanou z USA traktory John Deere 6R</w:t>
      </w:r>
    </w:p>
    <w:p w14:paraId="683ADF3F" w14:textId="77777777" w:rsidR="00D24606" w:rsidRDefault="00D24606" w:rsidP="00D24606">
      <w:pPr>
        <w:spacing w:line="276" w:lineRule="auto"/>
        <w:jc w:val="both"/>
      </w:pPr>
      <w:r>
        <w:t>V rámci iniciativy "</w:t>
      </w:r>
      <w:r w:rsidRPr="00986DCD">
        <w:t xml:space="preserve"> Harvest of Victory</w:t>
      </w:r>
      <w:r>
        <w:t>" obdrží ukrajinští zemědělci další zásilku zemědělské techniky od amerického dárce. Jedná se o</w:t>
      </w:r>
      <w:r w:rsidRPr="001946FF">
        <w:t xml:space="preserve"> </w:t>
      </w:r>
      <w:r>
        <w:t xml:space="preserve">pět nových výkonných traktorů John Deere řady 6R, jejich předání se uskuteční v co nejbližší době, aby mohli farmáři efektivně provést jarní setí.  </w:t>
      </w:r>
    </w:p>
    <w:p w14:paraId="733B7AA6" w14:textId="77777777" w:rsidR="00D24606" w:rsidRPr="00D24606" w:rsidRDefault="00D24606" w:rsidP="00D24606">
      <w:pPr>
        <w:pStyle w:val="Nadpis3"/>
        <w:spacing w:line="276" w:lineRule="auto"/>
      </w:pPr>
      <w:r w:rsidRPr="00D24606">
        <w:t>Ukrajinský vývoz obilovin a luštěnin</w:t>
      </w:r>
    </w:p>
    <w:p w14:paraId="4BDD1DAD" w14:textId="77777777" w:rsidR="00D24606" w:rsidRDefault="00D24606" w:rsidP="00D24606">
      <w:pPr>
        <w:spacing w:line="276" w:lineRule="auto"/>
        <w:jc w:val="both"/>
      </w:pPr>
      <w:r>
        <w:t>K 1. březnu 2022/2023 Ukrajina vyvezla 32 milionů 286 tisíc tun obilovin a luštěnin:</w:t>
      </w:r>
    </w:p>
    <w:p w14:paraId="7CC85AEC" w14:textId="77777777" w:rsidR="00D24606" w:rsidRDefault="00D24606" w:rsidP="00D24606">
      <w:pPr>
        <w:spacing w:line="276" w:lineRule="auto"/>
        <w:jc w:val="both"/>
      </w:pPr>
      <w:r>
        <w:t>Pšenice: 11,34 mil. tun.</w:t>
      </w:r>
    </w:p>
    <w:p w14:paraId="2D551136" w14:textId="77777777" w:rsidR="00D24606" w:rsidRDefault="00D24606" w:rsidP="00D24606">
      <w:pPr>
        <w:spacing w:line="276" w:lineRule="auto"/>
        <w:jc w:val="both"/>
      </w:pPr>
      <w:r>
        <w:t xml:space="preserve">Ječmen: 2,05 mil. tun </w:t>
      </w:r>
    </w:p>
    <w:p w14:paraId="338219A9" w14:textId="77777777" w:rsidR="00D24606" w:rsidRDefault="00D24606" w:rsidP="00D24606">
      <w:pPr>
        <w:spacing w:line="276" w:lineRule="auto"/>
        <w:jc w:val="both"/>
      </w:pPr>
      <w:r>
        <w:t>Žito: 16,1 mil. tun.</w:t>
      </w:r>
    </w:p>
    <w:p w14:paraId="482B5EBC" w14:textId="3F6590D3" w:rsidR="00D24606" w:rsidRDefault="00D24606" w:rsidP="00D24606">
      <w:pPr>
        <w:spacing w:line="276" w:lineRule="auto"/>
        <w:jc w:val="both"/>
      </w:pPr>
      <w:r>
        <w:t>Kukuřice: 18,6 mil. tun.</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6" w:history="1">
        <w:r w:rsidR="00D4434C" w:rsidRPr="00D54C30">
          <w:rPr>
            <w:rStyle w:val="Hypertextovodkaz"/>
          </w:rPr>
          <w:t>lubos.marek@mze.cz</w:t>
        </w:r>
      </w:hyperlink>
      <w:r w:rsidR="00D4434C">
        <w:t xml:space="preserve"> / </w:t>
      </w:r>
      <w:hyperlink r:id="rId17" w:history="1">
        <w:r w:rsidR="00D4434C" w:rsidRPr="00D54C30">
          <w:rPr>
            <w:rStyle w:val="Hypertextovodkaz"/>
          </w:rPr>
          <w:t>commerce_hanoi@mzv.cz</w:t>
        </w:r>
      </w:hyperlink>
      <w:r w:rsidR="00D4434C">
        <w:t xml:space="preserve"> </w:t>
      </w:r>
    </w:p>
    <w:p w14:paraId="762E2274" w14:textId="77777777" w:rsidR="00800218" w:rsidRPr="00800218" w:rsidRDefault="00800218" w:rsidP="00800218">
      <w:pPr>
        <w:pStyle w:val="Nadpis3"/>
        <w:spacing w:line="276" w:lineRule="auto"/>
      </w:pPr>
      <w:r w:rsidRPr="00800218">
        <w:t>Export kávy, kaučuku a jiných komodit z Vietnamu ovlivní politika EU proti odlesňování</w:t>
      </w:r>
    </w:p>
    <w:p w14:paraId="62ECB0F4" w14:textId="77777777" w:rsidR="00800218" w:rsidRPr="00800218" w:rsidRDefault="00800218" w:rsidP="00800218">
      <w:pPr>
        <w:spacing w:line="276" w:lineRule="auto"/>
        <w:jc w:val="both"/>
      </w:pPr>
      <w:r w:rsidRPr="00800218">
        <w:t>Jako významný dovozce produktů lesního hospodářství do EU čelí Vietnam velkým výzvám při přizpůsobování se nové evropské politice proti odlesňování.</w:t>
      </w:r>
    </w:p>
    <w:p w14:paraId="2D4D6160" w14:textId="77777777" w:rsidR="00800218" w:rsidRPr="00800218" w:rsidRDefault="00800218" w:rsidP="00800218">
      <w:pPr>
        <w:spacing w:line="276" w:lineRule="auto"/>
        <w:jc w:val="both"/>
      </w:pPr>
      <w:r w:rsidRPr="00800218">
        <w:t>Podle zprávy EU je celosvětově přibližně 90 % odlesňování vyvoláno rozšiřováním zemědělské půdy. To je jeden z hlavních důvodů, proč EU prosazuje podporu obchodu s legálními komoditami a produkty, které odlesňování nevyžadují. Tyto informace zazněly i na únorovém Workshopu o výrobě kávy bez odlesňování a komercializace, pořádaném Rozvojovým programem OSN (UNDP), delegací EU a vietnamskou správou lesnictví při Ministerstvu zemědělství a rozvoje venkova (MARD). Workshopu se zúčastnilo také několik předních světových producentů kávy, jako je Lavazza a další.</w:t>
      </w:r>
    </w:p>
    <w:p w14:paraId="0C9D6676" w14:textId="220ED038" w:rsidR="00800218" w:rsidRPr="00800218" w:rsidRDefault="00800218" w:rsidP="00800218">
      <w:pPr>
        <w:spacing w:line="276" w:lineRule="auto"/>
        <w:jc w:val="both"/>
      </w:pPr>
      <w:r w:rsidRPr="00800218">
        <w:t>EU se zasazuje o nápravu, protože spotřebovává významný podíl produktů spojených s</w:t>
      </w:r>
      <w:r w:rsidR="001B1739">
        <w:t> </w:t>
      </w:r>
      <w:r w:rsidRPr="00800218">
        <w:t>odlesňováním a znehodnocováním lesů. Návrh EU k odlesňování podaný v listopadu 2021 dosáhl prozatímní politické shody v rámci Evropského parlamentu a Rady EU v prosinci 2022 a bude přijat v polovině roku 2023.</w:t>
      </w:r>
    </w:p>
    <w:p w14:paraId="0D707464" w14:textId="71488B42" w:rsidR="00800218" w:rsidRPr="00800218" w:rsidRDefault="00800218" w:rsidP="00800218">
      <w:pPr>
        <w:spacing w:line="276" w:lineRule="auto"/>
        <w:jc w:val="both"/>
      </w:pPr>
      <w:r w:rsidRPr="00800218">
        <w:t>Návrh stanoví povinná pravidla pro společnosti, které chtějí uvést své komodity na trh EU s</w:t>
      </w:r>
      <w:r w:rsidR="001B1739">
        <w:t> </w:t>
      </w:r>
      <w:r w:rsidRPr="00800218">
        <w:t>cílem zajistit, aby na trhu EU byly povoleny pouze legální produkty a produkty bez spojitosti s odlesňováním. Evropská komise použije k posouzení zemí systém benchmarkingu a jejich úrovně rizika odlesňování a degradace lesů způsobených komoditami v oblasti působnosti nařízení.</w:t>
      </w:r>
    </w:p>
    <w:p w14:paraId="2E2DEAA9" w14:textId="0D6C11EA" w:rsidR="00800218" w:rsidRPr="00800218" w:rsidRDefault="00800218" w:rsidP="00800218">
      <w:pPr>
        <w:spacing w:line="276" w:lineRule="auto"/>
        <w:jc w:val="both"/>
      </w:pPr>
      <w:r w:rsidRPr="00800218">
        <w:t>Opatření je doplňkem mezinárodních nástrojů spolupráce k obnově a ochraně světových lesů s ambicí zastavit odlesňování. Nařízení rovněž doplňuje a posiluje obchodní dohody a</w:t>
      </w:r>
      <w:r w:rsidR="001B1739">
        <w:t> </w:t>
      </w:r>
      <w:r w:rsidRPr="00800218">
        <w:t>zajišťuje, aby rostoucí obchod nevedl ke zvýšenému odlesňování.</w:t>
      </w:r>
    </w:p>
    <w:p w14:paraId="32901011" w14:textId="77777777" w:rsidR="00800218" w:rsidRPr="00800218" w:rsidRDefault="00800218" w:rsidP="00800218">
      <w:pPr>
        <w:spacing w:line="276" w:lineRule="auto"/>
        <w:jc w:val="both"/>
      </w:pPr>
      <w:r w:rsidRPr="00800218">
        <w:t>Mezi zboží, které by mělo být nařízením ovlivněno, patří zejména palmový olej, sója, dřevo, kakao, káva, pepř a kaučuk. Opatření se dotkne všech výrobců v EU i mimo ni a všichni musí být připraveni na jeho připravovanou implementaci v roce 2024. Evropská unie nebude v rámci nařízení dovážet žádné produkty ani zboží, které pochází z odlesněných oblastí po 31. prosinci 2020. Díky tomuto ekonomickému tlaku Vietnam podniká kroky k vyřešení problému odlesňování a připravuje se na nová nařízení EU. Například plánování a monitorování využívání půdy, technická podpora mezi vládami, farmáři a mezinárodními společnostmi. Očekává se, že přístup VSR k problematice odlesňování bude ryze účelový, podobně jako je tomu u nelegálního rybolovu - čili namísto řešení problémů spíše mlžení a lobbing.</w:t>
      </w:r>
    </w:p>
    <w:p w14:paraId="3414570C" w14:textId="12852468" w:rsidR="00D4434C" w:rsidRPr="00800218" w:rsidRDefault="00800218" w:rsidP="00800218">
      <w:pPr>
        <w:spacing w:line="276" w:lineRule="auto"/>
        <w:jc w:val="both"/>
      </w:pPr>
      <w:r w:rsidRPr="00800218">
        <w:t>Trần Quang Bảo, náměstek generálního ředitele Správy lesnictví ve Vietnamu, uvedl, že tento zákon bude mít v blízké budoucnosti dopad na zemědělský export z Vietnamu, zejména na kávu, která je největší vývozní komoditou v oblasti zemědělství na evropský trh. „Očekáváme, že si budeme vyměňovat informace, diskutovat a učit se od našich mezinárodních partnerů s</w:t>
      </w:r>
      <w:r w:rsidR="001B1739">
        <w:t> </w:t>
      </w:r>
      <w:r w:rsidRPr="00800218">
        <w:t>cílem vytvořit plán rozvoje zemědělských exportních sektorů, které jsou v souladu s předpisy EU,“ dodal Bảo.</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4CBB1644" w:rsidR="00F36E50"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8"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457E4672" w14:textId="77777777" w:rsidR="002363C3" w:rsidRPr="002363C3" w:rsidRDefault="002363C3" w:rsidP="002363C3">
      <w:pPr>
        <w:pStyle w:val="Nadpis3"/>
        <w:spacing w:line="276" w:lineRule="auto"/>
      </w:pPr>
      <w:r w:rsidRPr="009C28BB">
        <w:t>EU a Velká Británie uzavřely dohodu o Severním Irsku</w:t>
      </w:r>
    </w:p>
    <w:p w14:paraId="68970B8D" w14:textId="586D68DD" w:rsidR="002363C3" w:rsidRDefault="002363C3" w:rsidP="002363C3">
      <w:pPr>
        <w:spacing w:line="276" w:lineRule="auto"/>
        <w:jc w:val="both"/>
      </w:pPr>
      <w:r>
        <w:t>EU a Velké Británii se podařilo dospět k dohodě o Severním Irsku (tzv. Windsorský rámec). Dohodě předcházela čtyřměsíční intenzivní vyjednávání. Dohoda má usnadnit pohyb zboží mezi Velkou Británií a Sev. Irskem, zabránit vzniku pevné hranice mezi Severním Irskem a</w:t>
      </w:r>
      <w:r w:rsidR="001B1739">
        <w:t> </w:t>
      </w:r>
      <w:r>
        <w:t>Irskem a také vyřešit politický pat, který přetrvává v Severním Irsku. Opatření se týkají zjednodušení v oblasti celní administrativy, kontrol, fytosanitárních pravidel, záruk proti narušení celního prostoru EU, správy v Severním Irsku atd.</w:t>
      </w:r>
    </w:p>
    <w:p w14:paraId="05A32034" w14:textId="77777777" w:rsidR="002363C3" w:rsidRDefault="002363C3" w:rsidP="002363C3">
      <w:pPr>
        <w:spacing w:line="276" w:lineRule="auto"/>
        <w:jc w:val="both"/>
      </w:pPr>
      <w:r>
        <w:t>Dohoda prakticky řeší např. zjednodušení převozu potravin pro konečné použití v Severním Irsku, dále převozy domácích zvířat nebo transport nových léků vyvinutých ve Velké Británii do Severního Irska. Mimo jiné také ruší zákaz transportu sadbových brambor z Británie do Sev. Irska. Vše je samozřejmě podmíněno zárukami na britské straně vůči EU.</w:t>
      </w:r>
    </w:p>
    <w:p w14:paraId="5E1727A8" w14:textId="77777777" w:rsidR="002363C3" w:rsidRDefault="002363C3" w:rsidP="002363C3">
      <w:pPr>
        <w:spacing w:after="120" w:line="276" w:lineRule="auto"/>
        <w:jc w:val="both"/>
      </w:pPr>
      <w:r>
        <w:t>Tato dohoda bude mít pro české vývozce minimální přímý dopad. Důležitější však je, že dohoda je potvrzením odblokování hlavní překážky ve vzájemných vztazích EU a Velké Británie, která hrozila přerůst ve výraznější politické i obchodní důsledky. To dokládaly například opakované hrozby využití postupů krajní nouze zakotvené v Severoirském protokolu z britské strany a také zahájení procesu o porušení mezinárodního práva ze strany EU. Dá se proto očekávat, že pokud bude dohoda ratifikována, otevře se prostor pro další zlepšování vztahů mezi EU a Velkou Británií.</w:t>
      </w:r>
    </w:p>
    <w:p w14:paraId="39593DC9" w14:textId="77777777" w:rsidR="002363C3" w:rsidRDefault="00000000" w:rsidP="002363C3">
      <w:pPr>
        <w:jc w:val="both"/>
      </w:pPr>
      <w:hyperlink r:id="rId19" w:history="1">
        <w:r w:rsidR="002363C3" w:rsidRPr="00CB7978">
          <w:rPr>
            <w:rStyle w:val="Hypertextovodkaz"/>
          </w:rPr>
          <w:t>Zdroj</w:t>
        </w:r>
      </w:hyperlink>
    </w:p>
    <w:p w14:paraId="3FFC1A00" w14:textId="77777777" w:rsidR="002363C3" w:rsidRPr="002363C3" w:rsidRDefault="002363C3" w:rsidP="002363C3">
      <w:pPr>
        <w:rPr>
          <w:rFonts w:cs="Arial"/>
        </w:rPr>
      </w:pPr>
    </w:p>
    <w:sectPr w:rsidR="002363C3" w:rsidRPr="002363C3" w:rsidSect="00505C2E">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539E" w14:textId="77777777" w:rsidR="0037099F" w:rsidRDefault="0037099F" w:rsidP="00D4434C">
      <w:r>
        <w:separator/>
      </w:r>
    </w:p>
  </w:endnote>
  <w:endnote w:type="continuationSeparator" w:id="0">
    <w:p w14:paraId="5073F923" w14:textId="77777777" w:rsidR="0037099F" w:rsidRDefault="0037099F"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88FB" w14:textId="77777777" w:rsidR="0037099F" w:rsidRDefault="0037099F" w:rsidP="00D4434C">
      <w:r>
        <w:separator/>
      </w:r>
    </w:p>
  </w:footnote>
  <w:footnote w:type="continuationSeparator" w:id="0">
    <w:p w14:paraId="4C0B5B71" w14:textId="77777777" w:rsidR="0037099F" w:rsidRDefault="0037099F"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705F2"/>
    <w:multiLevelType w:val="hybridMultilevel"/>
    <w:tmpl w:val="72EE7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4"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C2521C"/>
    <w:multiLevelType w:val="hybridMultilevel"/>
    <w:tmpl w:val="77100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7F3F49"/>
    <w:multiLevelType w:val="hybridMultilevel"/>
    <w:tmpl w:val="006219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FD42F0"/>
    <w:multiLevelType w:val="hybridMultilevel"/>
    <w:tmpl w:val="749E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933138">
    <w:abstractNumId w:val="21"/>
  </w:num>
  <w:num w:numId="2" w16cid:durableId="1856727505">
    <w:abstractNumId w:val="16"/>
  </w:num>
  <w:num w:numId="3" w16cid:durableId="237912056">
    <w:abstractNumId w:val="18"/>
  </w:num>
  <w:num w:numId="4" w16cid:durableId="991907705">
    <w:abstractNumId w:val="11"/>
  </w:num>
  <w:num w:numId="5" w16cid:durableId="1352684069">
    <w:abstractNumId w:val="23"/>
  </w:num>
  <w:num w:numId="6" w16cid:durableId="1585407726">
    <w:abstractNumId w:val="24"/>
  </w:num>
  <w:num w:numId="7" w16cid:durableId="1450317563">
    <w:abstractNumId w:val="19"/>
  </w:num>
  <w:num w:numId="8" w16cid:durableId="545681830">
    <w:abstractNumId w:val="4"/>
  </w:num>
  <w:num w:numId="9" w16cid:durableId="256209222">
    <w:abstractNumId w:val="10"/>
  </w:num>
  <w:num w:numId="10" w16cid:durableId="1568761719">
    <w:abstractNumId w:val="7"/>
  </w:num>
  <w:num w:numId="11" w16cid:durableId="392386941">
    <w:abstractNumId w:val="17"/>
  </w:num>
  <w:num w:numId="12" w16cid:durableId="2113282876">
    <w:abstractNumId w:val="12"/>
  </w:num>
  <w:num w:numId="13" w16cid:durableId="427700891">
    <w:abstractNumId w:val="30"/>
  </w:num>
  <w:num w:numId="14" w16cid:durableId="1263876310">
    <w:abstractNumId w:val="9"/>
  </w:num>
  <w:num w:numId="15" w16cid:durableId="1192960506">
    <w:abstractNumId w:val="3"/>
  </w:num>
  <w:num w:numId="16" w16cid:durableId="1268734672">
    <w:abstractNumId w:val="15"/>
  </w:num>
  <w:num w:numId="17" w16cid:durableId="751898112">
    <w:abstractNumId w:val="8"/>
  </w:num>
  <w:num w:numId="18" w16cid:durableId="283583812">
    <w:abstractNumId w:val="2"/>
  </w:num>
  <w:num w:numId="19" w16cid:durableId="1224023839">
    <w:abstractNumId w:val="28"/>
  </w:num>
  <w:num w:numId="20" w16cid:durableId="903377143">
    <w:abstractNumId w:val="26"/>
  </w:num>
  <w:num w:numId="21" w16cid:durableId="1580672811">
    <w:abstractNumId w:val="0"/>
  </w:num>
  <w:num w:numId="22" w16cid:durableId="1692489998">
    <w:abstractNumId w:val="6"/>
  </w:num>
  <w:num w:numId="23" w16cid:durableId="638265057">
    <w:abstractNumId w:val="29"/>
  </w:num>
  <w:num w:numId="24" w16cid:durableId="1496996454">
    <w:abstractNumId w:val="14"/>
  </w:num>
  <w:num w:numId="25" w16cid:durableId="994603955">
    <w:abstractNumId w:val="5"/>
  </w:num>
  <w:num w:numId="26" w16cid:durableId="1313753162">
    <w:abstractNumId w:val="22"/>
  </w:num>
  <w:num w:numId="27" w16cid:durableId="1097287866">
    <w:abstractNumId w:val="25"/>
  </w:num>
  <w:num w:numId="28" w16cid:durableId="278605820">
    <w:abstractNumId w:val="1"/>
  </w:num>
  <w:num w:numId="29" w16cid:durableId="270864298">
    <w:abstractNumId w:val="13"/>
  </w:num>
  <w:num w:numId="30" w16cid:durableId="418673442">
    <w:abstractNumId w:val="20"/>
  </w:num>
  <w:num w:numId="31" w16cid:durableId="8872575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50953"/>
    <w:rsid w:val="001B1739"/>
    <w:rsid w:val="001D3F62"/>
    <w:rsid w:val="001F023C"/>
    <w:rsid w:val="001F29AF"/>
    <w:rsid w:val="00223F87"/>
    <w:rsid w:val="002363C3"/>
    <w:rsid w:val="002616B5"/>
    <w:rsid w:val="00267D97"/>
    <w:rsid w:val="002A2D85"/>
    <w:rsid w:val="002A56DF"/>
    <w:rsid w:val="002E5EAD"/>
    <w:rsid w:val="00356B3B"/>
    <w:rsid w:val="0037099F"/>
    <w:rsid w:val="00370E34"/>
    <w:rsid w:val="003964FA"/>
    <w:rsid w:val="003D2B3B"/>
    <w:rsid w:val="003D56E1"/>
    <w:rsid w:val="0040717D"/>
    <w:rsid w:val="004232BE"/>
    <w:rsid w:val="004559E3"/>
    <w:rsid w:val="004962CD"/>
    <w:rsid w:val="004A6C5B"/>
    <w:rsid w:val="004E6FCD"/>
    <w:rsid w:val="00505C2E"/>
    <w:rsid w:val="005248F4"/>
    <w:rsid w:val="00524BA5"/>
    <w:rsid w:val="005804C8"/>
    <w:rsid w:val="00587417"/>
    <w:rsid w:val="005A13F9"/>
    <w:rsid w:val="005C3BF7"/>
    <w:rsid w:val="005D5E3F"/>
    <w:rsid w:val="005D69CD"/>
    <w:rsid w:val="005D7F74"/>
    <w:rsid w:val="005E20B4"/>
    <w:rsid w:val="00613A7D"/>
    <w:rsid w:val="00626344"/>
    <w:rsid w:val="00636521"/>
    <w:rsid w:val="00656C69"/>
    <w:rsid w:val="0067358D"/>
    <w:rsid w:val="006805F4"/>
    <w:rsid w:val="006931C2"/>
    <w:rsid w:val="006A353A"/>
    <w:rsid w:val="006A382E"/>
    <w:rsid w:val="006F79AC"/>
    <w:rsid w:val="00715795"/>
    <w:rsid w:val="00717F96"/>
    <w:rsid w:val="00771977"/>
    <w:rsid w:val="00780119"/>
    <w:rsid w:val="0078308B"/>
    <w:rsid w:val="00790E93"/>
    <w:rsid w:val="00795E13"/>
    <w:rsid w:val="007A531E"/>
    <w:rsid w:val="007D2A9E"/>
    <w:rsid w:val="007F3E9B"/>
    <w:rsid w:val="007F44D0"/>
    <w:rsid w:val="007F5F98"/>
    <w:rsid w:val="00800218"/>
    <w:rsid w:val="00807D31"/>
    <w:rsid w:val="00886E98"/>
    <w:rsid w:val="00892A59"/>
    <w:rsid w:val="00892E02"/>
    <w:rsid w:val="00897840"/>
    <w:rsid w:val="008A6BB3"/>
    <w:rsid w:val="008A799A"/>
    <w:rsid w:val="00937595"/>
    <w:rsid w:val="009677BC"/>
    <w:rsid w:val="00974743"/>
    <w:rsid w:val="00984A3E"/>
    <w:rsid w:val="00993C8E"/>
    <w:rsid w:val="009D3E69"/>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24606"/>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0102"/>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character" w:customStyle="1" w:styleId="break-words">
    <w:name w:val="break-words"/>
    <w:basedOn w:val="Standardnpsmoodstavce"/>
    <w:rsid w:val="0080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556355545">
      <w:bodyDiv w:val="1"/>
      <w:marLeft w:val="0"/>
      <w:marRight w:val="0"/>
      <w:marTop w:val="0"/>
      <w:marBottom w:val="0"/>
      <w:divBdr>
        <w:top w:val="none" w:sz="0" w:space="0" w:color="auto"/>
        <w:left w:val="none" w:sz="0" w:space="0" w:color="auto"/>
        <w:bottom w:val="none" w:sz="0" w:space="0" w:color="auto"/>
        <w:right w:val="none" w:sz="0" w:space="0" w:color="auto"/>
      </w:divBdr>
    </w:div>
    <w:div w:id="19515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petr_sochor@mzv.cz" TargetMode="External"/><Relationship Id="rId18" Type="http://schemas.openxmlformats.org/officeDocument/2006/relationships/hyperlink" Target="mailto:uktrade@mze.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kas_zamrzla@mzv.cz" TargetMode="External"/><Relationship Id="rId17" Type="http://schemas.openxmlformats.org/officeDocument/2006/relationships/hyperlink" Target="mailto:commerce_hanoi@mzv.cz" TargetMode="External"/><Relationship Id="rId2" Type="http://schemas.openxmlformats.org/officeDocument/2006/relationships/numbering" Target="numbering.xml"/><Relationship Id="rId16" Type="http://schemas.openxmlformats.org/officeDocument/2006/relationships/hyperlink" Target="mailto:lubos.marek@mze.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regulatory-information/search-fda-guidance-documents/draft-guidance-industry-labeling-plant-based-milk-alternatives-and-voluntary-nutrient-statements" TargetMode="External"/><Relationship Id="rId5" Type="http://schemas.openxmlformats.org/officeDocument/2006/relationships/webSettings" Target="webSettings.xml"/><Relationship Id="rId15" Type="http://schemas.openxmlformats.org/officeDocument/2006/relationships/hyperlink" Target="mailto:cz.ukrexport@meta.ua" TargetMode="External"/><Relationship Id="rId10" Type="http://schemas.openxmlformats.org/officeDocument/2006/relationships/hyperlink" Target="mailto:tereza_cerna@mzv.cz" TargetMode="External"/><Relationship Id="rId19" Type="http://schemas.openxmlformats.org/officeDocument/2006/relationships/hyperlink" Target="https://www.politico.eu/article/eu-uk-windsor-framework-northern-ireland-deal-concessions-and-safeguards-brexit/"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irena_leopoldova@mzv.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7</Pages>
  <Words>3269</Words>
  <Characters>19291</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22515</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2023-03-03T14:20:00Z</dcterms:created>
  <dcterms:modified xsi:type="dcterms:W3CDTF">2023-03-03T14:20:00Z</dcterms:modified>
</cp:coreProperties>
</file>