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541088E4"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6E1BB1">
        <w:rPr>
          <w:rFonts w:ascii="Arial" w:hAnsi="Arial" w:cs="Arial"/>
          <w:noProof/>
        </w:rPr>
        <w:t>pátek 3. února 2023</w:t>
      </w:r>
      <w:r w:rsidR="00035FAD" w:rsidRPr="00937595">
        <w:rPr>
          <w:rFonts w:ascii="Arial" w:hAnsi="Arial" w:cs="Arial"/>
        </w:rPr>
        <w:fldChar w:fldCharType="end"/>
      </w:r>
    </w:p>
    <w:p w14:paraId="3DD61E9C" w14:textId="77777777" w:rsidR="00877675" w:rsidRPr="00877675" w:rsidRDefault="00877675" w:rsidP="00877675"/>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636E21F2" w14:textId="77777777" w:rsidR="00E642E3" w:rsidRPr="00E642E3" w:rsidRDefault="00E642E3" w:rsidP="00E642E3">
      <w:pPr>
        <w:pStyle w:val="Nadpis3"/>
        <w:spacing w:line="276" w:lineRule="auto"/>
        <w:jc w:val="both"/>
      </w:pPr>
      <w:r w:rsidRPr="00E642E3">
        <w:t>Čínští vědci naklonovali „super krávy“</w:t>
      </w:r>
    </w:p>
    <w:p w14:paraId="13192672" w14:textId="5A6120BC" w:rsidR="00E642E3" w:rsidRDefault="00E642E3" w:rsidP="00E642E3">
      <w:pPr>
        <w:spacing w:line="276" w:lineRule="auto"/>
        <w:jc w:val="both"/>
      </w:pPr>
      <w:r w:rsidRPr="00E642E3">
        <w:t>Čínská státní média zveřejnila zprávu, že se čínským vědcům ze Severozápadní univerzity pro výzkum a technologie v zemědělství a lesnictví podařilo naklonovat tři „super krávy“. Klony pocházely z krav holštýnského plemena, původně dovezených z Nizozemska. Vědci připravili 120 embryí z krav s vysokou dojivostí, které následně vložili do jiných krav k donošení. Produkce mléka z klonovaných krav dosahovala 18 tun za rok či 100 tun za život. V Číně dosahuje takové míry produkce pouze pět z deseti tisíc krav, jejich potenciál je však mnohdy odhalen příliš pozdě na to, aby byly dále množeny. Dle vedoucího týmu vědců stojících za tímto projektem se jedná o průlom, který umožní uchovat ta nejlepší zvířata ekonomickým způsobem. Zároveň také metoda pomůže snížit závislost Číny na dovozu mléčného skotu ze zahraničí. Z dovozu pochází 70 % mléčného skotu v Číně. Do dvou až tří let plánují vědci vybudovat stádo čítající přes tisíc takových super krav.</w:t>
      </w:r>
    </w:p>
    <w:p w14:paraId="5B31B2DF" w14:textId="77777777" w:rsidR="00877675" w:rsidRPr="00E642E3" w:rsidRDefault="00877675" w:rsidP="00E642E3">
      <w:pPr>
        <w:spacing w:line="276" w:lineRule="auto"/>
        <w:jc w:val="both"/>
      </w:pP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451F09F8" w14:textId="5E485BC0" w:rsidR="00562DE2" w:rsidRPr="00562DE2" w:rsidRDefault="00562DE2" w:rsidP="00562DE2">
      <w:pPr>
        <w:pStyle w:val="Nadpis3"/>
        <w:spacing w:line="276" w:lineRule="auto"/>
        <w:jc w:val="both"/>
      </w:pPr>
      <w:r w:rsidRPr="00562DE2">
        <w:t>Krize mění způsoby produkce konzumních vajec v Srbsku</w:t>
      </w:r>
    </w:p>
    <w:p w14:paraId="52CE35E6" w14:textId="77777777" w:rsidR="00562DE2" w:rsidRPr="00562DE2" w:rsidRDefault="00562DE2" w:rsidP="00562DE2">
      <w:pPr>
        <w:spacing w:line="276" w:lineRule="auto"/>
        <w:jc w:val="both"/>
      </w:pPr>
      <w:r w:rsidRPr="00562DE2">
        <w:t>Rostoucí ceny vstupů zemědělské produkce se nevyhnuly ani producentům vajec, která v Srbsku meziročně zdražila o více než 43 %. Dnes se tak ceny pohybují v rozmezí 0,15 až 0,26 EUR/ks. Ani výrazné navýšení ceny však především u malých farem nepokrývá zvýšené náklady na produkci způsobené nárůstem cen krmiv a také energií. Navíc velké obchodní řetězce v akcích prodávají vejce i za cenu od 0,12 EUR za kus. Proto některé menší farmy omezují dodávky vajec do obchodní sítě. Aby se pokryly provozní náklady a zůstal alespoň minimální zisk, neměla by podle nich být vejce levnější než 0,26 EUR/ks. Tito drobní producenti pak vejce chtějí prodávat jen jako násadová, protože v tomto segmentu je možné dosáhnout ceny od 0,43 do 1 EUR/ks. Také se více soustřeďují se na chov kuřat, kde také mohou dosáhnout vyššího výdělku. I tak má zatím Srbsko vajec dost a při průměrné roční produkci 1,5 mld. kusů mu zbývá i na export 5-6 mil. kusů měsíčně. Vývoz směřuje především do okolních zemí, jako jsou Bosna a Hercegovina, Severní Makedonie a Černá Hora, ale také do Albánie, a dokonce až do Afriky. Do zemí EU, a tím pádem ani do České republiky, Srbsko svá vejce zatím vyvážet nemůže, protože nemá vyřešena všechna potřebná veterinární osvědčení. Snížení produkce malých farem se kompenzuje navýšením produkce u velkých firem, které se navíc chystají modernizovat chovy a výrobu a přejít z klecových systémů na moderní technologie jako je chov slepic na podestýlce nebo ve volném výběhu. Zde se tak nabízí prostor pro dodávky moderních technologií od českých firem.</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10" w:history="1">
        <w:r w:rsidRPr="00FB2C5D">
          <w:rPr>
            <w:rStyle w:val="Hypertextovodkaz"/>
          </w:rPr>
          <w:t>tereza_cerna@mzv.cz</w:t>
        </w:r>
      </w:hyperlink>
      <w:r w:rsidRPr="00587417">
        <w:rPr>
          <w:rFonts w:cs="Arial"/>
        </w:rPr>
        <w:t xml:space="preserve"> </w:t>
      </w:r>
    </w:p>
    <w:p w14:paraId="5F556EC0" w14:textId="6214FCA6" w:rsidR="009B4B71" w:rsidRPr="009B4B71" w:rsidRDefault="009B4B71" w:rsidP="009B4B71">
      <w:pPr>
        <w:pStyle w:val="Nadpis3"/>
        <w:spacing w:line="276" w:lineRule="auto"/>
        <w:jc w:val="both"/>
      </w:pPr>
      <w:r w:rsidRPr="009B4B71">
        <w:t>FDA zvažuje nový přístup k regulaci CBD a vyjadřuje obavy ohledně obsahu CBD v</w:t>
      </w:r>
      <w:r>
        <w:t> </w:t>
      </w:r>
      <w:r w:rsidRPr="009B4B71">
        <w:t>potravinách a doplňcích stravy</w:t>
      </w:r>
    </w:p>
    <w:p w14:paraId="6B86A46C" w14:textId="15F72A78" w:rsidR="009B4B71" w:rsidRPr="009B4B71" w:rsidRDefault="009B4B71" w:rsidP="009B4B71">
      <w:pPr>
        <w:spacing w:line="276" w:lineRule="auto"/>
        <w:jc w:val="both"/>
      </w:pPr>
      <w:r w:rsidRPr="009B4B71">
        <w:t xml:space="preserve">Stejně jako v Evropě, i v USA se za poslední roky rozšířilo používání </w:t>
      </w:r>
      <w:proofErr w:type="spellStart"/>
      <w:r w:rsidRPr="009B4B71">
        <w:t>kanabidiolu</w:t>
      </w:r>
      <w:proofErr w:type="spellEnd"/>
      <w:r w:rsidRPr="009B4B71">
        <w:t xml:space="preserve"> (CBD) v</w:t>
      </w:r>
      <w:r>
        <w:t> </w:t>
      </w:r>
      <w:r w:rsidRPr="009B4B71">
        <w:t>potravinách a nápojích nebo jako doplňku stravy. A stejně jako v Evropě, ani v USA ještě není zajištěn rámec pro využití, kontrolu a označování těchto produktů. Americký Úřad pro kontrolu potravin a léčiv (FDA) vzhledem nedostatkům na úrovni výzkumu rozhodl, že výrobky s CBD nebudou regulovány jako potraviny nebo doplňky stravy. Pro tuto stále populárnější látku má být vyvinut nový přístup. Agentura rovněž zamítla tři petice spotřebitelů, kteří požadovali, aby FDA povolil uvádět výrobky CBD na trh jako doplňky stravy.</w:t>
      </w:r>
    </w:p>
    <w:p w14:paraId="275EB9EC" w14:textId="77777777" w:rsidR="009B4B71" w:rsidRDefault="009B4B71" w:rsidP="009B4B71">
      <w:pPr>
        <w:spacing w:line="276" w:lineRule="auto"/>
        <w:jc w:val="both"/>
      </w:pPr>
      <w:r>
        <w:t xml:space="preserve">FDA je k aktivnímu řešení regulace produktů s CBD motivována spotřebitelskými organizacemi i vědeckou komunitou, která se tématu užívání CBD věnuje také z hlediska </w:t>
      </w:r>
      <w:hyperlink r:id="rId11" w:history="1">
        <w:r w:rsidRPr="003177C7">
          <w:rPr>
            <w:rStyle w:val="Hypertextovodkaz"/>
          </w:rPr>
          <w:t>obsahu těžkých kovů a ftalátů a přesnosti v označování obsahu CBD.</w:t>
        </w:r>
      </w:hyperlink>
      <w:r>
        <w:t xml:space="preserve"> </w:t>
      </w:r>
      <w:r w:rsidRPr="00D92FF3">
        <w:t>FDA po rozsáhlém šetření provedeném interní pracovní skupinou</w:t>
      </w:r>
      <w:r>
        <w:t xml:space="preserve"> </w:t>
      </w:r>
      <w:r w:rsidRPr="00D92FF3">
        <w:t>dospěl</w:t>
      </w:r>
      <w:r>
        <w:t>a</w:t>
      </w:r>
      <w:r w:rsidRPr="00D92FF3">
        <w:t xml:space="preserve"> k závěru, že pro výrobky s CBD je z</w:t>
      </w:r>
      <w:r>
        <w:t>apotřebí nová regulační úprava</w:t>
      </w:r>
      <w:r w:rsidRPr="00D92FF3">
        <w:t>.</w:t>
      </w:r>
      <w:r>
        <w:t xml:space="preserve"> Očekává se, že na formulaci tohoto rámce bude úřad spolupracovat s Kongresem USA. </w:t>
      </w:r>
    </w:p>
    <w:p w14:paraId="780F61C8" w14:textId="77777777" w:rsidR="009B4B71" w:rsidRPr="00D92FF3" w:rsidRDefault="009B4B71" w:rsidP="009B4B71">
      <w:pPr>
        <w:spacing w:line="276" w:lineRule="auto"/>
        <w:jc w:val="both"/>
      </w:pPr>
      <w:r w:rsidRPr="00D92FF3">
        <w:t xml:space="preserve">Podle </w:t>
      </w:r>
      <w:r>
        <w:t>FDA je</w:t>
      </w:r>
      <w:r w:rsidRPr="00D92FF3">
        <w:t xml:space="preserve"> užívání CBD</w:t>
      </w:r>
      <w:r>
        <w:t xml:space="preserve"> spojeno s</w:t>
      </w:r>
      <w:r w:rsidRPr="00D92FF3">
        <w:t xml:space="preserve"> </w:t>
      </w:r>
      <w:r>
        <w:t>řadou</w:t>
      </w:r>
      <w:r w:rsidRPr="00D92FF3">
        <w:t xml:space="preserve"> bezpečnostních </w:t>
      </w:r>
      <w:r>
        <w:t>rizik</w:t>
      </w:r>
      <w:r w:rsidRPr="00D92FF3">
        <w:t xml:space="preserve"> zejména při dlouhodobém použití. Studie </w:t>
      </w:r>
      <w:r>
        <w:t xml:space="preserve">pracovní skupiny FDA podle jejich vyjádření </w:t>
      </w:r>
      <w:r w:rsidRPr="00D92FF3">
        <w:t>prokázaly možnost poškození jater, interakce s některými léky a možné poškození mužského reprodukčního systému. FDA se rovněž obává rizika působení CBD u některých zranitelných skupin obyvatelstva, jako jsou děti a těhotné.</w:t>
      </w:r>
    </w:p>
    <w:p w14:paraId="012727B4" w14:textId="2CB3FF2B" w:rsidR="009B4B71" w:rsidRDefault="009B4B71" w:rsidP="009B4B71">
      <w:pPr>
        <w:spacing w:line="276" w:lineRule="auto"/>
        <w:jc w:val="both"/>
      </w:pPr>
      <w:r w:rsidRPr="00D92FF3">
        <w:t>Pracovní skupina</w:t>
      </w:r>
      <w:r>
        <w:t xml:space="preserve"> FDA</w:t>
      </w:r>
      <w:r w:rsidRPr="00D92FF3">
        <w:t xml:space="preserve"> </w:t>
      </w:r>
      <w:r>
        <w:t xml:space="preserve">ve </w:t>
      </w:r>
      <w:r w:rsidRPr="00D92FF3">
        <w:t>studi</w:t>
      </w:r>
      <w:r>
        <w:t>i</w:t>
      </w:r>
      <w:r w:rsidRPr="00D92FF3">
        <w:t xml:space="preserve"> </w:t>
      </w:r>
      <w:r>
        <w:t>pracovala s produkty</w:t>
      </w:r>
      <w:r w:rsidRPr="00D92FF3">
        <w:t xml:space="preserve"> na bázi CBD, dostupnou vědeckou literatur</w:t>
      </w:r>
      <w:r>
        <w:t xml:space="preserve">ou </w:t>
      </w:r>
      <w:r w:rsidRPr="00D92FF3">
        <w:t>a studie</w:t>
      </w:r>
      <w:r>
        <w:t xml:space="preserve">mi externích agentur. </w:t>
      </w:r>
      <w:r w:rsidRPr="00D92FF3">
        <w:t>Vzhledem k</w:t>
      </w:r>
      <w:r>
        <w:t> nedostatečně průkazným výstupům</w:t>
      </w:r>
      <w:r w:rsidRPr="00D92FF3">
        <w:t xml:space="preserve"> pracovní skupina</w:t>
      </w:r>
      <w:r>
        <w:t xml:space="preserve"> konstatovala, že není</w:t>
      </w:r>
      <w:r w:rsidRPr="00D92FF3">
        <w:t xml:space="preserve"> schopna definovat, jak</w:t>
      </w:r>
      <w:r>
        <w:t>ým způsobem</w:t>
      </w:r>
      <w:r w:rsidRPr="00D92FF3">
        <w:t xml:space="preserve"> by výrobky na bázi CBD mohly splňovat bezpečnostní normy pro doplňky stravy nebo potravinářské přídatné látky. </w:t>
      </w:r>
      <w:r>
        <w:t>Konkrétně</w:t>
      </w:r>
      <w:r w:rsidRPr="00D92FF3">
        <w:t xml:space="preserve"> například </w:t>
      </w:r>
      <w:r>
        <w:t>nebyly nalezeny</w:t>
      </w:r>
      <w:r w:rsidRPr="00D92FF3">
        <w:t xml:space="preserve"> dostatečné důkazy pro určení, jaké množství CBD lze konzumovat a jak dlouho, aby </w:t>
      </w:r>
      <w:r>
        <w:t xml:space="preserve">nedošlo ke škodlivým účinkům. </w:t>
      </w:r>
    </w:p>
    <w:p w14:paraId="562AC32F" w14:textId="14D91357" w:rsidR="009B4B71" w:rsidRPr="00D92FF3" w:rsidRDefault="009B4B71" w:rsidP="009B4B71">
      <w:pPr>
        <w:spacing w:line="276" w:lineRule="auto"/>
        <w:jc w:val="both"/>
      </w:pPr>
      <w:r w:rsidRPr="00D92FF3">
        <w:t>Evropský úřad pro bezpečnost potravin (EFSA) v červnu 2022 rovněž konstatoval, že nemůže rozhodnout o bezpečnosti CBD jako nové potraviny, a uvedl, že je třeba vyřešit nedostatky v</w:t>
      </w:r>
      <w:r>
        <w:t> informacích</w:t>
      </w:r>
      <w:r w:rsidRPr="00D92FF3">
        <w:t xml:space="preserve"> o této látce, aby bylo možné dospět ke kvalifikovanému závěru.</w:t>
      </w:r>
    </w:p>
    <w:p w14:paraId="649B1C67" w14:textId="3B8AB71A" w:rsidR="00E87201" w:rsidRPr="009B4B71" w:rsidRDefault="00E87201" w:rsidP="00EF76D8">
      <w:pPr>
        <w:spacing w:line="276" w:lineRule="auto"/>
        <w:jc w:val="both"/>
      </w:pP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2" w:history="1">
        <w:r w:rsidRPr="00D4434C">
          <w:rPr>
            <w:rStyle w:val="Hypertextovodkaz"/>
          </w:rPr>
          <w:t>lukas_zamrzla@mzv.cz</w:t>
        </w:r>
      </w:hyperlink>
      <w:r w:rsidR="00D4434C">
        <w:rPr>
          <w:rStyle w:val="Hypertextovodkaz"/>
          <w:rFonts w:cs="Arial"/>
          <w:color w:val="auto"/>
        </w:rPr>
        <w:t xml:space="preserve"> </w:t>
      </w:r>
    </w:p>
    <w:p w14:paraId="2594E85D" w14:textId="77777777" w:rsidR="00546221" w:rsidRPr="00546221" w:rsidRDefault="00546221" w:rsidP="00546221">
      <w:pPr>
        <w:pStyle w:val="Nadpis3"/>
        <w:spacing w:line="276" w:lineRule="auto"/>
        <w:jc w:val="both"/>
      </w:pPr>
      <w:r w:rsidRPr="00546221">
        <w:t>Import do Spojených arabských emirátů ohrožuje nový požadavek vlády</w:t>
      </w:r>
    </w:p>
    <w:p w14:paraId="5CA2F3BA" w14:textId="77777777" w:rsidR="00546221" w:rsidRPr="00546221" w:rsidRDefault="00546221" w:rsidP="00546221">
      <w:pPr>
        <w:spacing w:line="276" w:lineRule="auto"/>
        <w:jc w:val="both"/>
      </w:pPr>
      <w:r w:rsidRPr="00546221">
        <w:t xml:space="preserve">Teprve před několika týdny ohlásilo Ministerstvo zahraničních věcí SAE novou směrnici, která vyžaduje atestaci a oficiální potvrzení importních dokumentů místním úřadem. Aby toho nebylo málo, na uvedení v platnost dala vláda pouze dva měsíce. </w:t>
      </w:r>
    </w:p>
    <w:p w14:paraId="726D0C65" w14:textId="77777777" w:rsidR="00546221" w:rsidRPr="00546221" w:rsidRDefault="00546221" w:rsidP="00546221">
      <w:pPr>
        <w:spacing w:line="276" w:lineRule="auto"/>
        <w:jc w:val="both"/>
      </w:pPr>
      <w:r w:rsidRPr="00546221">
        <w:t xml:space="preserve">Přesněji se jedná o podmínku, aby každý importní dokument včetně faktur, které přesahují 10 000 AED (cca 60 000 Kč), doprovázel oficiální dokument z ministerstva SAE s razítkem. Za každé takové potvrzení bude účtován poplatek 150 AED (cca 900 Kč). </w:t>
      </w:r>
    </w:p>
    <w:p w14:paraId="5C81791F" w14:textId="77777777" w:rsidR="00546221" w:rsidRPr="00546221" w:rsidRDefault="00546221" w:rsidP="00546221">
      <w:pPr>
        <w:spacing w:line="276" w:lineRule="auto"/>
        <w:jc w:val="both"/>
      </w:pPr>
      <w:r w:rsidRPr="00546221">
        <w:t>Situace vystrašila všechny účastníky mezinárodního obchodu, jak exportéry do SAE, tak importéry a distributory. Nejde jen o nárůst ceny za každou položku, která vstoupí na území SAE, ale také o další administraci a případné prodloužení doby pro získání veškerých potřebných dokumentů.</w:t>
      </w:r>
    </w:p>
    <w:p w14:paraId="6E1092F8" w14:textId="77777777" w:rsidR="00546221" w:rsidRPr="00546221" w:rsidRDefault="00546221" w:rsidP="00546221">
      <w:pPr>
        <w:spacing w:line="276" w:lineRule="auto"/>
        <w:jc w:val="both"/>
      </w:pPr>
      <w:r w:rsidRPr="00546221">
        <w:t xml:space="preserve">K této směrnici jsem zatím nepsal širší informace, jelikož není úplně jasné (i přes plánované uplatnění od 1.2. 2023), jestli bude platit a v jakém formátu. O uvedení směrnice v platnost bohužel neinformují ani samostatné celní úřady. </w:t>
      </w:r>
    </w:p>
    <w:p w14:paraId="012F5265" w14:textId="3E1CDCAC" w:rsidR="00546221" w:rsidRDefault="00546221" w:rsidP="00546221">
      <w:pPr>
        <w:spacing w:line="276" w:lineRule="auto"/>
        <w:jc w:val="both"/>
      </w:pPr>
      <w:r w:rsidRPr="00546221">
        <w:t>V posledních týdnech se již objevily emaily od firem, kde je místní importéři na tuto problematiku upozorňovali. Touto formou bych rád uvedl na pravou míru, že směrnice zatím neplatí a situaci řeší veškeré zapojené instituce, včetně Evropské komise</w:t>
      </w:r>
      <w:r w:rsidR="00B8522E">
        <w:t>,</w:t>
      </w:r>
      <w:r w:rsidRPr="00546221">
        <w:t xml:space="preserve"> skrze místní delegaci EU. Pro více informací mě neváhejte kontaktovat.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3" w:history="1">
        <w:r w:rsidR="00DB022E" w:rsidRPr="00D4434C">
          <w:rPr>
            <w:rStyle w:val="Hypertextovodkaz"/>
          </w:rPr>
          <w:t>petr_sochor@mzv.cz</w:t>
        </w:r>
      </w:hyperlink>
    </w:p>
    <w:p w14:paraId="01AF8225" w14:textId="2B5FE5A5" w:rsidR="00E8398C" w:rsidRPr="00E8398C" w:rsidRDefault="00E8398C" w:rsidP="00E8398C">
      <w:pPr>
        <w:pStyle w:val="Nadpis3"/>
        <w:spacing w:line="276" w:lineRule="auto"/>
        <w:jc w:val="both"/>
      </w:pPr>
      <w:r w:rsidRPr="00E8398C">
        <w:t>Libanon – přichází čas tzv. dolarizace?</w:t>
      </w:r>
    </w:p>
    <w:p w14:paraId="45206643" w14:textId="72872609" w:rsidR="00E8398C" w:rsidRPr="00E8398C" w:rsidRDefault="00E8398C" w:rsidP="00E8398C">
      <w:pPr>
        <w:spacing w:line="276" w:lineRule="auto"/>
        <w:jc w:val="both"/>
      </w:pPr>
      <w:r w:rsidRPr="00E8398C">
        <w:t xml:space="preserve">Ministr hospodářství a obchodu přichází s návrhem na opatření, které by umožňovalo supermarketům a dalším maloobchodníkům ocenit dovážené produkty v USD a za dolary je také v maloobchodě nabízet. Důvodem je fakt, že směnný kurs místní měny LBP vůči USD každodenně výrazně kolísá. Ministr je názoru, že toto opatření by mělo platit omezeně, jako tomu bylo v minulosti, zejména v době libanonské občanské války v letech 1975 – 1990. Pokud bude tento návrh schválen a uveden v platnost, maloobchodníci budou muset nadále rozlišovat mezi stanovením ceny v USD a vynucováním platby v dolarech, což zákon stále zakazuje. V takovém případě bude pravděpodobně možné platit i v místní měně na základě aktuálního kurzu. Jaký kurz však budou maloobchodníci akceptovat, není zcela jasné vzhledem k tomu, že v současné době Libanon používá 3 přepočítací kurzy. Místní měna ztratila za poslední tři roky více než 98 % své hodnoty. Hodnota místní měny denně kolísá, což už přivedlo restaurace ke stanovení dolarových plateb. Tomu, kdo USD nemá, přepočítávají restaurace účet tzv. černým kurzem s dodatečnou 10% přirážkou. Výrazné zdražení restauračních služeb je příčinou krachů mnoha restaurací, zejména v oblastech mimo hlavní město Bejrút. Jednoduše řečeno, většina místních obyvatel již nemá dostatek finančních prostředků na návštěvu restaurací. </w:t>
      </w:r>
    </w:p>
    <w:p w14:paraId="0C4CE020" w14:textId="77777777" w:rsidR="00E8398C" w:rsidRDefault="00E8398C" w:rsidP="00E8398C">
      <w:pPr>
        <w:spacing w:line="276" w:lineRule="auto"/>
        <w:jc w:val="both"/>
      </w:pPr>
    </w:p>
    <w:p w14:paraId="06FFE140" w14:textId="26B06C41" w:rsidR="00E8398C" w:rsidRDefault="00E8398C" w:rsidP="00E8398C">
      <w:pPr>
        <w:spacing w:line="276" w:lineRule="auto"/>
        <w:jc w:val="both"/>
      </w:pPr>
      <w:r w:rsidRPr="00E8398C">
        <w:rPr>
          <w:b/>
          <w:bCs/>
        </w:rPr>
        <w:t>Kvalita pohonných hmot</w:t>
      </w:r>
      <w:r w:rsidRPr="00E8398C">
        <w:t xml:space="preserve"> se v Libanonu za posledních několik měsíců výrazně zhoršila. U</w:t>
      </w:r>
      <w:r>
        <w:t> </w:t>
      </w:r>
      <w:r w:rsidRPr="00E8398C">
        <w:t xml:space="preserve">mnoha místních distributorů pohonných hmot, kromě nadnárodní firmy </w:t>
      </w:r>
      <w:proofErr w:type="spellStart"/>
      <w:r w:rsidRPr="00E8398C">
        <w:t>TotalEnergies</w:t>
      </w:r>
      <w:proofErr w:type="spellEnd"/>
      <w:r w:rsidRPr="00E8398C">
        <w:t xml:space="preserve">, byly objeveny nekvalitní pohonné hmoty, které jsou do Libanonu pašované ze zahraničí, zejména z Alžíru a Tunisu. Na základě posledních zjištění vydalo Ministerstvo hospodářství Libanonu přísný zákaz dovozu produktů pod často klamavými názvy jako je průmyslová ropa. Dovozní licence na ropné produkty budou nadále udělovány pouze bezproblémovým společnostem s prokazatelnou historií.   </w:t>
      </w:r>
    </w:p>
    <w:p w14:paraId="5935B5B4" w14:textId="7C88AE27" w:rsidR="00546221" w:rsidRDefault="00546221">
      <w:r>
        <w:br w:type="page"/>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4" w:history="1">
        <w:r w:rsidRPr="00D4434C">
          <w:rPr>
            <w:rStyle w:val="Hypertextovodkaz"/>
          </w:rPr>
          <w:t>irena_leopoldova@mzv.cz</w:t>
        </w:r>
      </w:hyperlink>
      <w:r w:rsidR="00D4434C">
        <w:t xml:space="preserve"> </w:t>
      </w:r>
    </w:p>
    <w:p w14:paraId="2DB9AFC6" w14:textId="77777777" w:rsidR="00E8398C" w:rsidRPr="00E8398C" w:rsidRDefault="00E8398C" w:rsidP="00E8398C">
      <w:pPr>
        <w:pStyle w:val="Nadpis3"/>
        <w:spacing w:line="276" w:lineRule="auto"/>
        <w:jc w:val="both"/>
      </w:pPr>
      <w:r w:rsidRPr="00E8398C">
        <w:t>Nově prodejní automaty s velrybím masem v Japonsku</w:t>
      </w:r>
    </w:p>
    <w:p w14:paraId="479919BE" w14:textId="77777777" w:rsidR="00E8398C" w:rsidRPr="00E8398C" w:rsidRDefault="00E8398C" w:rsidP="00E8398C">
      <w:pPr>
        <w:spacing w:line="276" w:lineRule="auto"/>
        <w:jc w:val="both"/>
      </w:pPr>
      <w:r w:rsidRPr="00E8398C">
        <w:t xml:space="preserve">Japonská velrybářská společnost </w:t>
      </w:r>
      <w:proofErr w:type="spellStart"/>
      <w:r w:rsidRPr="00E8398C">
        <w:t>Kyodo</w:t>
      </w:r>
      <w:proofErr w:type="spellEnd"/>
      <w:r w:rsidRPr="00E8398C">
        <w:t xml:space="preserve"> </w:t>
      </w:r>
      <w:proofErr w:type="spellStart"/>
      <w:r w:rsidRPr="00E8398C">
        <w:t>Senpaku</w:t>
      </w:r>
      <w:proofErr w:type="spellEnd"/>
      <w:r w:rsidRPr="00E8398C">
        <w:t xml:space="preserve"> minulý týden v Jokohamě představila prodejní automaty nabízející velrybí </w:t>
      </w:r>
      <w:proofErr w:type="spellStart"/>
      <w:r w:rsidRPr="00E8398C">
        <w:t>sašimi</w:t>
      </w:r>
      <w:proofErr w:type="spellEnd"/>
      <w:r w:rsidRPr="00E8398C">
        <w:t xml:space="preserve">, velrybí steaky a velrybí slaninu. Očekává, že se jí </w:t>
      </w:r>
      <w:proofErr w:type="gramStart"/>
      <w:r w:rsidRPr="00E8398C">
        <w:t>podaří</w:t>
      </w:r>
      <w:proofErr w:type="gramEnd"/>
      <w:r w:rsidRPr="00E8398C">
        <w:t xml:space="preserve"> oživit prodej potraviny, který již dlouho upadá. Firma nedávno zřídila dva automaty v Tokiu, příští měsíc plánuje zahájit prodej v Ósace a netají se cílem rozšířit do pěti let počet provozoven na rovnou stovku.</w:t>
      </w:r>
    </w:p>
    <w:p w14:paraId="577D6D8E" w14:textId="77777777" w:rsidR="00E8398C" w:rsidRPr="00E8398C" w:rsidRDefault="00E8398C" w:rsidP="00E8398C">
      <w:pPr>
        <w:spacing w:line="276" w:lineRule="auto"/>
        <w:jc w:val="both"/>
      </w:pPr>
      <w:r w:rsidRPr="00E8398C">
        <w:t xml:space="preserve">Dle prezidenta společnosti </w:t>
      </w:r>
      <w:proofErr w:type="spellStart"/>
      <w:r w:rsidRPr="00E8398C">
        <w:t>Hideki</w:t>
      </w:r>
      <w:proofErr w:type="spellEnd"/>
      <w:r w:rsidRPr="00E8398C">
        <w:t xml:space="preserve"> </w:t>
      </w:r>
      <w:proofErr w:type="spellStart"/>
      <w:r w:rsidRPr="00E8398C">
        <w:t>Tokora</w:t>
      </w:r>
      <w:proofErr w:type="spellEnd"/>
      <w:r w:rsidRPr="00E8398C">
        <w:t xml:space="preserve"> mnoho velkých supermarketů kvůli obavám z protestů aktivistů bojujících proti konzumaci velryb, velrybí maso nabízet nechtějí. Mnoho lidí však prý velryby jíst chce, ale nemá si je kde koupit. Právě proto přišel s myšlenkou nabídky velrybího masa v prodejních automatech, jehož prodejní cena je od 1 000 – 3 000 jenů (cca 170 – 520 Kč).</w:t>
      </w:r>
    </w:p>
    <w:p w14:paraId="01E0D122" w14:textId="77777777" w:rsidR="00E8398C" w:rsidRPr="00E8398C" w:rsidRDefault="00E8398C" w:rsidP="00E8398C">
      <w:pPr>
        <w:spacing w:line="276" w:lineRule="auto"/>
        <w:jc w:val="both"/>
      </w:pPr>
      <w:r w:rsidRPr="00E8398C">
        <w:t>Ačkoliv japonská vláda tvrdí, že konzumace velryb je cennou součástí japonské kultury, jejich roční spotřeba dosáhla vrcholu na počátku 60. let 20. století, kdy v roce 1962 činila 233 tis tun. Od té doby neustále klesá, protože se staly cenově dostupné jiné zdroje bílkovin. Podle oficiálních údajů činila spotřeba velrybího masa v Japonsku v roce 2021 pouhých 1 000 tun ve srovnání např s 2,6 milionů tun kuřecího a 1,27 milionů tun hovězího masa.</w:t>
      </w:r>
    </w:p>
    <w:p w14:paraId="28C3B216" w14:textId="77777777" w:rsidR="00E8398C" w:rsidRPr="00E8398C" w:rsidRDefault="00E8398C" w:rsidP="00E8398C">
      <w:pPr>
        <w:spacing w:line="276" w:lineRule="auto"/>
        <w:jc w:val="both"/>
      </w:pPr>
      <w:r w:rsidRPr="00E8398C">
        <w:t>Mezinárodní velrybářská komise (IWC), která dohlíží na ochranu velryb, zakázala komerční lov velryb v roce 1986 poté, co se některé druhy blížily vyhynutí. Japonsko však pokračovalo v lovu velryb pro výzkumné účely. V roce 2019 vystoupilo z IWC a obnovilo komerční lov velryb. Zastánci konzumace velrybího masa poukazují na jeho vysoký obsah bílkovin a nízkou uhlíkovou stopu ve srovnání s jinými druhy masa.</w:t>
      </w:r>
    </w:p>
    <w:p w14:paraId="7693BA53" w14:textId="77777777" w:rsidR="00E8398C" w:rsidRPr="00E8398C" w:rsidRDefault="00E8398C" w:rsidP="00E8398C">
      <w:pPr>
        <w:spacing w:before="120" w:line="276" w:lineRule="auto"/>
        <w:jc w:val="both"/>
      </w:pPr>
      <w:r w:rsidRPr="00E8398C">
        <w:t xml:space="preserve">Zdroj: </w:t>
      </w:r>
      <w:proofErr w:type="spellStart"/>
      <w:r w:rsidRPr="00E8398C">
        <w:t>The</w:t>
      </w:r>
      <w:proofErr w:type="spellEnd"/>
      <w:r w:rsidRPr="00E8398C">
        <w:t xml:space="preserve"> </w:t>
      </w:r>
      <w:proofErr w:type="spellStart"/>
      <w:r w:rsidRPr="00E8398C">
        <w:t>Asahi</w:t>
      </w:r>
      <w:proofErr w:type="spellEnd"/>
      <w:r w:rsidRPr="00E8398C">
        <w:t xml:space="preserve"> </w:t>
      </w:r>
      <w:proofErr w:type="spellStart"/>
      <w:r w:rsidRPr="00E8398C">
        <w:t>Shinbun</w:t>
      </w:r>
      <w:proofErr w:type="spellEnd"/>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5" w:history="1">
        <w:r w:rsidR="00D4434C" w:rsidRPr="00D54C30">
          <w:rPr>
            <w:rStyle w:val="Hypertextovodkaz"/>
          </w:rPr>
          <w:t>artom_lukasov@mzv.cz</w:t>
        </w:r>
      </w:hyperlink>
      <w:r w:rsidR="00D4434C">
        <w:t xml:space="preserve"> </w:t>
      </w:r>
    </w:p>
    <w:p w14:paraId="5514516C" w14:textId="16D02EDC" w:rsidR="00E642E3" w:rsidRPr="00E642E3" w:rsidRDefault="00E642E3" w:rsidP="00E642E3">
      <w:pPr>
        <w:pStyle w:val="Nadpis3"/>
        <w:spacing w:line="276" w:lineRule="auto"/>
        <w:jc w:val="both"/>
      </w:pPr>
      <w:r w:rsidRPr="00E642E3">
        <w:t>Revize státní podpory a dotací v Kazachstánu</w:t>
      </w:r>
    </w:p>
    <w:p w14:paraId="078484D7" w14:textId="05323005" w:rsidR="00E642E3" w:rsidRPr="005F2381" w:rsidRDefault="00E642E3" w:rsidP="00E642E3">
      <w:pPr>
        <w:spacing w:line="276" w:lineRule="auto"/>
        <w:jc w:val="both"/>
        <w:rPr>
          <w:rFonts w:cs="Arial"/>
        </w:rPr>
      </w:pPr>
      <w:r w:rsidRPr="005F2381">
        <w:rPr>
          <w:rFonts w:cs="Arial"/>
        </w:rPr>
        <w:t xml:space="preserve">V Kazachstánu byl revidován </w:t>
      </w:r>
      <w:r>
        <w:rPr>
          <w:rFonts w:cs="Arial"/>
        </w:rPr>
        <w:t>systém</w:t>
      </w:r>
      <w:r w:rsidRPr="005F2381">
        <w:rPr>
          <w:rFonts w:cs="Arial"/>
        </w:rPr>
        <w:t xml:space="preserve"> státní podpo</w:t>
      </w:r>
      <w:r>
        <w:rPr>
          <w:rFonts w:cs="Arial"/>
        </w:rPr>
        <w:t>ry v</w:t>
      </w:r>
      <w:r w:rsidRPr="005F2381">
        <w:rPr>
          <w:rFonts w:cs="Arial"/>
        </w:rPr>
        <w:t xml:space="preserve"> </w:t>
      </w:r>
      <w:proofErr w:type="spellStart"/>
      <w:r w:rsidRPr="005F2381">
        <w:rPr>
          <w:rFonts w:cs="Arial"/>
        </w:rPr>
        <w:t>agroprůmyslové</w:t>
      </w:r>
      <w:r w:rsidR="00546221">
        <w:rPr>
          <w:rFonts w:cs="Arial"/>
        </w:rPr>
        <w:t>m</w:t>
      </w:r>
      <w:proofErr w:type="spellEnd"/>
      <w:r w:rsidRPr="005F2381">
        <w:rPr>
          <w:rFonts w:cs="Arial"/>
        </w:rPr>
        <w:t xml:space="preserve"> komplexu. </w:t>
      </w:r>
      <w:r>
        <w:rPr>
          <w:rFonts w:cs="Arial"/>
        </w:rPr>
        <w:br/>
        <w:t xml:space="preserve">Vláda zpracovala, respektive přepracovala nové postupy v </w:t>
      </w:r>
      <w:r w:rsidRPr="005F2381">
        <w:rPr>
          <w:rFonts w:cs="Arial"/>
        </w:rPr>
        <w:t>dotační</w:t>
      </w:r>
      <w:r>
        <w:rPr>
          <w:rFonts w:cs="Arial"/>
        </w:rPr>
        <w:t>mu</w:t>
      </w:r>
      <w:r w:rsidRPr="005F2381">
        <w:rPr>
          <w:rFonts w:cs="Arial"/>
        </w:rPr>
        <w:t xml:space="preserve"> systém</w:t>
      </w:r>
      <w:r>
        <w:rPr>
          <w:rFonts w:cs="Arial"/>
        </w:rPr>
        <w:t xml:space="preserve">u, nicméně hlavní pilíře </w:t>
      </w:r>
      <w:r w:rsidRPr="005F2381">
        <w:rPr>
          <w:rFonts w:cs="Arial"/>
        </w:rPr>
        <w:t>stávajících pravidel</w:t>
      </w:r>
      <w:r>
        <w:rPr>
          <w:rFonts w:cs="Arial"/>
        </w:rPr>
        <w:t xml:space="preserve"> zachová. </w:t>
      </w:r>
    </w:p>
    <w:p w14:paraId="01E8CF1A" w14:textId="77777777" w:rsidR="00E642E3" w:rsidRPr="004937F4" w:rsidRDefault="00E642E3" w:rsidP="00E642E3">
      <w:pPr>
        <w:spacing w:line="276" w:lineRule="auto"/>
        <w:jc w:val="both"/>
        <w:rPr>
          <w:rFonts w:cs="Arial"/>
          <w:u w:val="single"/>
        </w:rPr>
      </w:pPr>
      <w:r w:rsidRPr="004937F4">
        <w:rPr>
          <w:rFonts w:cs="Arial"/>
          <w:u w:val="single"/>
        </w:rPr>
        <w:t>Změny se nedotknou:</w:t>
      </w:r>
    </w:p>
    <w:p w14:paraId="5B5DC540" w14:textId="77777777" w:rsidR="00E642E3" w:rsidRDefault="00E642E3" w:rsidP="00E642E3">
      <w:pPr>
        <w:pStyle w:val="Odstavecseseznamem"/>
        <w:numPr>
          <w:ilvl w:val="0"/>
          <w:numId w:val="28"/>
        </w:numPr>
        <w:spacing w:after="160" w:line="276" w:lineRule="auto"/>
        <w:jc w:val="both"/>
        <w:rPr>
          <w:rFonts w:cs="Arial"/>
        </w:rPr>
      </w:pPr>
      <w:r w:rsidRPr="00867152">
        <w:rPr>
          <w:rFonts w:cs="Arial"/>
        </w:rPr>
        <w:t xml:space="preserve">Investičních dotací </w:t>
      </w:r>
    </w:p>
    <w:p w14:paraId="376519EB" w14:textId="77777777" w:rsidR="00E642E3" w:rsidRDefault="00E642E3" w:rsidP="00E642E3">
      <w:pPr>
        <w:pStyle w:val="Odstavecseseznamem"/>
        <w:numPr>
          <w:ilvl w:val="0"/>
          <w:numId w:val="28"/>
        </w:numPr>
        <w:spacing w:after="160" w:line="276" w:lineRule="auto"/>
        <w:jc w:val="both"/>
        <w:rPr>
          <w:rFonts w:cs="Arial"/>
        </w:rPr>
      </w:pPr>
      <w:r>
        <w:rPr>
          <w:rFonts w:cs="Arial"/>
        </w:rPr>
        <w:t>D</w:t>
      </w:r>
      <w:r w:rsidRPr="00867152">
        <w:rPr>
          <w:rFonts w:cs="Arial"/>
        </w:rPr>
        <w:t>otování úrokov</w:t>
      </w:r>
      <w:r>
        <w:rPr>
          <w:rFonts w:cs="Arial"/>
        </w:rPr>
        <w:t xml:space="preserve">ých sazeb </w:t>
      </w:r>
      <w:r w:rsidRPr="00867152">
        <w:rPr>
          <w:rFonts w:cs="Arial"/>
        </w:rPr>
        <w:t>z úvěrů a leasingu se snížením saz</w:t>
      </w:r>
      <w:r>
        <w:rPr>
          <w:rFonts w:cs="Arial"/>
        </w:rPr>
        <w:t>eb pr</w:t>
      </w:r>
      <w:r w:rsidRPr="00867152">
        <w:rPr>
          <w:rFonts w:cs="Arial"/>
        </w:rPr>
        <w:t>o dlužníka</w:t>
      </w:r>
    </w:p>
    <w:p w14:paraId="3CA02BE8" w14:textId="77777777" w:rsidR="00E642E3" w:rsidRDefault="00E642E3" w:rsidP="00E642E3">
      <w:pPr>
        <w:pStyle w:val="Odstavecseseznamem"/>
        <w:numPr>
          <w:ilvl w:val="0"/>
          <w:numId w:val="28"/>
        </w:numPr>
        <w:spacing w:after="160" w:line="276" w:lineRule="auto"/>
        <w:jc w:val="both"/>
        <w:rPr>
          <w:rFonts w:cs="Arial"/>
        </w:rPr>
      </w:pPr>
      <w:r>
        <w:rPr>
          <w:rFonts w:cs="Arial"/>
        </w:rPr>
        <w:t>Do</w:t>
      </w:r>
      <w:r w:rsidRPr="00867152">
        <w:rPr>
          <w:rFonts w:cs="Arial"/>
        </w:rPr>
        <w:t>tování pojistného</w:t>
      </w:r>
    </w:p>
    <w:p w14:paraId="67C12D75" w14:textId="77777777" w:rsidR="00E642E3" w:rsidRPr="00867152" w:rsidRDefault="00E642E3" w:rsidP="00546221">
      <w:pPr>
        <w:pStyle w:val="Odstavecseseznamem"/>
        <w:numPr>
          <w:ilvl w:val="0"/>
          <w:numId w:val="28"/>
        </w:numPr>
        <w:spacing w:line="276" w:lineRule="auto"/>
        <w:ind w:left="777" w:hanging="357"/>
        <w:jc w:val="both"/>
        <w:rPr>
          <w:rFonts w:cs="Arial"/>
        </w:rPr>
      </w:pPr>
      <w:r>
        <w:rPr>
          <w:rFonts w:cs="Arial"/>
        </w:rPr>
        <w:t>D</w:t>
      </w:r>
      <w:r w:rsidRPr="00867152">
        <w:rPr>
          <w:rFonts w:cs="Arial"/>
        </w:rPr>
        <w:t>otační</w:t>
      </w:r>
      <w:r>
        <w:rPr>
          <w:rFonts w:cs="Arial"/>
        </w:rPr>
        <w:t>ho</w:t>
      </w:r>
      <w:r w:rsidRPr="00867152">
        <w:rPr>
          <w:rFonts w:cs="Arial"/>
        </w:rPr>
        <w:t xml:space="preserve"> pojištění záruky za úvěr s výší záruky až do výše 85 % jistiny dluhu</w:t>
      </w:r>
    </w:p>
    <w:p w14:paraId="78F9DAF6" w14:textId="77777777" w:rsidR="00E642E3" w:rsidRPr="00BE5DD8" w:rsidRDefault="00E642E3" w:rsidP="00E642E3">
      <w:pPr>
        <w:spacing w:line="276" w:lineRule="auto"/>
        <w:jc w:val="both"/>
        <w:rPr>
          <w:rFonts w:cs="Arial"/>
          <w:u w:val="single"/>
        </w:rPr>
      </w:pPr>
      <w:r w:rsidRPr="00BE5DD8">
        <w:rPr>
          <w:rFonts w:cs="Arial"/>
          <w:u w:val="single"/>
        </w:rPr>
        <w:t>Rostlinná výroba</w:t>
      </w:r>
    </w:p>
    <w:p w14:paraId="2451FA11" w14:textId="77777777" w:rsidR="00E642E3" w:rsidRDefault="00E642E3" w:rsidP="00E642E3">
      <w:pPr>
        <w:pStyle w:val="Odstavecseseznamem"/>
        <w:numPr>
          <w:ilvl w:val="0"/>
          <w:numId w:val="28"/>
        </w:numPr>
        <w:spacing w:after="160" w:line="276" w:lineRule="auto"/>
        <w:jc w:val="both"/>
        <w:rPr>
          <w:rFonts w:cs="Arial"/>
        </w:rPr>
      </w:pPr>
      <w:r>
        <w:rPr>
          <w:rFonts w:cs="Arial"/>
        </w:rPr>
        <w:t>Dotační podmínky v oblasti</w:t>
      </w:r>
      <w:r w:rsidRPr="00867152">
        <w:rPr>
          <w:rFonts w:cs="Arial"/>
        </w:rPr>
        <w:t xml:space="preserve"> rostlinné výrob</w:t>
      </w:r>
      <w:r>
        <w:rPr>
          <w:rFonts w:cs="Arial"/>
        </w:rPr>
        <w:t>y</w:t>
      </w:r>
      <w:r w:rsidRPr="00867152">
        <w:rPr>
          <w:rFonts w:cs="Arial"/>
        </w:rPr>
        <w:t xml:space="preserve"> zůstaly zachovány</w:t>
      </w:r>
      <w:r>
        <w:rPr>
          <w:rFonts w:cs="Arial"/>
        </w:rPr>
        <w:t>, nicméně p</w:t>
      </w:r>
      <w:r w:rsidRPr="00867152">
        <w:rPr>
          <w:rFonts w:cs="Arial"/>
        </w:rPr>
        <w:t xml:space="preserve">ro zvýšení atraktivity pěstování cukrové řepy se zvyšuje </w:t>
      </w:r>
      <w:r>
        <w:rPr>
          <w:rFonts w:cs="Arial"/>
        </w:rPr>
        <w:t>úroveň podpory</w:t>
      </w:r>
      <w:r w:rsidRPr="00867152">
        <w:rPr>
          <w:rFonts w:cs="Arial"/>
        </w:rPr>
        <w:t>.</w:t>
      </w:r>
    </w:p>
    <w:p w14:paraId="77F32AD3" w14:textId="77777777" w:rsidR="00E642E3" w:rsidRDefault="00E642E3" w:rsidP="00546221">
      <w:pPr>
        <w:pStyle w:val="Odstavecseseznamem"/>
        <w:numPr>
          <w:ilvl w:val="0"/>
          <w:numId w:val="28"/>
        </w:numPr>
        <w:spacing w:line="276" w:lineRule="auto"/>
        <w:ind w:left="777" w:hanging="357"/>
        <w:jc w:val="both"/>
        <w:rPr>
          <w:rFonts w:cs="Arial"/>
        </w:rPr>
      </w:pPr>
      <w:r w:rsidRPr="00867152">
        <w:rPr>
          <w:rFonts w:cs="Arial"/>
        </w:rPr>
        <w:t xml:space="preserve">Jediná změna, která bude zavedena, je forma podávání žádosti o dotaci. Komunikace s orgány samosprávy a s ministerstvem nebude již papírová, jak tomu bylo doposud, nýbrž elektronická. Tato změna má </w:t>
      </w:r>
      <w:r>
        <w:rPr>
          <w:rFonts w:cs="Arial"/>
        </w:rPr>
        <w:t xml:space="preserve">eliminovat </w:t>
      </w:r>
      <w:r w:rsidRPr="00867152">
        <w:rPr>
          <w:rFonts w:cs="Arial"/>
        </w:rPr>
        <w:t>korupční rizik</w:t>
      </w:r>
      <w:r>
        <w:rPr>
          <w:rFonts w:cs="Arial"/>
        </w:rPr>
        <w:t xml:space="preserve">a spojená se získáváním dotací. </w:t>
      </w:r>
    </w:p>
    <w:p w14:paraId="46BED9E3" w14:textId="77777777" w:rsidR="00E642E3" w:rsidRPr="00BE5DD8" w:rsidRDefault="00E642E3" w:rsidP="00E642E3">
      <w:pPr>
        <w:spacing w:line="276" w:lineRule="auto"/>
        <w:jc w:val="both"/>
        <w:rPr>
          <w:rFonts w:cs="Arial"/>
          <w:u w:val="single"/>
        </w:rPr>
      </w:pPr>
      <w:r w:rsidRPr="00BE5DD8">
        <w:rPr>
          <w:rFonts w:cs="Arial"/>
          <w:u w:val="single"/>
        </w:rPr>
        <w:t>Živočišná výroba</w:t>
      </w:r>
    </w:p>
    <w:p w14:paraId="22B9AF69" w14:textId="4AA076C8" w:rsidR="00E642E3" w:rsidRDefault="00E642E3" w:rsidP="00E642E3">
      <w:pPr>
        <w:pStyle w:val="Odstavecseseznamem"/>
        <w:numPr>
          <w:ilvl w:val="0"/>
          <w:numId w:val="29"/>
        </w:numPr>
        <w:spacing w:after="160" w:line="276" w:lineRule="auto"/>
        <w:jc w:val="both"/>
        <w:rPr>
          <w:rFonts w:cs="Arial"/>
        </w:rPr>
      </w:pPr>
      <w:r>
        <w:rPr>
          <w:rFonts w:cs="Arial"/>
        </w:rPr>
        <w:t>Pokud jde o chov zvířat, tam z</w:t>
      </w:r>
      <w:r w:rsidRPr="00867152">
        <w:rPr>
          <w:rFonts w:cs="Arial"/>
        </w:rPr>
        <w:t xml:space="preserve">ůstávají při pořizování plemenných zvířat všechny stávající dotační </w:t>
      </w:r>
      <w:r>
        <w:rPr>
          <w:rFonts w:cs="Arial"/>
        </w:rPr>
        <w:t>podmínky</w:t>
      </w:r>
      <w:r w:rsidRPr="00867152">
        <w:rPr>
          <w:rFonts w:cs="Arial"/>
        </w:rPr>
        <w:t xml:space="preserve"> beze změny. </w:t>
      </w:r>
      <w:r>
        <w:rPr>
          <w:rFonts w:cs="Arial"/>
        </w:rPr>
        <w:t xml:space="preserve">V případě dotací </w:t>
      </w:r>
      <w:r w:rsidRPr="00867152">
        <w:rPr>
          <w:rFonts w:cs="Arial"/>
        </w:rPr>
        <w:t xml:space="preserve">chovatelských prací se </w:t>
      </w:r>
      <w:r>
        <w:rPr>
          <w:rFonts w:cs="Arial"/>
        </w:rPr>
        <w:br/>
      </w:r>
      <w:r w:rsidRPr="00867152">
        <w:rPr>
          <w:rFonts w:cs="Arial"/>
        </w:rPr>
        <w:t xml:space="preserve">z důvodu vysokých korupčních rizik </w:t>
      </w:r>
      <w:proofErr w:type="gramStart"/>
      <w:r w:rsidRPr="00867152">
        <w:rPr>
          <w:rFonts w:cs="Arial"/>
        </w:rPr>
        <w:t>ruší</w:t>
      </w:r>
      <w:proofErr w:type="gramEnd"/>
      <w:r w:rsidRPr="00867152">
        <w:rPr>
          <w:rFonts w:cs="Arial"/>
        </w:rPr>
        <w:t xml:space="preserve"> pouze </w:t>
      </w:r>
      <w:r>
        <w:rPr>
          <w:rFonts w:cs="Arial"/>
        </w:rPr>
        <w:t>subvence pro</w:t>
      </w:r>
      <w:r w:rsidRPr="00867152">
        <w:rPr>
          <w:rFonts w:cs="Arial"/>
        </w:rPr>
        <w:t xml:space="preserve"> pronáj</w:t>
      </w:r>
      <w:r w:rsidR="00546221">
        <w:rPr>
          <w:rFonts w:cs="Arial"/>
        </w:rPr>
        <w:t>em</w:t>
      </w:r>
      <w:r w:rsidRPr="00867152">
        <w:rPr>
          <w:rFonts w:cs="Arial"/>
        </w:rPr>
        <w:t xml:space="preserve"> býků</w:t>
      </w:r>
      <w:r>
        <w:rPr>
          <w:rFonts w:cs="Arial"/>
        </w:rPr>
        <w:t xml:space="preserve">. </w:t>
      </w:r>
    </w:p>
    <w:p w14:paraId="488B0FBC" w14:textId="77777777" w:rsidR="00E642E3" w:rsidRPr="00BE5DD8" w:rsidRDefault="00E642E3" w:rsidP="00546221">
      <w:pPr>
        <w:pStyle w:val="Odstavecseseznamem"/>
        <w:numPr>
          <w:ilvl w:val="0"/>
          <w:numId w:val="29"/>
        </w:numPr>
        <w:spacing w:line="276" w:lineRule="auto"/>
        <w:ind w:left="714" w:hanging="357"/>
        <w:jc w:val="both"/>
        <w:rPr>
          <w:rFonts w:cs="Arial"/>
          <w:b/>
          <w:bCs/>
        </w:rPr>
      </w:pPr>
      <w:r w:rsidRPr="00BE5DD8">
        <w:rPr>
          <w:rFonts w:cs="Arial"/>
        </w:rPr>
        <w:t xml:space="preserve">Co se naopak mění, respektive </w:t>
      </w:r>
      <w:proofErr w:type="gramStart"/>
      <w:r w:rsidRPr="00BE5DD8">
        <w:rPr>
          <w:rFonts w:cs="Arial"/>
        </w:rPr>
        <w:t>ruší</w:t>
      </w:r>
      <w:proofErr w:type="gramEnd"/>
      <w:r w:rsidRPr="00BE5DD8">
        <w:rPr>
          <w:rFonts w:cs="Arial"/>
        </w:rPr>
        <w:t xml:space="preserve">, je dotování krůtího masa a vodního ptactva, neboť tyto komodity nepatří </w:t>
      </w:r>
      <w:r>
        <w:rPr>
          <w:rFonts w:cs="Arial"/>
        </w:rPr>
        <w:t xml:space="preserve">podle státu </w:t>
      </w:r>
      <w:r w:rsidRPr="00BE5DD8">
        <w:rPr>
          <w:rFonts w:cs="Arial"/>
        </w:rPr>
        <w:t xml:space="preserve">mezi významné potravinářské produkty. </w:t>
      </w:r>
    </w:p>
    <w:p w14:paraId="19E768CE" w14:textId="77777777" w:rsidR="00E642E3" w:rsidRPr="00BE5DD8" w:rsidRDefault="00E642E3" w:rsidP="00E642E3">
      <w:pPr>
        <w:spacing w:line="276" w:lineRule="auto"/>
        <w:jc w:val="both"/>
        <w:rPr>
          <w:rFonts w:cs="Arial"/>
          <w:u w:val="single"/>
        </w:rPr>
      </w:pPr>
      <w:r w:rsidRPr="00BE5DD8">
        <w:rPr>
          <w:rFonts w:cs="Arial"/>
          <w:u w:val="single"/>
        </w:rPr>
        <w:t>Zpracující průmysl</w:t>
      </w:r>
    </w:p>
    <w:p w14:paraId="5DAC6194" w14:textId="77777777" w:rsidR="00E642E3" w:rsidRDefault="00E642E3" w:rsidP="00546221">
      <w:pPr>
        <w:pStyle w:val="Odstavecseseznamem"/>
        <w:numPr>
          <w:ilvl w:val="0"/>
          <w:numId w:val="29"/>
        </w:numPr>
        <w:spacing w:line="276" w:lineRule="auto"/>
        <w:ind w:left="714" w:hanging="357"/>
        <w:jc w:val="both"/>
        <w:rPr>
          <w:rFonts w:cs="Arial"/>
        </w:rPr>
      </w:pPr>
      <w:r>
        <w:rPr>
          <w:rFonts w:cs="Arial"/>
        </w:rPr>
        <w:t xml:space="preserve">V oblasti „zpracujícího průmyslu“ došlo ke zrušení dotací na náklady spojené se zpracováním pšenice a výroby lepku a bioetanolu. Důvodem je, že se nejedná </w:t>
      </w:r>
      <w:r>
        <w:rPr>
          <w:rFonts w:cs="Arial"/>
        </w:rPr>
        <w:br/>
        <w:t xml:space="preserve">o společensky významné komodity. </w:t>
      </w:r>
    </w:p>
    <w:p w14:paraId="39285431" w14:textId="77777777" w:rsidR="00E642E3" w:rsidRDefault="00E642E3" w:rsidP="00E642E3">
      <w:pPr>
        <w:spacing w:line="276" w:lineRule="auto"/>
        <w:jc w:val="both"/>
        <w:rPr>
          <w:rFonts w:cs="Arial"/>
        </w:rPr>
      </w:pPr>
      <w:r>
        <w:rPr>
          <w:rFonts w:cs="Arial"/>
        </w:rPr>
        <w:t xml:space="preserve">Vláda si těmito změnami v dotační politice slibuje zvýšení efektivity </w:t>
      </w:r>
      <w:r w:rsidRPr="00BE5DD8">
        <w:rPr>
          <w:rFonts w:cs="Arial"/>
        </w:rPr>
        <w:t>státní podpory, posíl</w:t>
      </w:r>
      <w:r>
        <w:rPr>
          <w:rFonts w:cs="Arial"/>
        </w:rPr>
        <w:t xml:space="preserve">ení </w:t>
      </w:r>
      <w:r w:rsidRPr="00BE5DD8">
        <w:rPr>
          <w:rFonts w:cs="Arial"/>
        </w:rPr>
        <w:t xml:space="preserve">kontroly plnění </w:t>
      </w:r>
      <w:r>
        <w:rPr>
          <w:rFonts w:cs="Arial"/>
        </w:rPr>
        <w:t>povinnosti ze strany žadatele</w:t>
      </w:r>
      <w:r w:rsidRPr="00BE5DD8">
        <w:rPr>
          <w:rFonts w:cs="Arial"/>
        </w:rPr>
        <w:t>, maximální eliminac</w:t>
      </w:r>
      <w:r>
        <w:rPr>
          <w:rFonts w:cs="Arial"/>
        </w:rPr>
        <w:t>i</w:t>
      </w:r>
      <w:r w:rsidRPr="00BE5DD8">
        <w:rPr>
          <w:rFonts w:cs="Arial"/>
        </w:rPr>
        <w:t xml:space="preserve"> korupčních rizik </w:t>
      </w:r>
      <w:r>
        <w:rPr>
          <w:rFonts w:cs="Arial"/>
        </w:rPr>
        <w:br/>
      </w:r>
      <w:r w:rsidRPr="00BE5DD8">
        <w:rPr>
          <w:rFonts w:cs="Arial"/>
        </w:rPr>
        <w:t>a zjednodušení postupu při získávání dotací prostřednictvím digitalizace.</w:t>
      </w:r>
      <w:r>
        <w:rPr>
          <w:rFonts w:cs="Arial"/>
        </w:rPr>
        <w:t xml:space="preserve">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6" w:history="1">
        <w:r w:rsidR="00D4434C" w:rsidRPr="00D54C30">
          <w:rPr>
            <w:rStyle w:val="Hypertextovodkaz"/>
          </w:rPr>
          <w:t>lubos.marek@mze.cz</w:t>
        </w:r>
      </w:hyperlink>
      <w:r w:rsidR="00D4434C">
        <w:t xml:space="preserve"> / </w:t>
      </w:r>
      <w:hyperlink r:id="rId17" w:history="1">
        <w:r w:rsidR="00D4434C" w:rsidRPr="00D54C30">
          <w:rPr>
            <w:rStyle w:val="Hypertextovodkaz"/>
          </w:rPr>
          <w:t>commerce_hanoi@mzv.cz</w:t>
        </w:r>
      </w:hyperlink>
      <w:r w:rsidR="00D4434C">
        <w:t xml:space="preserve"> </w:t>
      </w:r>
    </w:p>
    <w:p w14:paraId="4CF29B35" w14:textId="4E69AA00" w:rsidR="00546221" w:rsidRPr="00546221" w:rsidRDefault="00546221" w:rsidP="00546221">
      <w:pPr>
        <w:pStyle w:val="Nadpis3"/>
        <w:spacing w:line="276" w:lineRule="auto"/>
        <w:jc w:val="both"/>
      </w:pPr>
      <w:r w:rsidRPr="00546221">
        <w:t>Vietnam představuje další vakcínu proti africkému moru prasat</w:t>
      </w:r>
    </w:p>
    <w:p w14:paraId="123911DB" w14:textId="36FCCFBD" w:rsidR="00546221" w:rsidRPr="00546221" w:rsidRDefault="00546221" w:rsidP="00546221">
      <w:pPr>
        <w:spacing w:line="276" w:lineRule="auto"/>
        <w:jc w:val="both"/>
      </w:pPr>
      <w:r w:rsidRPr="00546221">
        <w:t>V polovině roku 2022 se VSR prohlásila za první zemi světa, která vyrobila komerční vakcínu proti africkému moru prasat (ASF). Název vakcíny byl NAVET-ASFVAC od společnosti NAVETCO. Ministerstvo zemědělství a rozvoje venkova VSR to tehdy označilo za monumentální událost s tím, že do konce roku 2022 budou ve Vietnamu vyvinuty další 2</w:t>
      </w:r>
      <w:r>
        <w:t> </w:t>
      </w:r>
      <w:r w:rsidRPr="00546221">
        <w:t>vakcíny proti ASF. Při očkování novou vakcínou však docházelo k masovým úhynům prasat.</w:t>
      </w:r>
    </w:p>
    <w:p w14:paraId="5A9441BE" w14:textId="77777777" w:rsidR="00546221" w:rsidRPr="00546221" w:rsidRDefault="00546221" w:rsidP="00546221">
      <w:pPr>
        <w:spacing w:line="276" w:lineRule="auto"/>
        <w:jc w:val="both"/>
      </w:pPr>
      <w:r w:rsidRPr="00546221">
        <w:t>Nyní přichází další vakcína AVAC ASF LIVE společnosti AVAC Vietnam. Tato vakcína se má vyrábět v množství několika milionů dávek za měsíc. Vakcína AVAC ASF LIVE obsahuje živý (genetickou modifikací) oslabený vir, který je kultivovaný na médiu buněčné linie DMAC vyvinuté společností AVAC Vietnam. Vakcína se doporučuje aplikovat ve věku 8-10 týdnů, po 2-4 týdnech začnou prasata vykazovat protilátky a ochrana trvá přibližně 4 měsíce.</w:t>
      </w:r>
    </w:p>
    <w:p w14:paraId="3055B9B4" w14:textId="1050D24A" w:rsidR="00546221" w:rsidRPr="00546221" w:rsidRDefault="00546221" w:rsidP="00546221">
      <w:pPr>
        <w:spacing w:line="276" w:lineRule="auto"/>
        <w:jc w:val="both"/>
      </w:pPr>
      <w:r w:rsidRPr="00546221">
        <w:t>Většina testů probíhala na farmách společnosti CP Vietnam. Po podání více než 600 000 dávek poskytla údajně vakcína AVAC ASF LIVE prasatům na většině farem dobrou imunitní odpověď (95</w:t>
      </w:r>
      <w:r w:rsidR="003316D3">
        <w:t xml:space="preserve"> </w:t>
      </w:r>
      <w:r w:rsidRPr="00546221">
        <w:t>%) a nedocházelo k žádným incidentům.</w:t>
      </w:r>
    </w:p>
    <w:p w14:paraId="2427839A" w14:textId="77777777" w:rsidR="00546221" w:rsidRPr="00546221" w:rsidRDefault="00546221" w:rsidP="00546221">
      <w:pPr>
        <w:spacing w:line="276" w:lineRule="auto"/>
        <w:jc w:val="both"/>
      </w:pPr>
      <w:r w:rsidRPr="00546221">
        <w:t>Na nedávné schůzce Veterinární správy VSR s firmami AVAC Vietnam a CP Vietnam nařídil náměstek ministra zemědělství a rozvoje venkova, aby se urychleně dokončila poslední fáze testování a během února 2023 se uvedla na trh nová vakcína proti africkému moru prasat „made in Vietnam“. Ředitel veterinární správy poblahopřál k počátečnímu úspěchu společnosti AVAC Vietnam a upozornil, že vakcína stále obsahuje určitá rizika, protože od června do listopadu 2022 bylo testováno pouze 4 z 10 šarží vakcín.</w:t>
      </w:r>
    </w:p>
    <w:p w14:paraId="1465AFC3" w14:textId="77777777" w:rsidR="00546221" w:rsidRPr="00546221" w:rsidRDefault="00546221" w:rsidP="00546221">
      <w:pPr>
        <w:spacing w:line="276" w:lineRule="auto"/>
        <w:jc w:val="both"/>
      </w:pPr>
      <w:r w:rsidRPr="00546221">
        <w:t>Během 100 let bylo celosvětově vypracováno více než 4 000 vědeckých výzkumů souvisejících s virem ASF, ale zatím neexistuje žádná účinná vakcína.</w:t>
      </w:r>
    </w:p>
    <w:p w14:paraId="1C14761A" w14:textId="77777777" w:rsidR="00546221" w:rsidRPr="00D9673C" w:rsidRDefault="00546221" w:rsidP="0054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p>
    <w:p w14:paraId="61E1D230" w14:textId="77777777" w:rsidR="00546221" w:rsidRDefault="00546221" w:rsidP="00546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cs="Arial"/>
        </w:rPr>
      </w:pPr>
      <w:r>
        <w:rPr>
          <w:noProof/>
        </w:rPr>
        <w:drawing>
          <wp:inline distT="0" distB="0" distL="0" distR="0" wp14:anchorId="1A856FEC" wp14:editId="7BEEFCB8">
            <wp:extent cx="3429000" cy="2728545"/>
            <wp:effectExtent l="0" t="0" r="0" b="0"/>
            <wp:docPr id="1" name="Picture 1" descr="Vacxin phòng bệnh dịch tả lợn châu Phi  AVAC ASF LIVE do Công ty Cổ phần AVAC Việt Nam nghiên cứu, sản xuất đã được cấp phép lưu hành vào ngày 08/7/2022 và đưa vào sử dụng có giám sát tại các trang trại chăn nuôi l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xin phòng bệnh dịch tả lợn châu Phi  AVAC ASF LIVE do Công ty Cổ phần AVAC Việt Nam nghiên cứu, sản xuất đã được cấp phép lưu hành vào ngày 08/7/2022 và đưa vào sử dụng có giám sát tại các trang trại chăn nuôi lợ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0" cy="2728545"/>
                    </a:xfrm>
                    <a:prstGeom prst="rect">
                      <a:avLst/>
                    </a:prstGeom>
                    <a:noFill/>
                    <a:ln>
                      <a:noFill/>
                    </a:ln>
                  </pic:spPr>
                </pic:pic>
              </a:graphicData>
            </a:graphic>
          </wp:inline>
        </w:drawing>
      </w:r>
    </w:p>
    <w:p w14:paraId="2B595677" w14:textId="77777777" w:rsidR="00546221" w:rsidRPr="00546221" w:rsidRDefault="00546221" w:rsidP="00546221">
      <w:pPr>
        <w:rPr>
          <w:rFonts w:eastAsia="Times New Roman" w:cs="Arial"/>
        </w:rPr>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9"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2E3414BA" w14:textId="77777777" w:rsidR="009B4B71" w:rsidRPr="009B4B71" w:rsidRDefault="009B4B71" w:rsidP="009B4B71">
      <w:pPr>
        <w:pStyle w:val="Nadpis3"/>
        <w:spacing w:line="276" w:lineRule="auto"/>
        <w:jc w:val="both"/>
      </w:pPr>
      <w:r>
        <w:t>V ČR začíná „suchý únor“, v UK skončil „</w:t>
      </w:r>
      <w:r w:rsidRPr="002E24C1">
        <w:t>suchý leden</w:t>
      </w:r>
      <w:r>
        <w:t>“. Jak</w:t>
      </w:r>
      <w:r w:rsidRPr="002E24C1">
        <w:t xml:space="preserve"> ovliv</w:t>
      </w:r>
      <w:r>
        <w:t>nil</w:t>
      </w:r>
      <w:r w:rsidRPr="002E24C1">
        <w:t xml:space="preserve"> prodej</w:t>
      </w:r>
      <w:r>
        <w:t xml:space="preserve"> nealkoholických a nízkoalkoholických nápojů</w:t>
      </w:r>
      <w:r w:rsidRPr="002E24C1">
        <w:t>?</w:t>
      </w:r>
    </w:p>
    <w:p w14:paraId="1F0BF206" w14:textId="2FB99879" w:rsidR="009B4B71" w:rsidRDefault="009B4B71" w:rsidP="009B4B71">
      <w:pPr>
        <w:spacing w:line="276" w:lineRule="auto"/>
        <w:jc w:val="both"/>
      </w:pPr>
      <w:r>
        <w:t xml:space="preserve">Vzhledem k tomu, že se stále více Britů </w:t>
      </w:r>
      <w:proofErr w:type="gramStart"/>
      <w:r>
        <w:t>snaží</w:t>
      </w:r>
      <w:proofErr w:type="gramEnd"/>
      <w:r>
        <w:t xml:space="preserve"> omezit konzumaci alkoholu, je „suchý leden“ považován v Británii za jedno z nejlukrativnějších období roku pro sektor nealkoholických a nízkoalkoholických nápojů a nápojů s nízkým obsahem alkoholu. Znamená však „suchý leden“ skutečně zvýšení prodeje těchto produktů? </w:t>
      </w:r>
    </w:p>
    <w:p w14:paraId="28508A7A" w14:textId="73D5B3D5" w:rsidR="009B4B71" w:rsidRDefault="009B4B71" w:rsidP="009B4B71">
      <w:pPr>
        <w:spacing w:line="276" w:lineRule="auto"/>
        <w:jc w:val="both"/>
      </w:pPr>
      <w:r>
        <w:t xml:space="preserve">Podle nového průzkumu společnosti </w:t>
      </w:r>
      <w:proofErr w:type="spellStart"/>
      <w:r>
        <w:t>Alcohol</w:t>
      </w:r>
      <w:proofErr w:type="spellEnd"/>
      <w:r>
        <w:t xml:space="preserve"> </w:t>
      </w:r>
      <w:proofErr w:type="spellStart"/>
      <w:r>
        <w:t>Change</w:t>
      </w:r>
      <w:proofErr w:type="spellEnd"/>
      <w:r>
        <w:t xml:space="preserve"> UK se letošního suchého ledna hodlalo zúčastnit přibližně 9 milionů britských konzumentů alkoholu, což je o milion více než v lednu 2022. Výzkumná společnost </w:t>
      </w:r>
      <w:proofErr w:type="spellStart"/>
      <w:r>
        <w:t>Kantar</w:t>
      </w:r>
      <w:proofErr w:type="spellEnd"/>
      <w:r>
        <w:t xml:space="preserve"> naznačila, že tato každoroční akce skutečně vedla k nárůstu prodeje nealkoholických a nízkoalkoholických nápojů, a to navzdory pokračujícímu nárůstu životních nákladů, kvůli němuž mnozí spotřebitelé začali omezovat své výdaje. </w:t>
      </w:r>
    </w:p>
    <w:p w14:paraId="34DD29EF" w14:textId="47F6871B" w:rsidR="009B4B71" w:rsidRDefault="009B4B71" w:rsidP="009B4B71">
      <w:pPr>
        <w:spacing w:line="276" w:lineRule="auto"/>
        <w:jc w:val="both"/>
      </w:pPr>
      <w:proofErr w:type="spellStart"/>
      <w:r>
        <w:t>Fraser</w:t>
      </w:r>
      <w:proofErr w:type="spellEnd"/>
      <w:r>
        <w:t xml:space="preserve"> </w:t>
      </w:r>
      <w:proofErr w:type="spellStart"/>
      <w:r>
        <w:t>McKevitt</w:t>
      </w:r>
      <w:proofErr w:type="spellEnd"/>
      <w:r>
        <w:t xml:space="preserve">, vedoucí oddělení maloobchodu a spotřebitelského výzkumu ve společnosti </w:t>
      </w:r>
      <w:proofErr w:type="spellStart"/>
      <w:r>
        <w:t>Kantar</w:t>
      </w:r>
      <w:proofErr w:type="spellEnd"/>
      <w:r>
        <w:t xml:space="preserve">, uvedl: „Zdá se, že se mnoho zákazníků </w:t>
      </w:r>
      <w:proofErr w:type="gramStart"/>
      <w:r>
        <w:t>drží</w:t>
      </w:r>
      <w:proofErr w:type="gramEnd"/>
      <w:r>
        <w:t xml:space="preserve"> svých novoročních předsevzetí.  Z údajů je jasně patrný dopad „suchého ledna“, protože objem prodeje nealkoholických piv a piv s nízkým obsahem alkoholu vzrostl ve srovnání s minulým rokem o 3 %." </w:t>
      </w:r>
    </w:p>
    <w:p w14:paraId="239E97D5" w14:textId="77777777" w:rsidR="009B4B71" w:rsidRDefault="009B4B71" w:rsidP="009B4B71">
      <w:pPr>
        <w:spacing w:line="276" w:lineRule="auto"/>
        <w:jc w:val="both"/>
      </w:pPr>
      <w:r>
        <w:t xml:space="preserve">Někteří experti z odvětví však upozorňují na to, že „suchý leden“ nemusí vždy nutně znamenat zvýšení prodejů u nealkoholických nápojů. Nick </w:t>
      </w:r>
      <w:proofErr w:type="spellStart"/>
      <w:r>
        <w:t>Bodkins</w:t>
      </w:r>
      <w:proofErr w:type="spellEnd"/>
      <w:r>
        <w:t xml:space="preserve">, zakladatel společnosti </w:t>
      </w:r>
      <w:proofErr w:type="spellStart"/>
      <w:r>
        <w:t>Boisson</w:t>
      </w:r>
      <w:proofErr w:type="spellEnd"/>
      <w:r>
        <w:t xml:space="preserve"> (americký prodejce nealkoholických a nízkoalkoholických nápojů) poznamenal, že jejich prodeje mají tendenci dosahovat vrcholu ve stejnou dobu jako prodeje alkoholických nápojů.</w:t>
      </w:r>
    </w:p>
    <w:p w14:paraId="16339056" w14:textId="77777777" w:rsidR="009B4B71" w:rsidRDefault="009B4B71" w:rsidP="009B4B71">
      <w:pPr>
        <w:spacing w:line="276" w:lineRule="auto"/>
        <w:jc w:val="both"/>
      </w:pPr>
      <w:r>
        <w:t xml:space="preserve">Přestože „suchý leden“ v Británii již skončil, experti předpovídají, že prodej nealkoholických/nízkoalkoholických nápojů bude i nadále stoupat po celý rok. Laura </w:t>
      </w:r>
      <w:proofErr w:type="spellStart"/>
      <w:r>
        <w:t>Willoughby</w:t>
      </w:r>
      <w:proofErr w:type="spellEnd"/>
      <w:r>
        <w:t>, spoluzakladatelka společnosti Club Soda, dokonce předpověděla, že se prodeje nealkoholického vína v Británii v roce 2023 vyrovnají prodejům nealkoholického piva.</w:t>
      </w:r>
    </w:p>
    <w:p w14:paraId="5334F16F" w14:textId="77777777" w:rsidR="009B4B71" w:rsidRDefault="00000000" w:rsidP="009B4B71">
      <w:pPr>
        <w:spacing w:before="120"/>
      </w:pPr>
      <w:hyperlink r:id="rId20" w:history="1">
        <w:r w:rsidR="009B4B71" w:rsidRPr="002E24C1">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C106" w14:textId="77777777" w:rsidR="00893815" w:rsidRDefault="00893815" w:rsidP="00D4434C">
      <w:r>
        <w:separator/>
      </w:r>
    </w:p>
  </w:endnote>
  <w:endnote w:type="continuationSeparator" w:id="0">
    <w:p w14:paraId="7F388597" w14:textId="77777777" w:rsidR="00893815" w:rsidRDefault="00893815"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FE15" w14:textId="77777777" w:rsidR="00893815" w:rsidRDefault="00893815" w:rsidP="00D4434C">
      <w:r>
        <w:separator/>
      </w:r>
    </w:p>
  </w:footnote>
  <w:footnote w:type="continuationSeparator" w:id="0">
    <w:p w14:paraId="43275673" w14:textId="77777777" w:rsidR="00893815" w:rsidRDefault="00893815"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FB00B7"/>
    <w:multiLevelType w:val="hybridMultilevel"/>
    <w:tmpl w:val="4CB66F0A"/>
    <w:lvl w:ilvl="0" w:tplc="24AE832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1626BF"/>
    <w:multiLevelType w:val="hybridMultilevel"/>
    <w:tmpl w:val="42CC1E84"/>
    <w:lvl w:ilvl="0" w:tplc="24AE8328">
      <w:numFmt w:val="bullet"/>
      <w:lvlText w:val="-"/>
      <w:lvlJc w:val="left"/>
      <w:pPr>
        <w:ind w:left="780" w:hanging="360"/>
      </w:pPr>
      <w:rPr>
        <w:rFonts w:ascii="Arial" w:eastAsiaTheme="minorHAnsi"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1710006">
    <w:abstractNumId w:val="19"/>
  </w:num>
  <w:num w:numId="2" w16cid:durableId="226494296">
    <w:abstractNumId w:val="15"/>
  </w:num>
  <w:num w:numId="3" w16cid:durableId="1022390450">
    <w:abstractNumId w:val="17"/>
  </w:num>
  <w:num w:numId="4" w16cid:durableId="947809059">
    <w:abstractNumId w:val="11"/>
  </w:num>
  <w:num w:numId="5" w16cid:durableId="1915159043">
    <w:abstractNumId w:val="22"/>
  </w:num>
  <w:num w:numId="6" w16cid:durableId="1765299698">
    <w:abstractNumId w:val="23"/>
  </w:num>
  <w:num w:numId="7" w16cid:durableId="1693191365">
    <w:abstractNumId w:val="18"/>
  </w:num>
  <w:num w:numId="8" w16cid:durableId="1006517667">
    <w:abstractNumId w:val="3"/>
  </w:num>
  <w:num w:numId="9" w16cid:durableId="1368874076">
    <w:abstractNumId w:val="9"/>
  </w:num>
  <w:num w:numId="10" w16cid:durableId="942615090">
    <w:abstractNumId w:val="6"/>
  </w:num>
  <w:num w:numId="11" w16cid:durableId="1085034631">
    <w:abstractNumId w:val="16"/>
  </w:num>
  <w:num w:numId="12" w16cid:durableId="260379781">
    <w:abstractNumId w:val="12"/>
  </w:num>
  <w:num w:numId="13" w16cid:durableId="2054694520">
    <w:abstractNumId w:val="28"/>
  </w:num>
  <w:num w:numId="14" w16cid:durableId="1752316991">
    <w:abstractNumId w:val="8"/>
  </w:num>
  <w:num w:numId="15" w16cid:durableId="76250472">
    <w:abstractNumId w:val="2"/>
  </w:num>
  <w:num w:numId="16" w16cid:durableId="953438912">
    <w:abstractNumId w:val="14"/>
  </w:num>
  <w:num w:numId="17" w16cid:durableId="692147166">
    <w:abstractNumId w:val="7"/>
  </w:num>
  <w:num w:numId="18" w16cid:durableId="1674411749">
    <w:abstractNumId w:val="1"/>
  </w:num>
  <w:num w:numId="19" w16cid:durableId="697392389">
    <w:abstractNumId w:val="26"/>
  </w:num>
  <w:num w:numId="20" w16cid:durableId="1048148051">
    <w:abstractNumId w:val="25"/>
  </w:num>
  <w:num w:numId="21" w16cid:durableId="50814791">
    <w:abstractNumId w:val="0"/>
  </w:num>
  <w:num w:numId="22" w16cid:durableId="413476109">
    <w:abstractNumId w:val="5"/>
  </w:num>
  <w:num w:numId="23" w16cid:durableId="367535914">
    <w:abstractNumId w:val="27"/>
  </w:num>
  <w:num w:numId="24" w16cid:durableId="713844220">
    <w:abstractNumId w:val="13"/>
  </w:num>
  <w:num w:numId="25" w16cid:durableId="180243459">
    <w:abstractNumId w:val="4"/>
  </w:num>
  <w:num w:numId="26" w16cid:durableId="2007512776">
    <w:abstractNumId w:val="20"/>
  </w:num>
  <w:num w:numId="27" w16cid:durableId="1394044966">
    <w:abstractNumId w:val="24"/>
  </w:num>
  <w:num w:numId="28" w16cid:durableId="1319380982">
    <w:abstractNumId w:val="21"/>
  </w:num>
  <w:num w:numId="29" w16cid:durableId="1208568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316D3"/>
    <w:rsid w:val="00370E34"/>
    <w:rsid w:val="003964FA"/>
    <w:rsid w:val="003A4AD2"/>
    <w:rsid w:val="003D2B3B"/>
    <w:rsid w:val="003D56E1"/>
    <w:rsid w:val="0040717D"/>
    <w:rsid w:val="004232BE"/>
    <w:rsid w:val="004559E3"/>
    <w:rsid w:val="004962CD"/>
    <w:rsid w:val="004A6C5B"/>
    <w:rsid w:val="004E6FCD"/>
    <w:rsid w:val="00505C2E"/>
    <w:rsid w:val="005248F4"/>
    <w:rsid w:val="00524BA5"/>
    <w:rsid w:val="00546221"/>
    <w:rsid w:val="00562DE2"/>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D4AB0"/>
    <w:rsid w:val="006E1BB1"/>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77675"/>
    <w:rsid w:val="00886E98"/>
    <w:rsid w:val="00892A59"/>
    <w:rsid w:val="00892E02"/>
    <w:rsid w:val="00893815"/>
    <w:rsid w:val="00897840"/>
    <w:rsid w:val="008A6BB3"/>
    <w:rsid w:val="008A799A"/>
    <w:rsid w:val="008B1038"/>
    <w:rsid w:val="00937595"/>
    <w:rsid w:val="009677BC"/>
    <w:rsid w:val="00974743"/>
    <w:rsid w:val="00993C8E"/>
    <w:rsid w:val="009B4B71"/>
    <w:rsid w:val="00A53226"/>
    <w:rsid w:val="00A91B8F"/>
    <w:rsid w:val="00AB1996"/>
    <w:rsid w:val="00AD54F3"/>
    <w:rsid w:val="00AE3F61"/>
    <w:rsid w:val="00AF51BE"/>
    <w:rsid w:val="00B05BDF"/>
    <w:rsid w:val="00B173B4"/>
    <w:rsid w:val="00B208A7"/>
    <w:rsid w:val="00B27E33"/>
    <w:rsid w:val="00B318F6"/>
    <w:rsid w:val="00B554B9"/>
    <w:rsid w:val="00B8522E"/>
    <w:rsid w:val="00BA6A5B"/>
    <w:rsid w:val="00BC341A"/>
    <w:rsid w:val="00BC3FEE"/>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642E3"/>
    <w:rsid w:val="00E8398C"/>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Revize">
    <w:name w:val="Revision"/>
    <w:hidden/>
    <w:uiPriority w:val="99"/>
    <w:semiHidden/>
    <w:rsid w:val="00B8522E"/>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64478">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9099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petr_sochor@mzv.cz"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ukas_zamrzla@mzv.cz" TargetMode="External"/><Relationship Id="rId17" Type="http://schemas.openxmlformats.org/officeDocument/2006/relationships/hyperlink" Target="mailto:commerce_hanoi@mzv.cz" TargetMode="External"/><Relationship Id="rId2" Type="http://schemas.openxmlformats.org/officeDocument/2006/relationships/numbering" Target="numbering.xml"/><Relationship Id="rId16" Type="http://schemas.openxmlformats.org/officeDocument/2006/relationships/hyperlink" Target="mailto:lubos.marek@mze.cz" TargetMode="External"/><Relationship Id="rId20" Type="http://schemas.openxmlformats.org/officeDocument/2006/relationships/hyperlink" Target="https://drinksretailingnews.co.uk/news/fullstory.php/aid/21394/How_does_Dry_January_impact_low_no_sales__-_analysis_.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35987236/" TargetMode="External"/><Relationship Id="rId5" Type="http://schemas.openxmlformats.org/officeDocument/2006/relationships/webSettings" Target="webSettings.xml"/><Relationship Id="rId15" Type="http://schemas.openxmlformats.org/officeDocument/2006/relationships/hyperlink" Target="mailto:artom_lukasov@mzv.cz" TargetMode="External"/><Relationship Id="rId23" Type="http://schemas.openxmlformats.org/officeDocument/2006/relationships/theme" Target="theme/theme1.xml"/><Relationship Id="rId10" Type="http://schemas.openxmlformats.org/officeDocument/2006/relationships/hyperlink" Target="mailto:tereza_cerna@mzv.cz" TargetMode="External"/><Relationship Id="rId19" Type="http://schemas.openxmlformats.org/officeDocument/2006/relationships/hyperlink" Target="mailto:uktrade@mze.cz"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irena_leopoldova@mzv.cz"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6</Pages>
  <Words>2530</Words>
  <Characters>14928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17424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2023-02-03T12:43:00Z</dcterms:created>
  <dcterms:modified xsi:type="dcterms:W3CDTF">2023-02-03T12:43:00Z</dcterms:modified>
</cp:coreProperties>
</file>