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7D9ACF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0C267E">
        <w:rPr>
          <w:rFonts w:ascii="Arial" w:hAnsi="Arial" w:cs="Arial"/>
          <w:noProof/>
        </w:rPr>
        <w:t>pátek 17. února 2023</w:t>
      </w:r>
      <w:r w:rsidR="00035FAD" w:rsidRPr="00937595">
        <w:rPr>
          <w:rFonts w:ascii="Arial" w:hAnsi="Arial" w:cs="Arial"/>
        </w:rPr>
        <w:fldChar w:fldCharType="end"/>
      </w:r>
    </w:p>
    <w:p w14:paraId="1B3B2156" w14:textId="77777777" w:rsidR="00941F16" w:rsidRPr="00941F16" w:rsidRDefault="00941F16" w:rsidP="00941F16"/>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0E852A50" w14:textId="77777777" w:rsidR="00445B4D" w:rsidRPr="00445B4D" w:rsidRDefault="00445B4D" w:rsidP="00445B4D">
      <w:pPr>
        <w:pStyle w:val="Nadpis3"/>
        <w:spacing w:line="276" w:lineRule="auto"/>
      </w:pPr>
      <w:r w:rsidRPr="00445B4D">
        <w:t>Nové čínské návrhy standardů bezpečnosti potravin otevřené komentářům</w:t>
      </w:r>
    </w:p>
    <w:p w14:paraId="25B4E940" w14:textId="0E71BB1E" w:rsidR="00445B4D" w:rsidRDefault="00445B4D" w:rsidP="00445B4D">
      <w:pPr>
        <w:spacing w:line="276" w:lineRule="auto"/>
        <w:jc w:val="both"/>
        <w:rPr>
          <w:rFonts w:cs="Arial"/>
        </w:rPr>
      </w:pPr>
      <w:r>
        <w:rPr>
          <w:rFonts w:cs="Arial"/>
        </w:rPr>
        <w:t xml:space="preserve">Dne 13. února 2023 zveřejnilo </w:t>
      </w:r>
      <w:r>
        <w:rPr>
          <w:rFonts w:cs="Arial"/>
          <w:i/>
        </w:rPr>
        <w:t>Oddělení standardů bezpečnosti potravin, sledování a vyhodnocování rizik</w:t>
      </w:r>
      <w:r>
        <w:rPr>
          <w:rFonts w:cs="Arial"/>
        </w:rPr>
        <w:t xml:space="preserve"> patřící pod </w:t>
      </w:r>
      <w:r>
        <w:rPr>
          <w:rFonts w:cs="Arial"/>
          <w:i/>
        </w:rPr>
        <w:t>Státní zdravotnickou komisi</w:t>
      </w:r>
      <w:r>
        <w:rPr>
          <w:rFonts w:cs="Arial"/>
        </w:rPr>
        <w:t xml:space="preserve"> Číny 38 nových návrhů standardů bezpečnosti potravin. V tomto balíčku se nachází 12 zcela nových standardů, 21 revidovaných standardů a 5 pozměňovacích listů. Všechny standardy jsou momentálně otevřené komentářům veřejnosti a zástupcům průmyslu. Datum jejich vstupu v platnost tedy zatím není známo. Komentáře a připomínky je možné zasílat prostřednictvím webové stránky do 30. března 2023</w:t>
      </w:r>
      <w:r w:rsidR="000C267E">
        <w:rPr>
          <w:rFonts w:cs="Arial"/>
        </w:rPr>
        <w:t xml:space="preserve"> (</w:t>
      </w:r>
      <w:r w:rsidR="000C267E" w:rsidRPr="000C267E">
        <w:rPr>
          <w:rFonts w:cs="Arial"/>
          <w:i/>
          <w:iCs/>
        </w:rPr>
        <w:t>pozn. zatím odkaz není funkční, budeme dále sledovat</w:t>
      </w:r>
      <w:r w:rsidR="000C267E">
        <w:rPr>
          <w:rFonts w:cs="Arial"/>
        </w:rPr>
        <w:t>)</w:t>
      </w:r>
      <w:r>
        <w:rPr>
          <w:rFonts w:cs="Arial"/>
        </w:rPr>
        <w:t>. Nové a pozměněné standardy se týkají různých druhů polutantů, nutriční fortifikačních látek, potravin pro zvláštní výživu, potravinářských přídatných látek a dalších.</w:t>
      </w:r>
    </w:p>
    <w:p w14:paraId="0F5826DE" w14:textId="5047FEAA" w:rsidR="00EB12F4" w:rsidRPr="00587417" w:rsidRDefault="00445B4D" w:rsidP="00EF76D8">
      <w:pPr>
        <w:spacing w:line="276" w:lineRule="auto"/>
        <w:jc w:val="both"/>
        <w:rPr>
          <w:rFonts w:cs="Arial"/>
        </w:rPr>
      </w:pPr>
      <w:r>
        <w:rPr>
          <w:rFonts w:cs="Arial"/>
        </w:rPr>
        <w:t xml:space="preserve">Jeden ze standardů se týká i kvašených alkoholických nápojů, bude tedy mít dopad na víno, pivo a ovocná vína. Nově má umožňovat, aby se pro výrobu kvašených alkoholických nápojů používaly hlízy a med jako hlavní suroviny. Zavádí limit obsahu formaldehydu ve víně, včetně toho ovocného. U směsných ovocných vín nebude nutné na etiketě uvádět obsah jednotlivých druhů ovoce, ale pouze jejich celkový obsah, což má přispět k ochraně obchodních tajemství výrobců. Vinné </w:t>
      </w:r>
      <w:r w:rsidRPr="00445B4D">
        <w:t>produkty</w:t>
      </w:r>
      <w:r>
        <w:rPr>
          <w:rFonts w:cs="Arial"/>
        </w:rPr>
        <w:t xml:space="preserve"> s obsahem alkoholu pod 10 % budou muset být označeny dobou trvanlivosti.</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66F38957" w14:textId="631E1261" w:rsidR="00941F16" w:rsidRPr="00941F16" w:rsidRDefault="00941F16" w:rsidP="00941F16">
      <w:pPr>
        <w:pStyle w:val="Nadpis3"/>
        <w:spacing w:line="276" w:lineRule="auto"/>
      </w:pPr>
      <w:r w:rsidRPr="00941F16">
        <w:t>Bosna a Hercegovina má deficit v obchodu s alkoholickými nápoji</w:t>
      </w:r>
    </w:p>
    <w:p w14:paraId="1077345B" w14:textId="5B9C9E67" w:rsidR="00524BA5" w:rsidRPr="00BD647F" w:rsidRDefault="00941F16" w:rsidP="00941F16">
      <w:pPr>
        <w:spacing w:line="276" w:lineRule="auto"/>
        <w:jc w:val="both"/>
        <w:rPr>
          <w:rFonts w:cs="Arial"/>
        </w:rPr>
      </w:pPr>
      <w:r w:rsidRPr="00941F16">
        <w:rPr>
          <w:rFonts w:cs="Arial"/>
        </w:rPr>
        <w:t>Portál „e-</w:t>
      </w:r>
      <w:proofErr w:type="spellStart"/>
      <w:r w:rsidRPr="00941F16">
        <w:rPr>
          <w:rFonts w:cs="Arial"/>
        </w:rPr>
        <w:t>Kapija</w:t>
      </w:r>
      <w:proofErr w:type="spellEnd"/>
      <w:r w:rsidRPr="00941F16">
        <w:rPr>
          <w:rFonts w:cs="Arial"/>
        </w:rPr>
        <w:t xml:space="preserve">“ na základě informací od Správy nepřímých daní Bosny a Hercegoviny uvedl, že země měla v roce 2022 výrazný deficit v obchodu s alkoholickými nápoji. Hodnota jejich dovozu činila 118,5 mil. EUR, hodnota vývozu pak pouze 17,2 mil. EUR. Z Bosny a Hercegoviny se v loňském roce nejvíce vyvážely ovocné destiláty a likéry (hodnota 9,2 mil. EUR), dále pak pivo (hodnota 4 mil. EUR) a víno (3,9 mil. EUR). Nejvýznamnějšími odběrateli byly okolní země, zejména Srbsko (5,65 ml. EUR) a Chorvatsko (3,6 mil. EUR). Na třetím místě bosenského vývozu se překvapivě umístilo Slovensko, které odebralo alkoholické nápoje za 2,78 mil. EUR. Do České republiky se pak za loňský rok vyvezlo pouze 10,5 tuny ovocného destilátu v hodnotě cca 78 tis. EUR. Naopak z České republiky se do Bosny a Hercegoviny loni vyvezly destiláty v hodnotě téměř 800 tis. EUR, tedy cca desetkrát více než činila hodnota dovozu. Kromě toho se vyvezlo také české pivo v hodnotě kolem 211 tis. EUR. To ale činí pouze 0,3 % z celkového dovozu piva do této země. Nejvíce piva se do Bosny a Hercegoviny zatím dováží z velkých průmyslových pivovarů ze Srbska, Chorvatska a Slovinska, kde mají své provozy nadnárodní společnosti </w:t>
      </w:r>
      <w:proofErr w:type="spellStart"/>
      <w:r w:rsidRPr="00941F16">
        <w:rPr>
          <w:rFonts w:cs="Arial"/>
        </w:rPr>
        <w:t>Molson</w:t>
      </w:r>
      <w:proofErr w:type="spellEnd"/>
      <w:r w:rsidRPr="00941F16">
        <w:rPr>
          <w:rFonts w:cs="Arial"/>
        </w:rPr>
        <w:t xml:space="preserve"> </w:t>
      </w:r>
      <w:proofErr w:type="spellStart"/>
      <w:r w:rsidRPr="00941F16">
        <w:rPr>
          <w:rFonts w:cs="Arial"/>
        </w:rPr>
        <w:t>Coors</w:t>
      </w:r>
      <w:proofErr w:type="spellEnd"/>
      <w:r w:rsidRPr="00941F16">
        <w:rPr>
          <w:rFonts w:cs="Arial"/>
        </w:rPr>
        <w:t xml:space="preserve"> (</w:t>
      </w:r>
      <w:proofErr w:type="spellStart"/>
      <w:r w:rsidRPr="00941F16">
        <w:rPr>
          <w:rFonts w:cs="Arial"/>
        </w:rPr>
        <w:t>Apatinska</w:t>
      </w:r>
      <w:proofErr w:type="spellEnd"/>
      <w:r w:rsidRPr="00941F16">
        <w:rPr>
          <w:rFonts w:cs="Arial"/>
        </w:rPr>
        <w:t xml:space="preserve"> pivovara, </w:t>
      </w:r>
      <w:proofErr w:type="spellStart"/>
      <w:r w:rsidRPr="00941F16">
        <w:rPr>
          <w:rFonts w:cs="Arial"/>
        </w:rPr>
        <w:t>Zagrebačka</w:t>
      </w:r>
      <w:proofErr w:type="spellEnd"/>
      <w:r w:rsidRPr="00941F16">
        <w:rPr>
          <w:rFonts w:cs="Arial"/>
        </w:rPr>
        <w:t xml:space="preserve"> pivovara), Heineken (</w:t>
      </w:r>
      <w:proofErr w:type="spellStart"/>
      <w:r w:rsidRPr="00941F16">
        <w:rPr>
          <w:rFonts w:cs="Arial"/>
        </w:rPr>
        <w:t>Zaječarska</w:t>
      </w:r>
      <w:proofErr w:type="spellEnd"/>
      <w:r w:rsidRPr="00941F16">
        <w:rPr>
          <w:rFonts w:cs="Arial"/>
        </w:rPr>
        <w:t xml:space="preserve"> pivovara, </w:t>
      </w:r>
      <w:proofErr w:type="spellStart"/>
      <w:r w:rsidRPr="00941F16">
        <w:rPr>
          <w:rFonts w:cs="Arial"/>
        </w:rPr>
        <w:t>Karlovačka</w:t>
      </w:r>
      <w:proofErr w:type="spellEnd"/>
      <w:r w:rsidRPr="00941F16">
        <w:rPr>
          <w:rFonts w:cs="Arial"/>
        </w:rPr>
        <w:t xml:space="preserve"> pivovara, Pivovara Laško a Pivovara Union) a </w:t>
      </w:r>
      <w:proofErr w:type="spellStart"/>
      <w:r w:rsidRPr="00941F16">
        <w:rPr>
          <w:rFonts w:cs="Arial"/>
        </w:rPr>
        <w:t>Carlsberg</w:t>
      </w:r>
      <w:proofErr w:type="spellEnd"/>
      <w:r w:rsidRPr="00941F16">
        <w:rPr>
          <w:rFonts w:cs="Arial"/>
        </w:rPr>
        <w:t xml:space="preserve"> (pivovar </w:t>
      </w:r>
      <w:proofErr w:type="spellStart"/>
      <w:r w:rsidRPr="00941F16">
        <w:rPr>
          <w:rFonts w:cs="Arial"/>
        </w:rPr>
        <w:t>Čelarevo</w:t>
      </w:r>
      <w:proofErr w:type="spellEnd"/>
      <w:r w:rsidRPr="00941F16">
        <w:rPr>
          <w:rFonts w:cs="Arial"/>
        </w:rPr>
        <w:t xml:space="preserve">, pivovar </w:t>
      </w:r>
      <w:proofErr w:type="spellStart"/>
      <w:r w:rsidRPr="00941F16">
        <w:rPr>
          <w:rFonts w:cs="Arial"/>
        </w:rPr>
        <w:t>Koprivnica</w:t>
      </w:r>
      <w:proofErr w:type="spellEnd"/>
      <w:r w:rsidRPr="00941F16">
        <w:rPr>
          <w:rFonts w:cs="Arial"/>
        </w:rPr>
        <w:t xml:space="preserve">). Přesto může být do budoucna pivní </w:t>
      </w:r>
      <w:r w:rsidRPr="00941F16">
        <w:rPr>
          <w:rFonts w:cs="Arial"/>
        </w:rPr>
        <w:lastRenderedPageBreak/>
        <w:t>trh Bosny a Hercegoviny poměrně zajímavý, jelikož kromě levných průmyslových piv se i zde začínají pomalu prodávat i méně známá a dražší tzv. „</w:t>
      </w:r>
      <w:proofErr w:type="spellStart"/>
      <w:r w:rsidRPr="00941F16">
        <w:rPr>
          <w:rFonts w:cs="Arial"/>
        </w:rPr>
        <w:t>craft</w:t>
      </w:r>
      <w:proofErr w:type="spellEnd"/>
      <w:r w:rsidRPr="00941F16">
        <w:rPr>
          <w:rFonts w:cs="Arial"/>
        </w:rPr>
        <w:t xml:space="preserve">“ piva. To by mohla být v budoucnosti příležitost zejména pro menší české pivovary, které na tomto trhu zatím nejsou přítomné. </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10" w:history="1">
        <w:r w:rsidRPr="00FB2C5D">
          <w:rPr>
            <w:rStyle w:val="Hypertextovodkaz"/>
          </w:rPr>
          <w:t>tereza_cerna@mzv.cz</w:t>
        </w:r>
      </w:hyperlink>
      <w:r w:rsidRPr="00587417">
        <w:rPr>
          <w:rFonts w:cs="Arial"/>
        </w:rPr>
        <w:t xml:space="preserve"> </w:t>
      </w:r>
    </w:p>
    <w:p w14:paraId="20752A7B" w14:textId="77777777" w:rsidR="00445B4D" w:rsidRPr="00445B4D" w:rsidRDefault="00445B4D" w:rsidP="00445B4D">
      <w:pPr>
        <w:pStyle w:val="Nadpis3"/>
        <w:spacing w:line="276" w:lineRule="auto"/>
      </w:pPr>
      <w:r w:rsidRPr="00445B4D">
        <w:t>Rok 2023 bude rokem strmého propadu podpory ve formě přímých plateb americkým zemědělským podnikům</w:t>
      </w:r>
    </w:p>
    <w:p w14:paraId="49EB6429" w14:textId="77777777" w:rsidR="00445B4D" w:rsidRPr="00445B4D" w:rsidRDefault="00445B4D" w:rsidP="00445B4D">
      <w:pPr>
        <w:spacing w:line="276" w:lineRule="auto"/>
        <w:jc w:val="both"/>
      </w:pPr>
      <w:r w:rsidRPr="00445B4D">
        <w:t>Vládní přímé platby zemědělcům v USA se v roce 2023 předpokládají ve výši 10,2 miliardy dolarů, což je o 5,4 miliardy dolarů (34,4 %) méně než v roce 2022. Velká část tohoto poklesu ve srovnání s rokem 2022 je způsobena nižšími kompenzacemi a ad hoc pomocí zemědělcům při katastrofách.</w:t>
      </w:r>
    </w:p>
    <w:p w14:paraId="666E4A90" w14:textId="17CECF81" w:rsidR="00445B4D" w:rsidRPr="00445B4D" w:rsidRDefault="00445B4D" w:rsidP="00445B4D">
      <w:pPr>
        <w:spacing w:line="276" w:lineRule="auto"/>
        <w:jc w:val="both"/>
      </w:pPr>
      <w:r w:rsidRPr="00445B4D">
        <w:t xml:space="preserve">Po dvou letech mimořádného růstu se v roce 2023 předpokládá pokles příjmů v zemědělském sektoru Spojených států. Čistý příjem zemědělských podniků se podle prognózy USDA meziročně </w:t>
      </w:r>
      <w:proofErr w:type="gramStart"/>
      <w:r w:rsidRPr="00445B4D">
        <w:t>sníží</w:t>
      </w:r>
      <w:proofErr w:type="gramEnd"/>
      <w:r w:rsidRPr="00445B4D">
        <w:t xml:space="preserve"> o 25,9 miliardy USD (15,9 %) na 136,9 miliardy USD. Tento pokles má následovat po meziročním nárůstu o 46,5 miliardy USD (49,2 %) v roce 2021 a po předpokládaném nárůstu o 21,9 miliardy USD (15,5 %) v roce 2022. V dolarech očištěných o</w:t>
      </w:r>
      <w:r w:rsidR="00181790">
        <w:t> </w:t>
      </w:r>
      <w:r w:rsidRPr="00445B4D">
        <w:t xml:space="preserve">inflaci se čistý příjem zemědělských podniků v roce 2023 podle prognózy </w:t>
      </w:r>
      <w:proofErr w:type="gramStart"/>
      <w:r w:rsidRPr="00445B4D">
        <w:t>sníží</w:t>
      </w:r>
      <w:proofErr w:type="gramEnd"/>
      <w:r w:rsidRPr="00445B4D">
        <w:t xml:space="preserve"> o 30,5 miliardy USD (18,2 %). </w:t>
      </w:r>
    </w:p>
    <w:p w14:paraId="302F7611" w14:textId="77777777" w:rsidR="00445B4D" w:rsidRPr="00445B4D" w:rsidRDefault="00445B4D" w:rsidP="00445B4D">
      <w:pPr>
        <w:spacing w:line="276" w:lineRule="auto"/>
        <w:jc w:val="both"/>
      </w:pPr>
      <w:r w:rsidRPr="00445B4D">
        <w:t>Přímé platby z vládních zemědělských programů Spojených států jsou platby, které federální vláda vyplácí přímo zemědělcům a chovatelům bez zprostředkovatelů. Většinu přímých plateb zemědělcům a farmářům obvykle spravuje USDA na základě zákona o zemědělství. Přímé platby mohou pocházet také z doplňkových programů schválených Kongresem. Vládní platby nezahrnují výplaty odškodnění od Federální společnosti pro pojištění plodin (FCIC) ani zvýhodněné půjčky USDA. Poté, co v kalendářním roce 2020 dosáhly přímé platby z vládních zemědělských programů rekordní výše 45,6 miliardy USD, se v roce 2021 snížily na 25,9 miliardy USD a pro rok 2022 se předpokládá jejich další pokles na 15,6 miliardy USD a v roce 2023 na 10,2 miliardy USD.</w:t>
      </w:r>
    </w:p>
    <w:p w14:paraId="27D13867" w14:textId="11F03BA4" w:rsidR="00445B4D" w:rsidRDefault="00445B4D" w:rsidP="00445B4D">
      <w:pPr>
        <w:spacing w:line="276" w:lineRule="auto"/>
        <w:jc w:val="both"/>
      </w:pPr>
      <w:r w:rsidRPr="00445B4D">
        <w:t>Celkový pokles přímých plateb vládního zemědělského programu oproti roku 2020 bude způsoben především nižšími platbami z mimořádné a ad hoc pomoci při katastrofách, včetně pomoci pro kompenzaci omezení spojených s opatřeními proti COVID-19.</w:t>
      </w:r>
    </w:p>
    <w:p w14:paraId="2E78308C" w14:textId="77777777" w:rsidR="00957D52" w:rsidRDefault="00445B4D" w:rsidP="00957D52">
      <w:pPr>
        <w:spacing w:before="120" w:line="276" w:lineRule="auto"/>
        <w:jc w:val="both"/>
      </w:pPr>
      <w:r w:rsidRPr="00445B4D">
        <w:t>(Zdroj: USDA)</w:t>
      </w:r>
      <w:r w:rsidR="00957D52" w:rsidRPr="00957D52">
        <w:t xml:space="preserve"> </w:t>
      </w:r>
    </w:p>
    <w:p w14:paraId="649B1C67" w14:textId="3D81AB12" w:rsidR="00E87201" w:rsidRPr="008E626B" w:rsidRDefault="00957D52" w:rsidP="00445B4D">
      <w:pPr>
        <w:spacing w:before="120" w:line="276" w:lineRule="auto"/>
        <w:jc w:val="both"/>
        <w:rPr>
          <w:b/>
          <w:bCs/>
          <w:u w:val="single"/>
        </w:rPr>
      </w:pPr>
      <w:r w:rsidRPr="008E626B">
        <w:rPr>
          <w:b/>
          <w:bCs/>
          <w:u w:val="single"/>
        </w:rPr>
        <w:t>GRAF a TABULKA na konci přehledu novinek!</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1" w:history="1">
        <w:r w:rsidRPr="00D4434C">
          <w:rPr>
            <w:rStyle w:val="Hypertextovodkaz"/>
          </w:rPr>
          <w:t>lukas_zamrzla@mzv.cz</w:t>
        </w:r>
      </w:hyperlink>
      <w:r w:rsidR="00D4434C">
        <w:rPr>
          <w:rStyle w:val="Hypertextovodkaz"/>
          <w:rFonts w:cs="Arial"/>
          <w:color w:val="auto"/>
        </w:rPr>
        <w:t xml:space="preserve"> </w:t>
      </w:r>
    </w:p>
    <w:p w14:paraId="2161F741" w14:textId="77777777" w:rsidR="00941F16" w:rsidRPr="00941F16" w:rsidRDefault="00941F16" w:rsidP="00941F16">
      <w:pPr>
        <w:pStyle w:val="Nadpis3"/>
        <w:spacing w:line="276" w:lineRule="auto"/>
      </w:pPr>
      <w:r w:rsidRPr="00941F16">
        <w:t>V Abú Dhabí se po 18 měsících příprav otevřela největší vertikální farma na světě</w:t>
      </w:r>
    </w:p>
    <w:p w14:paraId="46574FE8" w14:textId="77777777" w:rsidR="00941F16" w:rsidRPr="00941F16" w:rsidRDefault="00941F16" w:rsidP="00941F16">
      <w:pPr>
        <w:spacing w:line="276" w:lineRule="auto"/>
        <w:jc w:val="both"/>
        <w:rPr>
          <w:rFonts w:cs="Arial"/>
        </w:rPr>
      </w:pPr>
      <w:r w:rsidRPr="00941F16">
        <w:rPr>
          <w:rFonts w:cs="Arial"/>
        </w:rPr>
        <w:t xml:space="preserve">Po avízech velkých plánů během loňského roku a tiskových konferencích o spolupráci americké firmy </w:t>
      </w:r>
      <w:proofErr w:type="spellStart"/>
      <w:r w:rsidRPr="00941F16">
        <w:rPr>
          <w:rFonts w:cs="Arial"/>
        </w:rPr>
        <w:t>AeroFarms</w:t>
      </w:r>
      <w:proofErr w:type="spellEnd"/>
      <w:r w:rsidRPr="00941F16">
        <w:rPr>
          <w:rFonts w:cs="Arial"/>
        </w:rPr>
        <w:t xml:space="preserve"> a státní </w:t>
      </w:r>
      <w:proofErr w:type="spellStart"/>
      <w:r w:rsidRPr="00941F16">
        <w:rPr>
          <w:rFonts w:cs="Arial"/>
        </w:rPr>
        <w:t>emirátské</w:t>
      </w:r>
      <w:proofErr w:type="spellEnd"/>
      <w:r w:rsidRPr="00941F16">
        <w:rPr>
          <w:rFonts w:cs="Arial"/>
        </w:rPr>
        <w:t xml:space="preserve"> investiční společnosti ADIO, byly konečně 15.2.2023 slavnostně otevřeny dveře největší kryté farmy na světě. </w:t>
      </w:r>
    </w:p>
    <w:p w14:paraId="1EA14236" w14:textId="77777777" w:rsidR="00941F16" w:rsidRPr="00941F16" w:rsidRDefault="00941F16" w:rsidP="00941F16">
      <w:pPr>
        <w:spacing w:line="276" w:lineRule="auto"/>
        <w:jc w:val="both"/>
        <w:rPr>
          <w:rFonts w:cs="Arial"/>
        </w:rPr>
      </w:pPr>
      <w:r w:rsidRPr="00941F16">
        <w:rPr>
          <w:rFonts w:cs="Arial"/>
        </w:rPr>
        <w:t xml:space="preserve">V kryté hale o velikosti 6 000 metrů čtverečních nebude probíhat pouze pěstování zeleniny, ale především výzkum a zkoušení nových technologií. Hlavním cílem projektu je zlepšovat technologie a způsoby krytého zemědělství v místních náročných podmínkách. </w:t>
      </w:r>
    </w:p>
    <w:p w14:paraId="2B75DDAC" w14:textId="77777777" w:rsidR="00941F16" w:rsidRPr="00941F16" w:rsidRDefault="00941F16" w:rsidP="00941F16">
      <w:pPr>
        <w:spacing w:line="276" w:lineRule="auto"/>
        <w:jc w:val="both"/>
        <w:rPr>
          <w:rFonts w:cs="Arial"/>
        </w:rPr>
      </w:pPr>
      <w:proofErr w:type="spellStart"/>
      <w:r w:rsidRPr="00941F16">
        <w:rPr>
          <w:rFonts w:cs="Arial"/>
        </w:rPr>
        <w:t>AeroFarms</w:t>
      </w:r>
      <w:proofErr w:type="spellEnd"/>
      <w:r w:rsidRPr="00941F16">
        <w:rPr>
          <w:rFonts w:cs="Arial"/>
        </w:rPr>
        <w:t xml:space="preserve"> se svou vlastní pobočkou v Abú Dhabí je jednou ze 4 </w:t>
      </w:r>
      <w:proofErr w:type="spellStart"/>
      <w:r w:rsidRPr="00941F16">
        <w:rPr>
          <w:rFonts w:cs="Arial"/>
        </w:rPr>
        <w:t>agro</w:t>
      </w:r>
      <w:proofErr w:type="spellEnd"/>
      <w:r w:rsidRPr="00941F16">
        <w:rPr>
          <w:rFonts w:cs="Arial"/>
        </w:rPr>
        <w:t xml:space="preserve">-technologických firem, které si rozdělily investice 150 milionů USD od státní společnosti Abu Dhabi </w:t>
      </w:r>
      <w:proofErr w:type="spellStart"/>
      <w:r w:rsidRPr="00941F16">
        <w:rPr>
          <w:rFonts w:cs="Arial"/>
        </w:rPr>
        <w:t>Investment</w:t>
      </w:r>
      <w:proofErr w:type="spellEnd"/>
      <w:r w:rsidRPr="00941F16">
        <w:rPr>
          <w:rFonts w:cs="Arial"/>
        </w:rPr>
        <w:t xml:space="preserve"> Office. Hlavním důvodem, proč se americká společnost rozhodla zavítat do SAE, je eminentní zájem země o projekty, které by jinde na světě nedostaly šanci a možnost společnými silami posunout technologie a výzkum moderního zemědělství. </w:t>
      </w:r>
    </w:p>
    <w:p w14:paraId="63C5D0F8" w14:textId="77777777" w:rsidR="00941F16" w:rsidRPr="00941F16" w:rsidRDefault="00941F16" w:rsidP="00941F16">
      <w:pPr>
        <w:spacing w:line="276" w:lineRule="auto"/>
        <w:jc w:val="both"/>
        <w:rPr>
          <w:rFonts w:cs="Arial"/>
        </w:rPr>
      </w:pPr>
      <w:r w:rsidRPr="00941F16">
        <w:rPr>
          <w:rFonts w:cs="Arial"/>
        </w:rPr>
        <w:t xml:space="preserve">Projekt zaměstnává přes 60 specialistů a spoléhá se na spolupráci s univerzitami a místními firmami, které se zaměřují jak na nové technologie, tak na kultivaci rostlin. Slavnostního otevření se zúčastnilo nejvyšší vedení zmíněných firem i státní správy. Úvodní proslov měla ministryně životního prostředí její excelence Mariam </w:t>
      </w:r>
      <w:proofErr w:type="spellStart"/>
      <w:r w:rsidRPr="00941F16">
        <w:rPr>
          <w:rFonts w:cs="Arial"/>
        </w:rPr>
        <w:t>bint</w:t>
      </w:r>
      <w:proofErr w:type="spellEnd"/>
      <w:r w:rsidRPr="00941F16">
        <w:rPr>
          <w:rFonts w:cs="Arial"/>
        </w:rPr>
        <w:t xml:space="preserve"> Mohammed </w:t>
      </w:r>
      <w:proofErr w:type="spellStart"/>
      <w:r w:rsidRPr="00941F16">
        <w:rPr>
          <w:rFonts w:cs="Arial"/>
        </w:rPr>
        <w:t>Saeed</w:t>
      </w:r>
      <w:proofErr w:type="spellEnd"/>
      <w:r w:rsidRPr="00941F16">
        <w:rPr>
          <w:rFonts w:cs="Arial"/>
        </w:rPr>
        <w:t xml:space="preserve"> </w:t>
      </w:r>
      <w:proofErr w:type="spellStart"/>
      <w:r w:rsidRPr="00941F16">
        <w:rPr>
          <w:rFonts w:cs="Arial"/>
        </w:rPr>
        <w:t>Hareb</w:t>
      </w:r>
      <w:proofErr w:type="spellEnd"/>
      <w:r w:rsidRPr="00941F16">
        <w:rPr>
          <w:rFonts w:cs="Arial"/>
        </w:rPr>
        <w:t xml:space="preserve"> </w:t>
      </w:r>
      <w:proofErr w:type="spellStart"/>
      <w:r w:rsidRPr="00941F16">
        <w:rPr>
          <w:rFonts w:cs="Arial"/>
        </w:rPr>
        <w:t>Almheiri</w:t>
      </w:r>
      <w:proofErr w:type="spellEnd"/>
      <w:r w:rsidRPr="00941F16">
        <w:rPr>
          <w:rFonts w:cs="Arial"/>
        </w:rPr>
        <w:t xml:space="preserve">.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38F70A18" w14:textId="595F27B4" w:rsidR="00445B4D" w:rsidRPr="00445B4D" w:rsidRDefault="00445B4D" w:rsidP="00445B4D">
      <w:pPr>
        <w:pStyle w:val="Nadpis3"/>
        <w:spacing w:line="276" w:lineRule="auto"/>
      </w:pPr>
      <w:r w:rsidRPr="00445B4D">
        <w:t>Dodávka 33.000 tun pšenice do Libanonu</w:t>
      </w:r>
    </w:p>
    <w:p w14:paraId="784B0BA3" w14:textId="09CF76E2" w:rsidR="00445B4D" w:rsidRPr="00445B4D" w:rsidRDefault="00445B4D" w:rsidP="00445B4D">
      <w:pPr>
        <w:spacing w:line="276" w:lineRule="auto"/>
        <w:jc w:val="both"/>
      </w:pPr>
      <w:r w:rsidRPr="00445B4D">
        <w:t xml:space="preserve">Dlouho očekávaná dodávka 33.000 tun pšenice pomohla obnovit libanonské zásoby a zajistila dostatečnou </w:t>
      </w:r>
      <w:r w:rsidR="00CD431E" w:rsidRPr="00445B4D">
        <w:t>nabídku chleba</w:t>
      </w:r>
      <w:r w:rsidRPr="00445B4D">
        <w:t xml:space="preserve"> a dalších pšeničných výrobků. První zásilka 33 000 tun pšenice, financovaná v rámci projektu Libanon </w:t>
      </w:r>
      <w:proofErr w:type="spellStart"/>
      <w:r w:rsidRPr="00445B4D">
        <w:t>Wheat</w:t>
      </w:r>
      <w:proofErr w:type="spellEnd"/>
      <w:r w:rsidRPr="00445B4D">
        <w:t xml:space="preserve"> Supply </w:t>
      </w:r>
      <w:proofErr w:type="spellStart"/>
      <w:r w:rsidRPr="00445B4D">
        <w:t>Emergency</w:t>
      </w:r>
      <w:proofErr w:type="spellEnd"/>
      <w:r w:rsidRPr="00445B4D">
        <w:t xml:space="preserve"> Project, dorazila do přístavu Bejrút a v tomto týdnu byla vyložena. Projekt „</w:t>
      </w:r>
      <w:proofErr w:type="spellStart"/>
      <w:r w:rsidRPr="00445B4D">
        <w:t>Wheat</w:t>
      </w:r>
      <w:proofErr w:type="spellEnd"/>
      <w:r w:rsidRPr="00445B4D">
        <w:t xml:space="preserve"> Supply </w:t>
      </w:r>
      <w:proofErr w:type="spellStart"/>
      <w:r w:rsidRPr="00445B4D">
        <w:t>Emergency</w:t>
      </w:r>
      <w:proofErr w:type="spellEnd"/>
      <w:r w:rsidRPr="00445B4D">
        <w:t xml:space="preserve"> Response Project“ zahrnuje grant ve výši 15 milionů USD od </w:t>
      </w:r>
      <w:proofErr w:type="spellStart"/>
      <w:r w:rsidRPr="00445B4D">
        <w:t>Global</w:t>
      </w:r>
      <w:proofErr w:type="spellEnd"/>
      <w:r w:rsidRPr="00445B4D">
        <w:t xml:space="preserve"> </w:t>
      </w:r>
      <w:proofErr w:type="spellStart"/>
      <w:r w:rsidRPr="00445B4D">
        <w:t>Concessional</w:t>
      </w:r>
      <w:proofErr w:type="spellEnd"/>
      <w:r w:rsidRPr="00445B4D">
        <w:t xml:space="preserve"> </w:t>
      </w:r>
      <w:proofErr w:type="spellStart"/>
      <w:r w:rsidRPr="00445B4D">
        <w:t>Financing</w:t>
      </w:r>
      <w:proofErr w:type="spellEnd"/>
      <w:r w:rsidRPr="00445B4D">
        <w:t xml:space="preserve"> Facility (GCFF), fondu vytvořeného v roce 2016 za účelem poskytování zvýhodněného financování zemím s</w:t>
      </w:r>
      <w:r w:rsidR="00181790">
        <w:t> </w:t>
      </w:r>
      <w:r w:rsidRPr="00445B4D">
        <w:t>nízkými příjmy, které současně hostí velké množství uprchlíků. Celá zásilka je ekvivalent asi měsíční spotřebě arabského chleba v </w:t>
      </w:r>
      <w:r w:rsidR="00CD431E" w:rsidRPr="00445B4D">
        <w:t>Libanonu, pomůže</w:t>
      </w:r>
      <w:r w:rsidRPr="00445B4D">
        <w:t xml:space="preserve"> obnovit libanonské zásoby pšenice a zajistí cenově dostupný chléb zejména pro </w:t>
      </w:r>
      <w:r w:rsidR="00CD431E" w:rsidRPr="00445B4D">
        <w:t>chudé domácnosti</w:t>
      </w:r>
      <w:r w:rsidRPr="00445B4D">
        <w:t>. Po této první dodávce bude v následujících měsících roku 2023 následovat několik dalších dodávek s cílem zajistit kontinuitu dodávek pšenice a zachování nabídky chleba.</w:t>
      </w:r>
    </w:p>
    <w:p w14:paraId="720A7302" w14:textId="4BDD5AB7" w:rsidR="00445B4D" w:rsidRPr="00445B4D" w:rsidRDefault="00445B4D" w:rsidP="00445B4D">
      <w:pPr>
        <w:spacing w:line="276" w:lineRule="auto"/>
        <w:jc w:val="both"/>
      </w:pPr>
      <w:r w:rsidRPr="00445B4D">
        <w:t>Projekt v hodnotě 150 milionů USD, který byl schválen v květnu 2022 v reakci na narušení globálního trhu způsobené válkou na Ukrajině, má za cíl zajistit dostupnost pšenice v</w:t>
      </w:r>
      <w:r w:rsidR="00181790">
        <w:t> </w:t>
      </w:r>
      <w:r w:rsidRPr="00445B4D">
        <w:t xml:space="preserve">Libanonu. Libanon dováží téměř 80 % pšenice, kterou spotřebuje, a historicky téměř veškerý tento dovoz pocházel z Ukrajiny a Ruska (v tomto pořadí 80 % a 16 % v roce 2020). Válka na Ukrajině přišla v době, kdy se Libanon potýkal s akutní hospodářskou a finanční krizí, nárůstem nezaměstnanosti, nárůstem chudoby </w:t>
      </w:r>
      <w:r w:rsidR="00CD431E" w:rsidRPr="00445B4D">
        <w:t>a prudkým</w:t>
      </w:r>
      <w:r w:rsidRPr="00445B4D">
        <w:t xml:space="preserve"> nárůstem inflace, zejména inflace potravin, která postihla především chudší vrstvu obyvatel včetně početného stavu uprchlíků. Po explozi v Bejrútském přístavu a zničení přístavních sil, které výrazně snížily domácí skladovací kapacitu, byly dovozy pšenice řešeny způsobem just-in-</w:t>
      </w:r>
      <w:proofErr w:type="spellStart"/>
      <w:r w:rsidRPr="00445B4D">
        <w:t>time</w:t>
      </w:r>
      <w:proofErr w:type="spellEnd"/>
      <w:r w:rsidRPr="00445B4D">
        <w:t xml:space="preserve">. Chléb je nezbytnou součástí jídelníčku nejchudších lidí. Jakékoli narušení hodnotového řetězce pšenice bude mít dopad především na komunitu chudých obyvatel a uprchlíků. Tento projekt reaguje na potřeby </w:t>
      </w:r>
      <w:r w:rsidR="00CD431E" w:rsidRPr="00445B4D">
        <w:t>obyvatel Libanonu</w:t>
      </w:r>
      <w:r w:rsidRPr="00445B4D">
        <w:t xml:space="preserve"> těžce postižených dopadem hospodářské krize, které země čelí. Doplňuje probíhající projekt nouzové sociální záchranné sítě financovaný Světovou bankou.</w:t>
      </w:r>
    </w:p>
    <w:p w14:paraId="15EB0B3D" w14:textId="4AAD3B31" w:rsidR="00445B4D" w:rsidRPr="00445B4D" w:rsidRDefault="00445B4D" w:rsidP="00445B4D">
      <w:pPr>
        <w:spacing w:line="276" w:lineRule="auto"/>
        <w:jc w:val="both"/>
      </w:pPr>
      <w:r w:rsidRPr="00445B4D">
        <w:t xml:space="preserve">Projekt má několik vrstev zmírňujících opatření k zajištění účinné a transparentní implementace činností pod dohledem Světové banky. Patří mezi ně konkurenční proces nákupu pšenice s velkou pozorností na vývoj trhu a cenovou analýzu prostřednictvím technické spolupráce mezi Světovou bankou a FAO, sledování distribuce a spotřeby pšenice, mouky a výrobků z ní včetně spotřeby v celém hodnotovém řetězci. Půjčka Světové banky představuje velkou úlevu celému potravinářskému sektoru se zaměřením zejména </w:t>
      </w:r>
      <w:r w:rsidR="00CD431E" w:rsidRPr="00445B4D">
        <w:t>na potravinovou</w:t>
      </w:r>
      <w:r w:rsidRPr="00445B4D">
        <w:t xml:space="preserve"> bezpečnost.</w:t>
      </w:r>
    </w:p>
    <w:p w14:paraId="30614FFB" w14:textId="11D3D475" w:rsidR="00BD647F" w:rsidRPr="00445B4D" w:rsidRDefault="00445B4D" w:rsidP="00941F16">
      <w:pPr>
        <w:spacing w:before="120" w:line="276" w:lineRule="auto"/>
        <w:jc w:val="both"/>
      </w:pPr>
      <w:r w:rsidRPr="00445B4D">
        <w:t xml:space="preserve">Zdroj: komerční banka </w:t>
      </w:r>
      <w:proofErr w:type="spellStart"/>
      <w:r w:rsidRPr="00445B4D">
        <w:t>Byblos</w:t>
      </w:r>
      <w:proofErr w:type="spellEnd"/>
      <w:r w:rsidRPr="00445B4D">
        <w:t xml:space="preserve"> Bank</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034EF7D3" w14:textId="77777777" w:rsidR="00445B4D" w:rsidRPr="00445B4D" w:rsidRDefault="00445B4D" w:rsidP="00445B4D">
      <w:pPr>
        <w:pStyle w:val="Nadpis3"/>
        <w:spacing w:line="276" w:lineRule="auto"/>
      </w:pPr>
      <w:r w:rsidRPr="00445B4D">
        <w:t>Japonské suši řetězce se mění</w:t>
      </w:r>
    </w:p>
    <w:p w14:paraId="0785FAC6" w14:textId="6B6597C1" w:rsidR="00445B4D" w:rsidRPr="00445B4D" w:rsidRDefault="00445B4D" w:rsidP="00445B4D">
      <w:pPr>
        <w:spacing w:line="276" w:lineRule="auto"/>
        <w:jc w:val="both"/>
      </w:pPr>
      <w:r w:rsidRPr="00445B4D">
        <w:t>Velké japonské řetězce s </w:t>
      </w:r>
      <w:proofErr w:type="spellStart"/>
      <w:r w:rsidRPr="00445B4D">
        <w:t>running</w:t>
      </w:r>
      <w:proofErr w:type="spellEnd"/>
      <w:r w:rsidRPr="00445B4D">
        <w:t xml:space="preserve"> suši zvyšují kontrolu svých výrobků poté, co se v poslední době na sociálních sítích objevila řada videí, které ukazují znepokojivé chování zákazníků například olizující láhve se sójovou omáčku nebo nádobí určené pro ostatní strávníky. Pro toto nevhodné chování se nově zavedl pojem „suši terorismus“.</w:t>
      </w:r>
    </w:p>
    <w:p w14:paraId="39F23C59" w14:textId="1498BC42" w:rsidR="00445B4D" w:rsidRPr="00445B4D" w:rsidRDefault="00445B4D" w:rsidP="00445B4D">
      <w:pPr>
        <w:spacing w:line="276" w:lineRule="auto"/>
        <w:jc w:val="both"/>
      </w:pPr>
      <w:r w:rsidRPr="00445B4D">
        <w:t>Společnost Kura Suši do konce února zavede v provozovnách po celém Japonsku monitorování založené na umělé inteligenci. Pomocí kamer, které jsou již nainstalovány k sledování jezdících pásů, bude detekovat podezřelé chování zákazníků a upozorní na ně zaměstnance. Společnost již nechala nainstalovat kamery, které počítají talíře odebrané zákazníky, a na základě těchto údajů upravuje množství suši, které posílá po pásu a</w:t>
      </w:r>
      <w:r w:rsidR="00181790">
        <w:t> </w:t>
      </w:r>
      <w:r w:rsidRPr="00445B4D">
        <w:t xml:space="preserve">vypočítává částku k zaplacení. </w:t>
      </w:r>
    </w:p>
    <w:p w14:paraId="1D01F891" w14:textId="77777777" w:rsidR="00445B4D" w:rsidRPr="00445B4D" w:rsidRDefault="00445B4D" w:rsidP="00445B4D">
      <w:pPr>
        <w:spacing w:line="276" w:lineRule="auto"/>
        <w:jc w:val="both"/>
      </w:pPr>
      <w:r w:rsidRPr="00445B4D">
        <w:t xml:space="preserve">Řetězec </w:t>
      </w:r>
      <w:proofErr w:type="spellStart"/>
      <w:r w:rsidRPr="00445B4D">
        <w:t>Sushiro</w:t>
      </w:r>
      <w:proofErr w:type="spellEnd"/>
      <w:r w:rsidRPr="00445B4D">
        <w:t xml:space="preserve"> dočasně omezil množství talířů posílaných po pásu pouze na ty, které si objednali zákazníci. Mezi pás a stoly nainstaloval akrylové desky, aby se talířů nikdo nemohl dotknout.</w:t>
      </w:r>
    </w:p>
    <w:p w14:paraId="6FA99FD9" w14:textId="77777777" w:rsidR="00445B4D" w:rsidRPr="00445B4D" w:rsidRDefault="00445B4D" w:rsidP="00445B4D">
      <w:pPr>
        <w:spacing w:line="276" w:lineRule="auto"/>
        <w:jc w:val="both"/>
      </w:pPr>
      <w:r w:rsidRPr="00445B4D">
        <w:t>V minulosti byly suši restaurace drahé podniky, které hosté navštěvovali jen při zvláštních příležitostech. S přechodem na pásy se tato pochoutka dostala k masám. Výhodou bylo především to, že i zákazníci bez znalostí druhů ryb si mohou vybírat pouze podle vzhledu, když kolem nich suši projíždí na pásu. Velký výběr a dostupné ceny udělaly ze suši oblíbené jídlo.</w:t>
      </w:r>
    </w:p>
    <w:p w14:paraId="446A8D11" w14:textId="4E747482" w:rsidR="00445B4D" w:rsidRPr="00445B4D" w:rsidRDefault="00445B4D" w:rsidP="00445B4D">
      <w:pPr>
        <w:spacing w:line="276" w:lineRule="auto"/>
        <w:jc w:val="both"/>
      </w:pPr>
      <w:r w:rsidRPr="00445B4D">
        <w:t>Podstatou tohoto modelu je však přerušení vztahu mezi kuchařem a zákazníkem. Kuchaři v tradičních restauracích připravují suši přímo před očima zákazníků a jsou schopni obsloužit jen několik lidí u jednoho pultu. Zatímco kuchaři v </w:t>
      </w:r>
      <w:proofErr w:type="spellStart"/>
      <w:r w:rsidRPr="00445B4D">
        <w:t>running</w:t>
      </w:r>
      <w:proofErr w:type="spellEnd"/>
      <w:r w:rsidRPr="00445B4D">
        <w:t xml:space="preserve"> suši zůstávají v kuchyni a soustředí se na výrobu suši, často s použitím strojů. Pokud se tyto podniky pokusí učinit přítrž nezákonnému jednání pomocí plastových přepážek, bezpečnostních kamer a dalšího personálu, který by dohlížel na zákazníky, povede to k vyšším nákladům a k dalšímu růstu v poslední době neustále zvyšujících se cen.</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4" w:history="1">
        <w:r w:rsidR="00D4434C" w:rsidRPr="00D54C30">
          <w:rPr>
            <w:rStyle w:val="Hypertextovodkaz"/>
          </w:rPr>
          <w:t>artom_lukasov@mzv.cz</w:t>
        </w:r>
      </w:hyperlink>
      <w:r w:rsidR="00D4434C">
        <w:t xml:space="preserve"> </w:t>
      </w:r>
    </w:p>
    <w:p w14:paraId="19C6C9BA" w14:textId="5C4F6DC8" w:rsidR="00CD431E" w:rsidRDefault="00CD431E" w:rsidP="00CD431E">
      <w:pPr>
        <w:pStyle w:val="Nadpis3"/>
        <w:spacing w:line="276" w:lineRule="auto"/>
        <w:rPr>
          <w:rFonts w:ascii="Arial" w:hAnsi="Arial" w:cs="Arial"/>
          <w:b w:val="0"/>
          <w:bCs w:val="0"/>
        </w:rPr>
      </w:pPr>
      <w:r>
        <w:t>A</w:t>
      </w:r>
      <w:r w:rsidRPr="00CD431E">
        <w:t>ktuální situace s masem v Kazachstánu</w:t>
      </w:r>
    </w:p>
    <w:p w14:paraId="7A35AC80" w14:textId="77777777" w:rsidR="00CD431E" w:rsidRPr="00CD431E" w:rsidRDefault="00CD431E" w:rsidP="00CD431E">
      <w:pPr>
        <w:spacing w:line="276" w:lineRule="auto"/>
        <w:jc w:val="both"/>
      </w:pPr>
      <w:r w:rsidRPr="00CD431E">
        <w:t xml:space="preserve">V roce 2022 se objem vývozu kazašského masa téměř vyrovnal objemu dovozu masných výrobků do Kazachstánu. </w:t>
      </w:r>
    </w:p>
    <w:p w14:paraId="782792B9" w14:textId="77777777" w:rsidR="00CD431E" w:rsidRPr="00CD431E" w:rsidRDefault="00CD431E" w:rsidP="00CD431E">
      <w:pPr>
        <w:spacing w:line="276" w:lineRule="auto"/>
        <w:jc w:val="both"/>
      </w:pPr>
      <w:r w:rsidRPr="00CD431E">
        <w:t xml:space="preserve">Dodávky čerstvého, chlazeného nebo mraženého masa všeho druhu z Kazachstánu do ostatních zemí za leden až listopad r. 2022 činily 38,6 tis. tun, což je o 6,5 % více než za celý rok 2021 a o 66,9 % více než za celý rok 2019, který nebyl ovlivněn koronavirovou krizí. Naopak dovoz masa za 11 měsíců roku 2022 činil 144,5 tis. tun, což je o 45,7 % méně než za celý rok 2021. </w:t>
      </w:r>
    </w:p>
    <w:p w14:paraId="2134B686" w14:textId="77777777" w:rsidR="00CD431E" w:rsidRPr="00CD431E" w:rsidRDefault="00CD431E" w:rsidP="00CD431E">
      <w:pPr>
        <w:spacing w:line="276" w:lineRule="auto"/>
        <w:jc w:val="both"/>
      </w:pPr>
      <w:r w:rsidRPr="00CD431E">
        <w:t xml:space="preserve">Přestože vývoz masa v posledních dvou letech neustále roste a dovoz naopak klesá, stále zde existuje problém s dovozem zpracovaných masných výrobků. Export těchto produktů z Kazachstánu do ostatních zemí je v tomto sektoru mizivý. </w:t>
      </w:r>
    </w:p>
    <w:p w14:paraId="7E4AFB22" w14:textId="77777777" w:rsidR="00CD431E" w:rsidRPr="00CD431E" w:rsidRDefault="00CD431E" w:rsidP="00CD431E">
      <w:pPr>
        <w:spacing w:line="276" w:lineRule="auto"/>
        <w:jc w:val="both"/>
      </w:pPr>
      <w:r w:rsidRPr="00CD431E">
        <w:t xml:space="preserve">Například na zahraniční trhy bylo za 11 měsíců roku 2022 z Kazachstánu vyvezeno jen 149 tun uzenin, naopak do Kazachstánu bylo za stejné období dovezeno 39,1 tis. tun, tedy 262krát více. </w:t>
      </w:r>
    </w:p>
    <w:p w14:paraId="1D9139FF" w14:textId="74517D0D" w:rsidR="00CD431E" w:rsidRPr="00CD431E" w:rsidRDefault="00CD431E" w:rsidP="00CD431E">
      <w:pPr>
        <w:spacing w:line="276" w:lineRule="auto"/>
        <w:jc w:val="both"/>
      </w:pPr>
      <w:r w:rsidRPr="00CD431E">
        <w:t>Pokud jde o pokrytí místní poptávky, tak kazašští zemědělci pokrývají potřeby obyvatel u</w:t>
      </w:r>
      <w:r>
        <w:t> </w:t>
      </w:r>
      <w:r w:rsidRPr="00CD431E">
        <w:t xml:space="preserve">následujících druhů masa takto: jehněčí ze 100 %, hovězí z 98,6 %, koňské maso z 97,5 %, vepřové z 90,3 %. Pokud jde o drůbeží maso, tak 67,4 % je pokryto místní produkcí a 32,6 % </w:t>
      </w:r>
      <w:proofErr w:type="gramStart"/>
      <w:r w:rsidRPr="00CD431E">
        <w:t>tvoří</w:t>
      </w:r>
      <w:proofErr w:type="gramEnd"/>
      <w:r w:rsidRPr="00CD431E">
        <w:t xml:space="preserve"> dovoz. U konzerv pokrývá místní produkce z 62,1 % a 37,9 % tvoří dovoz, a</w:t>
      </w:r>
      <w:r>
        <w:t> </w:t>
      </w:r>
      <w:r w:rsidRPr="00CD431E">
        <w:t>u</w:t>
      </w:r>
      <w:r>
        <w:t> </w:t>
      </w:r>
      <w:r w:rsidRPr="00CD431E">
        <w:t xml:space="preserve">uzenářských výrobků </w:t>
      </w:r>
      <w:proofErr w:type="gramStart"/>
      <w:r w:rsidRPr="00CD431E">
        <w:t>dokáží</w:t>
      </w:r>
      <w:proofErr w:type="gramEnd"/>
      <w:r w:rsidRPr="00CD431E">
        <w:t xml:space="preserve"> místní producenti pokrýt poptávku z 60,3 %, kdežto dovoz tvoří 39,7 %. </w:t>
      </w:r>
    </w:p>
    <w:p w14:paraId="6B89212C" w14:textId="01CBADE2" w:rsidR="00505C2E" w:rsidRPr="00941F16" w:rsidRDefault="00CD431E" w:rsidP="00EF76D8">
      <w:pPr>
        <w:spacing w:line="276" w:lineRule="auto"/>
        <w:jc w:val="both"/>
      </w:pPr>
      <w:r w:rsidRPr="00CD431E">
        <w:t xml:space="preserve">Nutno podotknout, že </w:t>
      </w:r>
      <w:proofErr w:type="spellStart"/>
      <w:r w:rsidRPr="00CD431E">
        <w:t>masozpracující</w:t>
      </w:r>
      <w:proofErr w:type="spellEnd"/>
      <w:r w:rsidRPr="00CD431E">
        <w:t xml:space="preserve"> průmysl se v Kazachstánu rozvíjí pomalu, což je zapříčiněno nedostatkem investic stávajících firem do výstavby velkých konkurenceschopných zpracovatelských komplexů. A zahraniční investoři s investicemi do „</w:t>
      </w:r>
      <w:proofErr w:type="spellStart"/>
      <w:r w:rsidRPr="00CD431E">
        <w:t>masozpracujících</w:t>
      </w:r>
      <w:proofErr w:type="spellEnd"/>
      <w:r w:rsidRPr="00CD431E">
        <w:t xml:space="preserve"> projektů“ kvůli nestabilnímu prostředí zase tak nespěchají.</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5" w:history="1">
        <w:r w:rsidR="00D4434C" w:rsidRPr="00D54C30">
          <w:rPr>
            <w:rStyle w:val="Hypertextovodkaz"/>
          </w:rPr>
          <w:t>lubos.marek@mze.cz</w:t>
        </w:r>
      </w:hyperlink>
      <w:r w:rsidR="00D4434C">
        <w:t xml:space="preserve"> / </w:t>
      </w:r>
      <w:hyperlink r:id="rId16" w:history="1">
        <w:r w:rsidR="00D4434C" w:rsidRPr="00D54C30">
          <w:rPr>
            <w:rStyle w:val="Hypertextovodkaz"/>
          </w:rPr>
          <w:t>commerce_hanoi@mzv.cz</w:t>
        </w:r>
      </w:hyperlink>
      <w:r w:rsidR="00D4434C">
        <w:t xml:space="preserve"> </w:t>
      </w:r>
    </w:p>
    <w:p w14:paraId="5A25F9C0" w14:textId="77777777" w:rsidR="00941F16" w:rsidRPr="00941F16" w:rsidRDefault="00941F16" w:rsidP="00941F16">
      <w:pPr>
        <w:pStyle w:val="Nadpis3"/>
        <w:spacing w:line="276" w:lineRule="auto"/>
      </w:pPr>
      <w:r w:rsidRPr="00941F16">
        <w:t>Čokoládovna Marou otevírá ve Vietnamu nové obchody</w:t>
      </w:r>
    </w:p>
    <w:p w14:paraId="431F2160" w14:textId="77777777" w:rsidR="00941F16" w:rsidRPr="00941F16" w:rsidRDefault="00941F16" w:rsidP="00941F16">
      <w:pPr>
        <w:spacing w:line="276" w:lineRule="auto"/>
        <w:jc w:val="both"/>
      </w:pPr>
      <w:r w:rsidRPr="00941F16">
        <w:t>Konzumace čokolády je ve Vietnamu stále okrajovou záležitostí. Kakaovník se do Vietnamu dostal teprve na konci 19. století a v posledních letech se jeho pěstování i výroba kakaa rozšiřuje. Kakao je však většinou určeno na export. Důvodem, proč se ve vietnamské tradiční kuchyni nesetkáváme s kakaem, je údajně jeho hořkost.</w:t>
      </w:r>
    </w:p>
    <w:p w14:paraId="1C503393" w14:textId="0123D76B" w:rsidR="00941F16" w:rsidRPr="00941F16" w:rsidRDefault="00941F16" w:rsidP="00941F16">
      <w:pPr>
        <w:spacing w:line="276" w:lineRule="auto"/>
        <w:jc w:val="both"/>
      </w:pPr>
      <w:r w:rsidRPr="00941F16">
        <w:t>Malá spotřeba čokolády je dle mého názoru spojená i s poměrně vysokou cenou na trhu. Pultové ceny zahraničních tabulkových čokolád se cenově pohybují od 50 Kč za 100 g a</w:t>
      </w:r>
      <w:r w:rsidR="00181790">
        <w:t> </w:t>
      </w:r>
      <w:r w:rsidRPr="00941F16">
        <w:t>produkty několika místních čokoládoven jsou mizerné.</w:t>
      </w:r>
    </w:p>
    <w:p w14:paraId="4BD73DC2" w14:textId="77777777" w:rsidR="00941F16" w:rsidRPr="00941F16" w:rsidRDefault="00941F16" w:rsidP="00941F16">
      <w:pPr>
        <w:spacing w:line="276" w:lineRule="auto"/>
        <w:jc w:val="both"/>
      </w:pPr>
      <w:r w:rsidRPr="00941F16">
        <w:t xml:space="preserve">Změnu na trhu s cukrovinkami u čokolády přinesla až firma Marou. Za dnes jednoznačně nejznámější značkou čokolády na vietnamském trhu stojí nápad dvou Francouzů, Samuela </w:t>
      </w:r>
      <w:proofErr w:type="spellStart"/>
      <w:r w:rsidRPr="00941F16">
        <w:t>Maruta</w:t>
      </w:r>
      <w:proofErr w:type="spellEnd"/>
      <w:r w:rsidRPr="00941F16">
        <w:t xml:space="preserve"> a Vincenta Mourou, kteří se potkali ve Vietnamu v roce 2010.</w:t>
      </w:r>
    </w:p>
    <w:p w14:paraId="1B690D87" w14:textId="588DB731" w:rsidR="00941F16" w:rsidRPr="00941F16" w:rsidRDefault="00941F16" w:rsidP="00941F16">
      <w:pPr>
        <w:spacing w:line="276" w:lineRule="auto"/>
        <w:jc w:val="both"/>
      </w:pPr>
      <w:r w:rsidRPr="00941F16">
        <w:t xml:space="preserve">Vincent Mourou měl zkušenosti z reklamní agentury, Samuel </w:t>
      </w:r>
      <w:proofErr w:type="spellStart"/>
      <w:r w:rsidRPr="00941F16">
        <w:t>Maruta</w:t>
      </w:r>
      <w:proofErr w:type="spellEnd"/>
      <w:r w:rsidRPr="00941F16">
        <w:t xml:space="preserve"> z oblasti bankovnictví a</w:t>
      </w:r>
      <w:r w:rsidR="00181790">
        <w:t> </w:t>
      </w:r>
      <w:r w:rsidRPr="00941F16">
        <w:t xml:space="preserve">finančnictví. Později v roce 2011 založili společnost na výrobu čokolády s názvem Marou </w:t>
      </w:r>
      <w:proofErr w:type="spellStart"/>
      <w:r w:rsidRPr="00941F16">
        <w:t>Faiseurs</w:t>
      </w:r>
      <w:proofErr w:type="spellEnd"/>
      <w:r w:rsidRPr="00941F16">
        <w:t xml:space="preserve"> de </w:t>
      </w:r>
      <w:proofErr w:type="spellStart"/>
      <w:r w:rsidRPr="00941F16">
        <w:t>Chocolat</w:t>
      </w:r>
      <w:proofErr w:type="spellEnd"/>
      <w:r w:rsidRPr="00941F16">
        <w:t>. Počátky výroby probíhaly doma v kuchyni s mixérem, troubou a</w:t>
      </w:r>
      <w:r w:rsidR="00181790">
        <w:t> </w:t>
      </w:r>
      <w:r w:rsidRPr="00941F16">
        <w:t>dortovými formami. Přesto se firma stala jedním z prvních řemeslných výrobců čokolády v</w:t>
      </w:r>
      <w:r w:rsidR="00181790">
        <w:t> </w:t>
      </w:r>
      <w:r w:rsidRPr="00941F16">
        <w:t>Asii a jednou z mála na světě, která vyrábí čistou hořkou čokoládu přímo tam, kde se pěstuje kakao. Všech sedm čokolád Marou získalo v roce 2022 mezinárodní ocenění.</w:t>
      </w:r>
    </w:p>
    <w:p w14:paraId="2838A38D" w14:textId="2151BF0E" w:rsidR="00941F16" w:rsidRPr="00941F16" w:rsidRDefault="00941F16" w:rsidP="00941F16">
      <w:pPr>
        <w:spacing w:line="276" w:lineRule="auto"/>
        <w:jc w:val="both"/>
      </w:pPr>
      <w:r w:rsidRPr="00941F16">
        <w:t xml:space="preserve">První obchod s názvem </w:t>
      </w:r>
      <w:proofErr w:type="spellStart"/>
      <w:r w:rsidRPr="00941F16">
        <w:t>Maison</w:t>
      </w:r>
      <w:proofErr w:type="spellEnd"/>
      <w:r w:rsidRPr="00941F16">
        <w:t xml:space="preserve"> Marou byl otevřen v roce 2016 v centru Ho Či </w:t>
      </w:r>
      <w:proofErr w:type="spellStart"/>
      <w:r w:rsidRPr="00941F16">
        <w:t>Minova</w:t>
      </w:r>
      <w:proofErr w:type="spellEnd"/>
      <w:r w:rsidRPr="00941F16">
        <w:t xml:space="preserve"> Města a druhý obchod o rok později v Hanoji. Nyní firma oznámila, že </w:t>
      </w:r>
      <w:proofErr w:type="gramStart"/>
      <w:r w:rsidRPr="00941F16">
        <w:t>zvýší</w:t>
      </w:r>
      <w:proofErr w:type="gramEnd"/>
      <w:r w:rsidRPr="00941F16">
        <w:t xml:space="preserve"> počet svých obchodů ze současných osmi na šestnáct. Obchody nabízí cukrovinky, kávu a jiné nápoje. V Marou </w:t>
      </w:r>
      <w:proofErr w:type="gramStart"/>
      <w:r w:rsidRPr="00941F16">
        <w:t>věří</w:t>
      </w:r>
      <w:proofErr w:type="gramEnd"/>
      <w:r w:rsidRPr="00941F16">
        <w:t xml:space="preserve"> v</w:t>
      </w:r>
      <w:r w:rsidR="00181790">
        <w:t> </w:t>
      </w:r>
      <w:r w:rsidRPr="00941F16">
        <w:t xml:space="preserve">potenciál vietnamského trhu a ví, že asijští zákazníci oceňují exkluzivitu a ceny od 200 Kč za 100 g tabulkové čokolády nejsou překážkou. </w:t>
      </w:r>
    </w:p>
    <w:p w14:paraId="1FE711D8" w14:textId="7D890BC6" w:rsidR="00941F16" w:rsidRDefault="00941F16" w:rsidP="00941F16">
      <w:pPr>
        <w:spacing w:line="276" w:lineRule="auto"/>
        <w:jc w:val="both"/>
      </w:pPr>
      <w:r w:rsidRPr="00941F16">
        <w:t xml:space="preserve">Tempo expanze společnosti je pozoruhodné. Kromě excelentního marketingu a PR se firmě podařilo přesvědčit fond soukromé investiční společnosti Mekong </w:t>
      </w:r>
      <w:proofErr w:type="spellStart"/>
      <w:r w:rsidRPr="00941F16">
        <w:t>Capital</w:t>
      </w:r>
      <w:proofErr w:type="spellEnd"/>
      <w:r w:rsidRPr="00941F16">
        <w:t xml:space="preserve">, aby v r. 2021 investoval do výroby čokolády Marou desítky mil. USD. Mekong </w:t>
      </w:r>
      <w:proofErr w:type="spellStart"/>
      <w:r w:rsidRPr="00941F16">
        <w:t>Capital</w:t>
      </w:r>
      <w:proofErr w:type="spellEnd"/>
      <w:r w:rsidRPr="00941F16">
        <w:t xml:space="preserve"> spravuje ¼ mld. USD a zaměřuje se zejména na prosperující vietnamské podniky ve spotřebním průmyslu.</w:t>
      </w:r>
    </w:p>
    <w:p w14:paraId="0D95ADD5" w14:textId="77777777" w:rsidR="00941F16" w:rsidRPr="00941F16" w:rsidRDefault="00941F16" w:rsidP="00941F16">
      <w:pPr>
        <w:spacing w:line="276" w:lineRule="auto"/>
        <w:jc w:val="both"/>
      </w:pPr>
    </w:p>
    <w:p w14:paraId="3414570C" w14:textId="423A8471" w:rsidR="00D4434C" w:rsidRDefault="00941F16" w:rsidP="00941F16">
      <w:pPr>
        <w:spacing w:line="276" w:lineRule="auto"/>
        <w:jc w:val="center"/>
        <w:rPr>
          <w:rFonts w:cs="Arial"/>
        </w:rPr>
      </w:pPr>
      <w:r>
        <w:rPr>
          <w:rFonts w:cs="Arial"/>
          <w:noProof/>
        </w:rPr>
        <w:drawing>
          <wp:inline distT="0" distB="0" distL="0" distR="0" wp14:anchorId="4DE8842B" wp14:editId="6C234933">
            <wp:extent cx="3178411" cy="1787857"/>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180939" cy="1789279"/>
                    </a:xfrm>
                    <a:prstGeom prst="rect">
                      <a:avLst/>
                    </a:prstGeom>
                  </pic:spPr>
                </pic:pic>
              </a:graphicData>
            </a:graphic>
          </wp:inline>
        </w:drawing>
      </w:r>
    </w:p>
    <w:p w14:paraId="59F7C881" w14:textId="77777777" w:rsidR="00941F16" w:rsidRDefault="00941F16" w:rsidP="00941F16">
      <w:pPr>
        <w:spacing w:line="276" w:lineRule="auto"/>
        <w:jc w:val="center"/>
        <w:rPr>
          <w:rFonts w:cs="Arial"/>
        </w:rPr>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F805FED" w14:textId="77777777" w:rsidR="00941F16" w:rsidRPr="00941F16" w:rsidRDefault="00941F16" w:rsidP="00941F16">
      <w:pPr>
        <w:pStyle w:val="Nadpis3"/>
        <w:spacing w:line="276" w:lineRule="auto"/>
      </w:pPr>
      <w:r w:rsidRPr="000518CF">
        <w:t>Nedostatek rajčat v britských supermarketech</w:t>
      </w:r>
    </w:p>
    <w:p w14:paraId="0AECE1C4" w14:textId="77777777" w:rsidR="00941F16" w:rsidRDefault="00941F16" w:rsidP="00941F16">
      <w:pPr>
        <w:spacing w:line="276" w:lineRule="auto"/>
        <w:jc w:val="both"/>
      </w:pPr>
      <w:r>
        <w:t>Britské supermarkety se potýkají s nedostatkem rajčat, protože pěstitelé mají kvůli rostoucím cenám energií problémy s vytápěním skleníků. Produkce rajčat je závislá na vytápění skleníků na 20 stupňů Celsia. Vzhledem k tomu, že náklady na energie stále rostou, museli pěstitelé rajčat omezit nebo odložit výsadbu. Navíc se po brexitu a v souvislosti s novými administrativními kontrolami v zemědělství projevil také nedostatek sezónních pracovních sil z EU, což způsobilo další zpoždění v dodavatelském řetězci rajčat.</w:t>
      </w:r>
    </w:p>
    <w:p w14:paraId="3C9DC770" w14:textId="77777777" w:rsidR="00941F16" w:rsidRDefault="00941F16" w:rsidP="00941F16">
      <w:pPr>
        <w:spacing w:line="276" w:lineRule="auto"/>
        <w:jc w:val="both"/>
      </w:pPr>
      <w:r>
        <w:t>Mluvčí Britské asociace pěstitelů rajčat (BTGA) uvedla: „Velkoobchodní ceny plynu mají dopad na všechny pěstitele a dostupnost rajčat je celosvětový problém. Zvýšení cen energií zůstává hlavním problémem, ale pěstitele rajčat tvrdě zasáhla inflace i v jiných oblastech: „Rostoucí ceny pohonných hmot znamenají, že náklady na dopravu jsou nyní vyšší. Také další vstupní náklady, jako jsou osiva a hnojiva, se zvýšily o 100 až 400 procent. K tomu přistupují kontroly zdravotního stavu semen dovážených do Spojeného království, aby se vyloučily rostlinné viry, které mohou ovlivnit úrodu. Tyto náklady se také přenášejí na pěstitele.“</w:t>
      </w:r>
    </w:p>
    <w:p w14:paraId="0BF8E61D" w14:textId="77777777" w:rsidR="00941F16" w:rsidRDefault="00941F16" w:rsidP="00941F16">
      <w:pPr>
        <w:spacing w:line="276" w:lineRule="auto"/>
        <w:jc w:val="both"/>
      </w:pPr>
      <w:r>
        <w:t xml:space="preserve">Národní unie zemědělců (NFU) však potvrdila, že tyto problémy se v současné době týkají všech pěstitelů ovoce a zeleniny ve Velké Británii – tedy nejen pěstitelů rajčat. Prezidentka NFU </w:t>
      </w:r>
      <w:proofErr w:type="spellStart"/>
      <w:r>
        <w:t>Minette</w:t>
      </w:r>
      <w:proofErr w:type="spellEnd"/>
      <w:r>
        <w:t xml:space="preserve"> </w:t>
      </w:r>
      <w:proofErr w:type="spellStart"/>
      <w:r>
        <w:t>Battersová</w:t>
      </w:r>
      <w:proofErr w:type="spellEnd"/>
      <w:r>
        <w:t xml:space="preserve"> konstatovala: „Britské potraviny jsou ohroženy v době, kdy globální nestabilita ohrožuje světovou produkci potravin, potravinové zabezpečení a energetickou bezpečnost. Obávám se, že Británie </w:t>
      </w:r>
      <w:proofErr w:type="gramStart"/>
      <w:r>
        <w:t>míří</w:t>
      </w:r>
      <w:proofErr w:type="gramEnd"/>
      <w:r>
        <w:t xml:space="preserve"> do další krize v oblasti zásobování potravinami, přičemž budoucnost britských dodávek ovoce a zeleniny je ohrožena.“</w:t>
      </w:r>
    </w:p>
    <w:p w14:paraId="66A09284" w14:textId="77777777" w:rsidR="00941F16" w:rsidRDefault="00941F16" w:rsidP="00941F16">
      <w:pPr>
        <w:spacing w:line="276" w:lineRule="auto"/>
        <w:jc w:val="both"/>
      </w:pPr>
      <w:proofErr w:type="spellStart"/>
      <w:r>
        <w:t>Minette</w:t>
      </w:r>
      <w:proofErr w:type="spellEnd"/>
      <w:r>
        <w:t xml:space="preserve"> </w:t>
      </w:r>
      <w:proofErr w:type="spellStart"/>
      <w:r>
        <w:t>Battersová</w:t>
      </w:r>
      <w:proofErr w:type="spellEnd"/>
      <w:r>
        <w:t xml:space="preserve"> také varovala, že „jsme svědky nejnižší produkce rajčat a okurek v Británii od počátku záznamů v roce 1985“.</w:t>
      </w:r>
    </w:p>
    <w:p w14:paraId="5F5D5329" w14:textId="77777777" w:rsidR="00941F16" w:rsidRDefault="00000000" w:rsidP="00941F16">
      <w:pPr>
        <w:spacing w:before="120"/>
      </w:pPr>
      <w:hyperlink r:id="rId19" w:history="1">
        <w:r w:rsidR="00941F16" w:rsidRPr="000518CF">
          <w:rPr>
            <w:rStyle w:val="Hypertextovodkaz"/>
          </w:rPr>
          <w:t>Zdroj</w:t>
        </w:r>
      </w:hyperlink>
    </w:p>
    <w:p w14:paraId="3AA9FA21" w14:textId="77777777" w:rsidR="008E514B" w:rsidRDefault="008E514B" w:rsidP="00EF76D8">
      <w:pPr>
        <w:spacing w:line="276" w:lineRule="auto"/>
        <w:sectPr w:rsidR="008E514B" w:rsidSect="00941F16">
          <w:footerReference w:type="default" r:id="rId20"/>
          <w:pgSz w:w="11906" w:h="16838"/>
          <w:pgMar w:top="993" w:right="1417" w:bottom="1418" w:left="1417" w:header="708" w:footer="708" w:gutter="0"/>
          <w:cols w:space="708"/>
          <w:docGrid w:linePitch="360"/>
        </w:sectPr>
      </w:pPr>
    </w:p>
    <w:p w14:paraId="2EB47923" w14:textId="33D3805F" w:rsidR="00F36E50" w:rsidRDefault="008E514B" w:rsidP="00EF76D8">
      <w:pPr>
        <w:spacing w:line="276" w:lineRule="auto"/>
      </w:pPr>
      <w:r>
        <w:t>GRAF k článku z USA</w:t>
      </w:r>
    </w:p>
    <w:p w14:paraId="578F3E2B" w14:textId="07880BF0" w:rsidR="008E514B" w:rsidRDefault="008E514B" w:rsidP="00EF76D8">
      <w:pPr>
        <w:spacing w:line="276" w:lineRule="auto"/>
      </w:pPr>
      <w:r>
        <w:rPr>
          <w:noProof/>
        </w:rPr>
        <w:drawing>
          <wp:inline distT="0" distB="0" distL="0" distR="0" wp14:anchorId="1B05BBA5" wp14:editId="45FC6D0D">
            <wp:extent cx="8471140" cy="5972810"/>
            <wp:effectExtent l="0" t="0" r="6350" b="889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3EAD30" w14:textId="4486CA5A" w:rsidR="008E514B" w:rsidRDefault="008E514B" w:rsidP="00EF76D8">
      <w:pPr>
        <w:spacing w:line="276" w:lineRule="auto"/>
      </w:pPr>
    </w:p>
    <w:p w14:paraId="1487C2D6" w14:textId="038EA22D" w:rsidR="008E514B" w:rsidRDefault="008E514B" w:rsidP="00EF76D8">
      <w:pPr>
        <w:spacing w:line="276" w:lineRule="auto"/>
      </w:pPr>
      <w:r>
        <w:t>TABULKA k článku z USA:</w:t>
      </w:r>
    </w:p>
    <w:p w14:paraId="365F7968" w14:textId="07C14A2D" w:rsidR="008E514B" w:rsidRDefault="008E514B" w:rsidP="00EF76D8">
      <w:pPr>
        <w:spacing w:line="276" w:lineRule="auto"/>
      </w:pPr>
    </w:p>
    <w:p w14:paraId="1D474717" w14:textId="77777777" w:rsidR="008E514B" w:rsidRDefault="008E514B" w:rsidP="00EF76D8">
      <w:pPr>
        <w:spacing w:line="276" w:lineRule="auto"/>
      </w:pPr>
    </w:p>
    <w:tbl>
      <w:tblPr>
        <w:tblW w:w="13200" w:type="dxa"/>
        <w:tblLook w:val="04A0" w:firstRow="1" w:lastRow="0" w:firstColumn="1" w:lastColumn="0" w:noHBand="0" w:noVBand="1"/>
      </w:tblPr>
      <w:tblGrid>
        <w:gridCol w:w="4560"/>
        <w:gridCol w:w="1440"/>
        <w:gridCol w:w="1440"/>
        <w:gridCol w:w="1440"/>
        <w:gridCol w:w="1440"/>
        <w:gridCol w:w="1440"/>
        <w:gridCol w:w="1440"/>
      </w:tblGrid>
      <w:tr w:rsidR="008E514B" w:rsidRPr="00952383" w14:paraId="14E8A3A1" w14:textId="77777777" w:rsidTr="00410349">
        <w:trPr>
          <w:trHeight w:val="300"/>
        </w:trPr>
        <w:tc>
          <w:tcPr>
            <w:tcW w:w="456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18A2F9CA" w14:textId="77777777" w:rsidR="008E514B" w:rsidRPr="00952383" w:rsidRDefault="008E514B" w:rsidP="00410349">
            <w:pPr>
              <w:jc w:val="center"/>
              <w:rPr>
                <w:rFonts w:eastAsia="Times New Roman" w:cs="Arial"/>
                <w:color w:val="000000"/>
                <w:sz w:val="18"/>
                <w:szCs w:val="18"/>
              </w:rPr>
            </w:pPr>
            <w:r w:rsidRPr="00952383">
              <w:rPr>
                <w:rFonts w:eastAsia="Times New Roman" w:cs="Arial"/>
                <w:color w:val="000000"/>
                <w:sz w:val="18"/>
                <w:szCs w:val="18"/>
              </w:rPr>
              <w:t xml:space="preserve">United </w:t>
            </w:r>
            <w:proofErr w:type="spellStart"/>
            <w:r w:rsidRPr="00952383">
              <w:rPr>
                <w:rFonts w:eastAsia="Times New Roman" w:cs="Arial"/>
                <w:color w:val="000000"/>
                <w:sz w:val="18"/>
                <w:szCs w:val="18"/>
              </w:rPr>
              <w:t>States</w:t>
            </w:r>
            <w:proofErr w:type="spellEnd"/>
          </w:p>
        </w:tc>
        <w:tc>
          <w:tcPr>
            <w:tcW w:w="1440" w:type="dxa"/>
            <w:tcBorders>
              <w:top w:val="single" w:sz="4" w:space="0" w:color="D3D3D3"/>
              <w:left w:val="nil"/>
              <w:bottom w:val="single" w:sz="4" w:space="0" w:color="D3D3D3"/>
              <w:right w:val="single" w:sz="4" w:space="0" w:color="D3D3D3"/>
            </w:tcBorders>
            <w:shd w:val="clear" w:color="808074" w:fill="808074"/>
            <w:vAlign w:val="center"/>
            <w:hideMark/>
          </w:tcPr>
          <w:p w14:paraId="3F557DBE" w14:textId="77777777" w:rsidR="008E514B" w:rsidRPr="00952383" w:rsidRDefault="008E514B" w:rsidP="00410349">
            <w:pPr>
              <w:jc w:val="center"/>
              <w:rPr>
                <w:rFonts w:eastAsia="Times New Roman" w:cs="Arial"/>
                <w:b/>
                <w:bCs/>
                <w:color w:val="FFFFFF"/>
                <w:sz w:val="18"/>
                <w:szCs w:val="18"/>
              </w:rPr>
            </w:pPr>
            <w:r w:rsidRPr="00952383">
              <w:rPr>
                <w:rFonts w:eastAsia="Times New Roman" w:cs="Arial"/>
                <w:b/>
                <w:bCs/>
                <w:color w:val="FFFFFF"/>
                <w:sz w:val="18"/>
                <w:szCs w:val="18"/>
              </w:rPr>
              <w:t>2018</w:t>
            </w:r>
          </w:p>
        </w:tc>
        <w:tc>
          <w:tcPr>
            <w:tcW w:w="1440" w:type="dxa"/>
            <w:tcBorders>
              <w:top w:val="single" w:sz="4" w:space="0" w:color="D3D3D3"/>
              <w:left w:val="nil"/>
              <w:bottom w:val="single" w:sz="4" w:space="0" w:color="D3D3D3"/>
              <w:right w:val="single" w:sz="4" w:space="0" w:color="D3D3D3"/>
            </w:tcBorders>
            <w:shd w:val="clear" w:color="808074" w:fill="808074"/>
            <w:vAlign w:val="center"/>
            <w:hideMark/>
          </w:tcPr>
          <w:p w14:paraId="4DC5C72D" w14:textId="77777777" w:rsidR="008E514B" w:rsidRPr="00952383" w:rsidRDefault="008E514B" w:rsidP="00410349">
            <w:pPr>
              <w:jc w:val="center"/>
              <w:rPr>
                <w:rFonts w:eastAsia="Times New Roman" w:cs="Arial"/>
                <w:b/>
                <w:bCs/>
                <w:color w:val="FFFFFF"/>
                <w:sz w:val="18"/>
                <w:szCs w:val="18"/>
              </w:rPr>
            </w:pPr>
            <w:r w:rsidRPr="00952383">
              <w:rPr>
                <w:rFonts w:eastAsia="Times New Roman" w:cs="Arial"/>
                <w:b/>
                <w:bCs/>
                <w:color w:val="FFFFFF"/>
                <w:sz w:val="18"/>
                <w:szCs w:val="18"/>
              </w:rPr>
              <w:t>2019</w:t>
            </w:r>
          </w:p>
        </w:tc>
        <w:tc>
          <w:tcPr>
            <w:tcW w:w="1440" w:type="dxa"/>
            <w:tcBorders>
              <w:top w:val="single" w:sz="4" w:space="0" w:color="D3D3D3"/>
              <w:left w:val="nil"/>
              <w:bottom w:val="single" w:sz="4" w:space="0" w:color="D3D3D3"/>
              <w:right w:val="single" w:sz="4" w:space="0" w:color="D3D3D3"/>
            </w:tcBorders>
            <w:shd w:val="clear" w:color="808074" w:fill="808074"/>
            <w:vAlign w:val="center"/>
            <w:hideMark/>
          </w:tcPr>
          <w:p w14:paraId="3776EB6E" w14:textId="77777777" w:rsidR="008E514B" w:rsidRPr="00952383" w:rsidRDefault="008E514B" w:rsidP="00410349">
            <w:pPr>
              <w:jc w:val="center"/>
              <w:rPr>
                <w:rFonts w:eastAsia="Times New Roman" w:cs="Arial"/>
                <w:b/>
                <w:bCs/>
                <w:color w:val="FFFFFF"/>
                <w:sz w:val="18"/>
                <w:szCs w:val="18"/>
              </w:rPr>
            </w:pPr>
            <w:r w:rsidRPr="00952383">
              <w:rPr>
                <w:rFonts w:eastAsia="Times New Roman" w:cs="Arial"/>
                <w:b/>
                <w:bCs/>
                <w:color w:val="FFFFFF"/>
                <w:sz w:val="18"/>
                <w:szCs w:val="18"/>
              </w:rPr>
              <w:t>2020</w:t>
            </w:r>
          </w:p>
        </w:tc>
        <w:tc>
          <w:tcPr>
            <w:tcW w:w="1440" w:type="dxa"/>
            <w:tcBorders>
              <w:top w:val="single" w:sz="4" w:space="0" w:color="D3D3D3"/>
              <w:left w:val="nil"/>
              <w:bottom w:val="single" w:sz="4" w:space="0" w:color="D3D3D3"/>
              <w:right w:val="single" w:sz="4" w:space="0" w:color="D3D3D3"/>
            </w:tcBorders>
            <w:shd w:val="clear" w:color="808074" w:fill="808074"/>
            <w:vAlign w:val="center"/>
            <w:hideMark/>
          </w:tcPr>
          <w:p w14:paraId="6832ABE2" w14:textId="77777777" w:rsidR="008E514B" w:rsidRPr="00952383" w:rsidRDefault="008E514B" w:rsidP="00410349">
            <w:pPr>
              <w:jc w:val="center"/>
              <w:rPr>
                <w:rFonts w:eastAsia="Times New Roman" w:cs="Arial"/>
                <w:b/>
                <w:bCs/>
                <w:color w:val="FFFFFF"/>
                <w:sz w:val="18"/>
                <w:szCs w:val="18"/>
              </w:rPr>
            </w:pPr>
            <w:r w:rsidRPr="00952383">
              <w:rPr>
                <w:rFonts w:eastAsia="Times New Roman" w:cs="Arial"/>
                <w:b/>
                <w:bCs/>
                <w:color w:val="FFFFFF"/>
                <w:sz w:val="18"/>
                <w:szCs w:val="18"/>
              </w:rPr>
              <w:t>2021</w:t>
            </w:r>
          </w:p>
        </w:tc>
        <w:tc>
          <w:tcPr>
            <w:tcW w:w="1440" w:type="dxa"/>
            <w:tcBorders>
              <w:top w:val="single" w:sz="4" w:space="0" w:color="D3D3D3"/>
              <w:left w:val="nil"/>
              <w:bottom w:val="single" w:sz="4" w:space="0" w:color="D3D3D3"/>
              <w:right w:val="single" w:sz="4" w:space="0" w:color="D3D3D3"/>
            </w:tcBorders>
            <w:shd w:val="clear" w:color="808074" w:fill="808074"/>
            <w:vAlign w:val="center"/>
            <w:hideMark/>
          </w:tcPr>
          <w:p w14:paraId="7AF8DD88" w14:textId="77777777" w:rsidR="008E514B" w:rsidRPr="00952383" w:rsidRDefault="008E514B" w:rsidP="00410349">
            <w:pPr>
              <w:jc w:val="center"/>
              <w:rPr>
                <w:rFonts w:eastAsia="Times New Roman" w:cs="Arial"/>
                <w:b/>
                <w:bCs/>
                <w:color w:val="FFFFFF"/>
                <w:sz w:val="18"/>
                <w:szCs w:val="18"/>
              </w:rPr>
            </w:pPr>
            <w:proofErr w:type="gramStart"/>
            <w:r w:rsidRPr="00952383">
              <w:rPr>
                <w:rFonts w:eastAsia="Times New Roman" w:cs="Arial"/>
                <w:b/>
                <w:bCs/>
                <w:color w:val="FFFFFF"/>
                <w:sz w:val="18"/>
                <w:szCs w:val="18"/>
              </w:rPr>
              <w:t>2022F</w:t>
            </w:r>
            <w:proofErr w:type="gramEnd"/>
          </w:p>
        </w:tc>
        <w:tc>
          <w:tcPr>
            <w:tcW w:w="1440" w:type="dxa"/>
            <w:tcBorders>
              <w:top w:val="single" w:sz="4" w:space="0" w:color="D3D3D3"/>
              <w:left w:val="nil"/>
              <w:bottom w:val="single" w:sz="4" w:space="0" w:color="D3D3D3"/>
              <w:right w:val="single" w:sz="4" w:space="0" w:color="D3D3D3"/>
            </w:tcBorders>
            <w:shd w:val="clear" w:color="808074" w:fill="808074"/>
            <w:vAlign w:val="center"/>
            <w:hideMark/>
          </w:tcPr>
          <w:p w14:paraId="3857A1D8" w14:textId="77777777" w:rsidR="008E514B" w:rsidRPr="00952383" w:rsidRDefault="008E514B" w:rsidP="00410349">
            <w:pPr>
              <w:jc w:val="center"/>
              <w:rPr>
                <w:rFonts w:eastAsia="Times New Roman" w:cs="Arial"/>
                <w:b/>
                <w:bCs/>
                <w:color w:val="FFFFFF"/>
                <w:sz w:val="18"/>
                <w:szCs w:val="18"/>
              </w:rPr>
            </w:pPr>
            <w:proofErr w:type="gramStart"/>
            <w:r w:rsidRPr="00952383">
              <w:rPr>
                <w:rFonts w:eastAsia="Times New Roman" w:cs="Arial"/>
                <w:b/>
                <w:bCs/>
                <w:color w:val="FFFFFF"/>
                <w:sz w:val="18"/>
                <w:szCs w:val="18"/>
              </w:rPr>
              <w:t>2023F</w:t>
            </w:r>
            <w:proofErr w:type="gramEnd"/>
          </w:p>
        </w:tc>
      </w:tr>
      <w:tr w:rsidR="008E514B" w:rsidRPr="00952383" w14:paraId="6DBF6EC0" w14:textId="77777777" w:rsidTr="00410349">
        <w:trPr>
          <w:trHeight w:val="300"/>
        </w:trPr>
        <w:tc>
          <w:tcPr>
            <w:tcW w:w="4560" w:type="dxa"/>
            <w:vMerge/>
            <w:tcBorders>
              <w:top w:val="single" w:sz="4" w:space="0" w:color="D3D3D3"/>
              <w:left w:val="single" w:sz="4" w:space="0" w:color="D3D3D3"/>
              <w:bottom w:val="single" w:sz="4" w:space="0" w:color="D3D3D3"/>
              <w:right w:val="single" w:sz="4" w:space="0" w:color="D3D3D3"/>
            </w:tcBorders>
            <w:vAlign w:val="center"/>
            <w:hideMark/>
          </w:tcPr>
          <w:p w14:paraId="3BDA07E4" w14:textId="77777777" w:rsidR="008E514B" w:rsidRPr="00952383" w:rsidRDefault="008E514B" w:rsidP="00410349">
            <w:pPr>
              <w:rPr>
                <w:rFonts w:eastAsia="Times New Roman" w:cs="Arial"/>
                <w:color w:val="000000"/>
                <w:sz w:val="18"/>
                <w:szCs w:val="18"/>
              </w:rPr>
            </w:pPr>
          </w:p>
        </w:tc>
        <w:tc>
          <w:tcPr>
            <w:tcW w:w="1440" w:type="dxa"/>
            <w:tcBorders>
              <w:top w:val="nil"/>
              <w:left w:val="nil"/>
              <w:bottom w:val="single" w:sz="4" w:space="0" w:color="D3D3D3"/>
              <w:right w:val="single" w:sz="4" w:space="0" w:color="D3D3D3"/>
            </w:tcBorders>
            <w:shd w:val="clear" w:color="auto" w:fill="auto"/>
            <w:vAlign w:val="center"/>
            <w:hideMark/>
          </w:tcPr>
          <w:p w14:paraId="366D9CB5" w14:textId="77777777" w:rsidR="008E514B" w:rsidRPr="00952383" w:rsidRDefault="008E514B" w:rsidP="00410349">
            <w:pPr>
              <w:jc w:val="center"/>
              <w:rPr>
                <w:rFonts w:eastAsia="Times New Roman" w:cs="Arial"/>
                <w:i/>
                <w:iCs/>
                <w:color w:val="000000"/>
                <w:sz w:val="18"/>
                <w:szCs w:val="18"/>
              </w:rPr>
            </w:pPr>
            <w:r w:rsidRPr="00952383">
              <w:rPr>
                <w:rFonts w:eastAsia="Times New Roman" w:cs="Arial"/>
                <w:i/>
                <w:iCs/>
                <w:color w:val="000000"/>
                <w:sz w:val="18"/>
                <w:szCs w:val="18"/>
              </w:rPr>
              <w:t>$1,000     </w:t>
            </w:r>
          </w:p>
        </w:tc>
        <w:tc>
          <w:tcPr>
            <w:tcW w:w="1440" w:type="dxa"/>
            <w:tcBorders>
              <w:top w:val="nil"/>
              <w:left w:val="nil"/>
              <w:bottom w:val="single" w:sz="4" w:space="0" w:color="D3D3D3"/>
              <w:right w:val="single" w:sz="4" w:space="0" w:color="D3D3D3"/>
            </w:tcBorders>
            <w:shd w:val="clear" w:color="auto" w:fill="auto"/>
            <w:vAlign w:val="center"/>
            <w:hideMark/>
          </w:tcPr>
          <w:p w14:paraId="26218E4B" w14:textId="77777777" w:rsidR="008E514B" w:rsidRPr="00952383" w:rsidRDefault="008E514B" w:rsidP="00410349">
            <w:pPr>
              <w:jc w:val="center"/>
              <w:rPr>
                <w:rFonts w:eastAsia="Times New Roman" w:cs="Arial"/>
                <w:i/>
                <w:iCs/>
                <w:color w:val="000000"/>
                <w:sz w:val="18"/>
                <w:szCs w:val="18"/>
              </w:rPr>
            </w:pPr>
            <w:r w:rsidRPr="00952383">
              <w:rPr>
                <w:rFonts w:eastAsia="Times New Roman" w:cs="Arial"/>
                <w:i/>
                <w:iCs/>
                <w:color w:val="000000"/>
                <w:sz w:val="18"/>
                <w:szCs w:val="18"/>
              </w:rPr>
              <w:t>$1,000     </w:t>
            </w:r>
          </w:p>
        </w:tc>
        <w:tc>
          <w:tcPr>
            <w:tcW w:w="1440" w:type="dxa"/>
            <w:tcBorders>
              <w:top w:val="nil"/>
              <w:left w:val="nil"/>
              <w:bottom w:val="single" w:sz="4" w:space="0" w:color="D3D3D3"/>
              <w:right w:val="single" w:sz="4" w:space="0" w:color="D3D3D3"/>
            </w:tcBorders>
            <w:shd w:val="clear" w:color="auto" w:fill="auto"/>
            <w:vAlign w:val="center"/>
            <w:hideMark/>
          </w:tcPr>
          <w:p w14:paraId="705C921C" w14:textId="77777777" w:rsidR="008E514B" w:rsidRPr="00952383" w:rsidRDefault="008E514B" w:rsidP="00410349">
            <w:pPr>
              <w:jc w:val="center"/>
              <w:rPr>
                <w:rFonts w:eastAsia="Times New Roman" w:cs="Arial"/>
                <w:i/>
                <w:iCs/>
                <w:color w:val="000000"/>
                <w:sz w:val="18"/>
                <w:szCs w:val="18"/>
              </w:rPr>
            </w:pPr>
            <w:r w:rsidRPr="00952383">
              <w:rPr>
                <w:rFonts w:eastAsia="Times New Roman" w:cs="Arial"/>
                <w:i/>
                <w:iCs/>
                <w:color w:val="000000"/>
                <w:sz w:val="18"/>
                <w:szCs w:val="18"/>
              </w:rPr>
              <w:t>$1,000     </w:t>
            </w:r>
          </w:p>
        </w:tc>
        <w:tc>
          <w:tcPr>
            <w:tcW w:w="1440" w:type="dxa"/>
            <w:tcBorders>
              <w:top w:val="nil"/>
              <w:left w:val="nil"/>
              <w:bottom w:val="single" w:sz="4" w:space="0" w:color="D3D3D3"/>
              <w:right w:val="single" w:sz="4" w:space="0" w:color="D3D3D3"/>
            </w:tcBorders>
            <w:shd w:val="clear" w:color="auto" w:fill="auto"/>
            <w:vAlign w:val="center"/>
            <w:hideMark/>
          </w:tcPr>
          <w:p w14:paraId="2A5E2539" w14:textId="77777777" w:rsidR="008E514B" w:rsidRPr="00952383" w:rsidRDefault="008E514B" w:rsidP="00410349">
            <w:pPr>
              <w:jc w:val="center"/>
              <w:rPr>
                <w:rFonts w:eastAsia="Times New Roman" w:cs="Arial"/>
                <w:i/>
                <w:iCs/>
                <w:color w:val="000000"/>
                <w:sz w:val="18"/>
                <w:szCs w:val="18"/>
              </w:rPr>
            </w:pPr>
            <w:r w:rsidRPr="00952383">
              <w:rPr>
                <w:rFonts w:eastAsia="Times New Roman" w:cs="Arial"/>
                <w:i/>
                <w:iCs/>
                <w:color w:val="000000"/>
                <w:sz w:val="18"/>
                <w:szCs w:val="18"/>
              </w:rPr>
              <w:t>$1,000     </w:t>
            </w:r>
          </w:p>
        </w:tc>
        <w:tc>
          <w:tcPr>
            <w:tcW w:w="1440" w:type="dxa"/>
            <w:tcBorders>
              <w:top w:val="nil"/>
              <w:left w:val="nil"/>
              <w:bottom w:val="single" w:sz="4" w:space="0" w:color="D3D3D3"/>
              <w:right w:val="single" w:sz="4" w:space="0" w:color="D3D3D3"/>
            </w:tcBorders>
            <w:shd w:val="clear" w:color="auto" w:fill="auto"/>
            <w:vAlign w:val="center"/>
            <w:hideMark/>
          </w:tcPr>
          <w:p w14:paraId="78C6C8A8" w14:textId="77777777" w:rsidR="008E514B" w:rsidRPr="00952383" w:rsidRDefault="008E514B" w:rsidP="00410349">
            <w:pPr>
              <w:jc w:val="center"/>
              <w:rPr>
                <w:rFonts w:eastAsia="Times New Roman" w:cs="Arial"/>
                <w:i/>
                <w:iCs/>
                <w:color w:val="000000"/>
                <w:sz w:val="18"/>
                <w:szCs w:val="18"/>
              </w:rPr>
            </w:pPr>
            <w:r w:rsidRPr="00952383">
              <w:rPr>
                <w:rFonts w:eastAsia="Times New Roman" w:cs="Arial"/>
                <w:i/>
                <w:iCs/>
                <w:color w:val="000000"/>
                <w:sz w:val="18"/>
                <w:szCs w:val="18"/>
              </w:rPr>
              <w:t>$1,000     </w:t>
            </w:r>
          </w:p>
        </w:tc>
        <w:tc>
          <w:tcPr>
            <w:tcW w:w="1440" w:type="dxa"/>
            <w:tcBorders>
              <w:top w:val="nil"/>
              <w:left w:val="nil"/>
              <w:bottom w:val="single" w:sz="4" w:space="0" w:color="D3D3D3"/>
              <w:right w:val="single" w:sz="4" w:space="0" w:color="D3D3D3"/>
            </w:tcBorders>
            <w:shd w:val="clear" w:color="auto" w:fill="auto"/>
            <w:vAlign w:val="center"/>
            <w:hideMark/>
          </w:tcPr>
          <w:p w14:paraId="7D0CC3C6" w14:textId="77777777" w:rsidR="008E514B" w:rsidRPr="00952383" w:rsidRDefault="008E514B" w:rsidP="00410349">
            <w:pPr>
              <w:jc w:val="center"/>
              <w:rPr>
                <w:rFonts w:eastAsia="Times New Roman" w:cs="Arial"/>
                <w:i/>
                <w:iCs/>
                <w:color w:val="000000"/>
                <w:sz w:val="18"/>
                <w:szCs w:val="18"/>
              </w:rPr>
            </w:pPr>
            <w:r w:rsidRPr="00952383">
              <w:rPr>
                <w:rFonts w:eastAsia="Times New Roman" w:cs="Arial"/>
                <w:i/>
                <w:iCs/>
                <w:color w:val="000000"/>
                <w:sz w:val="18"/>
                <w:szCs w:val="18"/>
              </w:rPr>
              <w:t>$1,000     </w:t>
            </w:r>
          </w:p>
        </w:tc>
      </w:tr>
      <w:tr w:rsidR="008E514B" w:rsidRPr="00952383" w14:paraId="226610C0"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808074" w:fill="808074"/>
            <w:vAlign w:val="center"/>
            <w:hideMark/>
          </w:tcPr>
          <w:p w14:paraId="6408A446" w14:textId="77777777" w:rsidR="008E514B" w:rsidRPr="00952383" w:rsidRDefault="008E514B" w:rsidP="00410349">
            <w:pPr>
              <w:rPr>
                <w:rFonts w:eastAsia="Times New Roman" w:cs="Arial"/>
                <w:b/>
                <w:bCs/>
                <w:color w:val="FFFFFF"/>
                <w:sz w:val="18"/>
                <w:szCs w:val="18"/>
              </w:rPr>
            </w:pPr>
            <w:r w:rsidRPr="00952383">
              <w:rPr>
                <w:rFonts w:eastAsia="Times New Roman" w:cs="Arial"/>
                <w:b/>
                <w:bCs/>
                <w:color w:val="FFFFFF"/>
                <w:sz w:val="18"/>
                <w:szCs w:val="18"/>
              </w:rPr>
              <w:t xml:space="preserve">Direct </w:t>
            </w:r>
            <w:proofErr w:type="spellStart"/>
            <w:r w:rsidRPr="00952383">
              <w:rPr>
                <w:rFonts w:eastAsia="Times New Roman" w:cs="Arial"/>
                <w:b/>
                <w:bCs/>
                <w:color w:val="FFFFFF"/>
                <w:sz w:val="18"/>
                <w:szCs w:val="18"/>
              </w:rPr>
              <w:t>government</w:t>
            </w:r>
            <w:proofErr w:type="spellEnd"/>
            <w:r w:rsidRPr="00952383">
              <w:rPr>
                <w:rFonts w:eastAsia="Times New Roman" w:cs="Arial"/>
                <w:b/>
                <w:bCs/>
                <w:color w:val="FFFFFF"/>
                <w:sz w:val="18"/>
                <w:szCs w:val="18"/>
              </w:rPr>
              <w:t xml:space="preserve"> </w:t>
            </w:r>
            <w:proofErr w:type="spellStart"/>
            <w:r w:rsidRPr="00952383">
              <w:rPr>
                <w:rFonts w:eastAsia="Times New Roman" w:cs="Arial"/>
                <w:b/>
                <w:bCs/>
                <w:color w:val="FFFFFF"/>
                <w:sz w:val="18"/>
                <w:szCs w:val="18"/>
              </w:rPr>
              <w:t>payments</w:t>
            </w:r>
            <w:proofErr w:type="spellEnd"/>
          </w:p>
        </w:tc>
        <w:tc>
          <w:tcPr>
            <w:tcW w:w="1440" w:type="dxa"/>
            <w:tcBorders>
              <w:top w:val="nil"/>
              <w:left w:val="nil"/>
              <w:bottom w:val="single" w:sz="4" w:space="0" w:color="D3D3D3"/>
              <w:right w:val="single" w:sz="4" w:space="0" w:color="D3D3D3"/>
            </w:tcBorders>
            <w:shd w:val="clear" w:color="auto" w:fill="auto"/>
            <w:hideMark/>
          </w:tcPr>
          <w:p w14:paraId="3A92FA4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13 669 010</w:t>
            </w:r>
          </w:p>
        </w:tc>
        <w:tc>
          <w:tcPr>
            <w:tcW w:w="1440" w:type="dxa"/>
            <w:tcBorders>
              <w:top w:val="nil"/>
              <w:left w:val="nil"/>
              <w:bottom w:val="single" w:sz="4" w:space="0" w:color="D3D3D3"/>
              <w:right w:val="single" w:sz="4" w:space="0" w:color="D3D3D3"/>
            </w:tcBorders>
            <w:shd w:val="clear" w:color="auto" w:fill="auto"/>
            <w:hideMark/>
          </w:tcPr>
          <w:p w14:paraId="33976DE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22 447 200</w:t>
            </w:r>
          </w:p>
        </w:tc>
        <w:tc>
          <w:tcPr>
            <w:tcW w:w="1440" w:type="dxa"/>
            <w:tcBorders>
              <w:top w:val="nil"/>
              <w:left w:val="nil"/>
              <w:bottom w:val="single" w:sz="4" w:space="0" w:color="D3D3D3"/>
              <w:right w:val="single" w:sz="4" w:space="0" w:color="D3D3D3"/>
            </w:tcBorders>
            <w:shd w:val="clear" w:color="auto" w:fill="auto"/>
            <w:hideMark/>
          </w:tcPr>
          <w:p w14:paraId="535EF12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45 551 813</w:t>
            </w:r>
          </w:p>
        </w:tc>
        <w:tc>
          <w:tcPr>
            <w:tcW w:w="1440" w:type="dxa"/>
            <w:tcBorders>
              <w:top w:val="nil"/>
              <w:left w:val="nil"/>
              <w:bottom w:val="single" w:sz="4" w:space="0" w:color="D3D3D3"/>
              <w:right w:val="single" w:sz="4" w:space="0" w:color="D3D3D3"/>
            </w:tcBorders>
            <w:shd w:val="clear" w:color="auto" w:fill="auto"/>
            <w:hideMark/>
          </w:tcPr>
          <w:p w14:paraId="7C57647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25 936 089</w:t>
            </w:r>
          </w:p>
        </w:tc>
        <w:tc>
          <w:tcPr>
            <w:tcW w:w="1440" w:type="dxa"/>
            <w:tcBorders>
              <w:top w:val="nil"/>
              <w:left w:val="nil"/>
              <w:bottom w:val="single" w:sz="4" w:space="0" w:color="D3D3D3"/>
              <w:right w:val="single" w:sz="4" w:space="0" w:color="D3D3D3"/>
            </w:tcBorders>
            <w:shd w:val="clear" w:color="auto" w:fill="auto"/>
            <w:hideMark/>
          </w:tcPr>
          <w:p w14:paraId="3FB766D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15 611 120</w:t>
            </w:r>
          </w:p>
        </w:tc>
        <w:tc>
          <w:tcPr>
            <w:tcW w:w="1440" w:type="dxa"/>
            <w:tcBorders>
              <w:top w:val="nil"/>
              <w:left w:val="nil"/>
              <w:bottom w:val="single" w:sz="4" w:space="0" w:color="D3D3D3"/>
              <w:right w:val="single" w:sz="4" w:space="0" w:color="D3D3D3"/>
            </w:tcBorders>
            <w:shd w:val="clear" w:color="auto" w:fill="auto"/>
            <w:hideMark/>
          </w:tcPr>
          <w:p w14:paraId="79F0B53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10 248 263</w:t>
            </w:r>
          </w:p>
        </w:tc>
      </w:tr>
      <w:tr w:rsidR="008E514B" w:rsidRPr="00952383" w14:paraId="40D76A39"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409D47BA"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Fixed</w:t>
            </w:r>
            <w:proofErr w:type="spellEnd"/>
            <w:r w:rsidRPr="00952383">
              <w:rPr>
                <w:rFonts w:eastAsia="Times New Roman" w:cs="Arial"/>
                <w:color w:val="000000"/>
                <w:sz w:val="18"/>
                <w:szCs w:val="18"/>
              </w:rPr>
              <w:t xml:space="preserve"> direct </w:t>
            </w:r>
            <w:proofErr w:type="spellStart"/>
            <w:r w:rsidRPr="00952383">
              <w:rPr>
                <w:rFonts w:eastAsia="Times New Roman" w:cs="Arial"/>
                <w:color w:val="000000"/>
                <w:sz w:val="18"/>
                <w:szCs w:val="18"/>
              </w:rPr>
              <w:t>payments</w:t>
            </w:r>
            <w:proofErr w:type="spellEnd"/>
          </w:p>
        </w:tc>
        <w:tc>
          <w:tcPr>
            <w:tcW w:w="1440" w:type="dxa"/>
            <w:tcBorders>
              <w:top w:val="nil"/>
              <w:left w:val="nil"/>
              <w:bottom w:val="single" w:sz="4" w:space="0" w:color="D3D3D3"/>
              <w:right w:val="single" w:sz="4" w:space="0" w:color="D3D3D3"/>
            </w:tcBorders>
            <w:shd w:val="clear" w:color="auto" w:fill="auto"/>
            <w:hideMark/>
          </w:tcPr>
          <w:p w14:paraId="6CD58A5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-933</w:t>
            </w:r>
          </w:p>
        </w:tc>
        <w:tc>
          <w:tcPr>
            <w:tcW w:w="1440" w:type="dxa"/>
            <w:tcBorders>
              <w:top w:val="nil"/>
              <w:left w:val="nil"/>
              <w:bottom w:val="single" w:sz="4" w:space="0" w:color="D3D3D3"/>
              <w:right w:val="single" w:sz="4" w:space="0" w:color="D3D3D3"/>
            </w:tcBorders>
            <w:shd w:val="clear" w:color="auto" w:fill="auto"/>
            <w:hideMark/>
          </w:tcPr>
          <w:p w14:paraId="5728979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-1 327</w:t>
            </w:r>
          </w:p>
        </w:tc>
        <w:tc>
          <w:tcPr>
            <w:tcW w:w="1440" w:type="dxa"/>
            <w:tcBorders>
              <w:top w:val="nil"/>
              <w:left w:val="nil"/>
              <w:bottom w:val="single" w:sz="4" w:space="0" w:color="D3D3D3"/>
              <w:right w:val="single" w:sz="4" w:space="0" w:color="D3D3D3"/>
            </w:tcBorders>
            <w:shd w:val="clear" w:color="auto" w:fill="auto"/>
            <w:hideMark/>
          </w:tcPr>
          <w:p w14:paraId="4B4CB5C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-725</w:t>
            </w:r>
          </w:p>
        </w:tc>
        <w:tc>
          <w:tcPr>
            <w:tcW w:w="1440" w:type="dxa"/>
            <w:tcBorders>
              <w:top w:val="nil"/>
              <w:left w:val="nil"/>
              <w:bottom w:val="single" w:sz="4" w:space="0" w:color="D3D3D3"/>
              <w:right w:val="single" w:sz="4" w:space="0" w:color="D3D3D3"/>
            </w:tcBorders>
            <w:shd w:val="clear" w:color="auto" w:fill="auto"/>
            <w:hideMark/>
          </w:tcPr>
          <w:p w14:paraId="58E5798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-630</w:t>
            </w:r>
          </w:p>
        </w:tc>
        <w:tc>
          <w:tcPr>
            <w:tcW w:w="1440" w:type="dxa"/>
            <w:tcBorders>
              <w:top w:val="nil"/>
              <w:left w:val="nil"/>
              <w:bottom w:val="single" w:sz="4" w:space="0" w:color="D3D3D3"/>
              <w:right w:val="single" w:sz="4" w:space="0" w:color="D3D3D3"/>
            </w:tcBorders>
            <w:shd w:val="clear" w:color="auto" w:fill="auto"/>
            <w:hideMark/>
          </w:tcPr>
          <w:p w14:paraId="76748775"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6F7D9C05"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23C10D59"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2312D0AB"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Cotton</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Transition</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Assistance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Payments</w:t>
            </w:r>
            <w:proofErr w:type="spellEnd"/>
            <w:r w:rsidRPr="00952383">
              <w:rPr>
                <w:rFonts w:eastAsia="Times New Roman" w:cs="Arial"/>
                <w:color w:val="000000"/>
                <w:sz w:val="18"/>
                <w:szCs w:val="18"/>
              </w:rPr>
              <w:t xml:space="preserve"> (CTAP)</w:t>
            </w:r>
          </w:p>
        </w:tc>
        <w:tc>
          <w:tcPr>
            <w:tcW w:w="1440" w:type="dxa"/>
            <w:tcBorders>
              <w:top w:val="nil"/>
              <w:left w:val="nil"/>
              <w:bottom w:val="single" w:sz="4" w:space="0" w:color="D3D3D3"/>
              <w:right w:val="single" w:sz="4" w:space="0" w:color="D3D3D3"/>
            </w:tcBorders>
            <w:shd w:val="clear" w:color="auto" w:fill="auto"/>
            <w:hideMark/>
          </w:tcPr>
          <w:p w14:paraId="23DC004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-43</w:t>
            </w:r>
          </w:p>
        </w:tc>
        <w:tc>
          <w:tcPr>
            <w:tcW w:w="1440" w:type="dxa"/>
            <w:tcBorders>
              <w:top w:val="nil"/>
              <w:left w:val="nil"/>
              <w:bottom w:val="single" w:sz="4" w:space="0" w:color="D3D3D3"/>
              <w:right w:val="single" w:sz="4" w:space="0" w:color="D3D3D3"/>
            </w:tcBorders>
            <w:shd w:val="clear" w:color="auto" w:fill="auto"/>
            <w:hideMark/>
          </w:tcPr>
          <w:p w14:paraId="4A0424B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-6</w:t>
            </w:r>
          </w:p>
        </w:tc>
        <w:tc>
          <w:tcPr>
            <w:tcW w:w="1440" w:type="dxa"/>
            <w:tcBorders>
              <w:top w:val="nil"/>
              <w:left w:val="nil"/>
              <w:bottom w:val="single" w:sz="4" w:space="0" w:color="D3D3D3"/>
              <w:right w:val="single" w:sz="4" w:space="0" w:color="D3D3D3"/>
            </w:tcBorders>
            <w:shd w:val="clear" w:color="auto" w:fill="auto"/>
            <w:hideMark/>
          </w:tcPr>
          <w:p w14:paraId="1C01A12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058F334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w:t>
            </w:r>
          </w:p>
        </w:tc>
        <w:tc>
          <w:tcPr>
            <w:tcW w:w="1440" w:type="dxa"/>
            <w:tcBorders>
              <w:top w:val="nil"/>
              <w:left w:val="nil"/>
              <w:bottom w:val="single" w:sz="4" w:space="0" w:color="D3D3D3"/>
              <w:right w:val="single" w:sz="4" w:space="0" w:color="D3D3D3"/>
            </w:tcBorders>
            <w:shd w:val="clear" w:color="auto" w:fill="auto"/>
            <w:hideMark/>
          </w:tcPr>
          <w:p w14:paraId="61ADE3E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670E1ED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0B75C483"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4029C581"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Cotton</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Ginning</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Cost-Share</w:t>
            </w:r>
            <w:proofErr w:type="spellEnd"/>
            <w:r w:rsidRPr="00952383">
              <w:rPr>
                <w:rFonts w:eastAsia="Times New Roman" w:cs="Arial"/>
                <w:color w:val="000000"/>
                <w:sz w:val="18"/>
                <w:szCs w:val="18"/>
              </w:rPr>
              <w:t xml:space="preserve"> (CGCS) Program</w:t>
            </w:r>
          </w:p>
        </w:tc>
        <w:tc>
          <w:tcPr>
            <w:tcW w:w="1440" w:type="dxa"/>
            <w:tcBorders>
              <w:top w:val="nil"/>
              <w:left w:val="nil"/>
              <w:bottom w:val="single" w:sz="4" w:space="0" w:color="D3D3D3"/>
              <w:right w:val="single" w:sz="4" w:space="0" w:color="D3D3D3"/>
            </w:tcBorders>
            <w:shd w:val="clear" w:color="auto" w:fill="auto"/>
            <w:hideMark/>
          </w:tcPr>
          <w:p w14:paraId="1D8ACC38"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214 562</w:t>
            </w:r>
          </w:p>
        </w:tc>
        <w:tc>
          <w:tcPr>
            <w:tcW w:w="1440" w:type="dxa"/>
            <w:tcBorders>
              <w:top w:val="nil"/>
              <w:left w:val="nil"/>
              <w:bottom w:val="single" w:sz="4" w:space="0" w:color="D3D3D3"/>
              <w:right w:val="single" w:sz="4" w:space="0" w:color="D3D3D3"/>
            </w:tcBorders>
            <w:shd w:val="clear" w:color="auto" w:fill="auto"/>
            <w:hideMark/>
          </w:tcPr>
          <w:p w14:paraId="70C9387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27</w:t>
            </w:r>
          </w:p>
        </w:tc>
        <w:tc>
          <w:tcPr>
            <w:tcW w:w="1440" w:type="dxa"/>
            <w:tcBorders>
              <w:top w:val="nil"/>
              <w:left w:val="nil"/>
              <w:bottom w:val="single" w:sz="4" w:space="0" w:color="D3D3D3"/>
              <w:right w:val="single" w:sz="4" w:space="0" w:color="D3D3D3"/>
            </w:tcBorders>
            <w:shd w:val="clear" w:color="auto" w:fill="auto"/>
            <w:hideMark/>
          </w:tcPr>
          <w:p w14:paraId="728808F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67CBEBF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1528BB5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56A823E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34F4ADDA"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40009188"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Average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Crop</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Revenue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Election</w:t>
            </w:r>
            <w:proofErr w:type="spellEnd"/>
            <w:r w:rsidRPr="00952383">
              <w:rPr>
                <w:rFonts w:eastAsia="Times New Roman" w:cs="Arial"/>
                <w:color w:val="000000"/>
                <w:sz w:val="18"/>
                <w:szCs w:val="18"/>
              </w:rPr>
              <w:t xml:space="preserve"> Program (ACRE)</w:t>
            </w:r>
          </w:p>
        </w:tc>
        <w:tc>
          <w:tcPr>
            <w:tcW w:w="1440" w:type="dxa"/>
            <w:tcBorders>
              <w:top w:val="nil"/>
              <w:left w:val="nil"/>
              <w:bottom w:val="single" w:sz="4" w:space="0" w:color="D3D3D3"/>
              <w:right w:val="single" w:sz="4" w:space="0" w:color="D3D3D3"/>
            </w:tcBorders>
            <w:shd w:val="clear" w:color="auto" w:fill="auto"/>
            <w:hideMark/>
          </w:tcPr>
          <w:p w14:paraId="70DBF43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-63</w:t>
            </w:r>
          </w:p>
        </w:tc>
        <w:tc>
          <w:tcPr>
            <w:tcW w:w="1440" w:type="dxa"/>
            <w:tcBorders>
              <w:top w:val="nil"/>
              <w:left w:val="nil"/>
              <w:bottom w:val="single" w:sz="4" w:space="0" w:color="D3D3D3"/>
              <w:right w:val="single" w:sz="4" w:space="0" w:color="D3D3D3"/>
            </w:tcBorders>
            <w:shd w:val="clear" w:color="auto" w:fill="auto"/>
            <w:hideMark/>
          </w:tcPr>
          <w:p w14:paraId="413575D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-37</w:t>
            </w:r>
          </w:p>
        </w:tc>
        <w:tc>
          <w:tcPr>
            <w:tcW w:w="1440" w:type="dxa"/>
            <w:tcBorders>
              <w:top w:val="nil"/>
              <w:left w:val="nil"/>
              <w:bottom w:val="single" w:sz="4" w:space="0" w:color="D3D3D3"/>
              <w:right w:val="single" w:sz="4" w:space="0" w:color="D3D3D3"/>
            </w:tcBorders>
            <w:shd w:val="clear" w:color="auto" w:fill="auto"/>
            <w:hideMark/>
          </w:tcPr>
          <w:p w14:paraId="3AF797F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-31</w:t>
            </w:r>
          </w:p>
        </w:tc>
        <w:tc>
          <w:tcPr>
            <w:tcW w:w="1440" w:type="dxa"/>
            <w:tcBorders>
              <w:top w:val="nil"/>
              <w:left w:val="nil"/>
              <w:bottom w:val="single" w:sz="4" w:space="0" w:color="D3D3D3"/>
              <w:right w:val="single" w:sz="4" w:space="0" w:color="D3D3D3"/>
            </w:tcBorders>
            <w:shd w:val="clear" w:color="auto" w:fill="auto"/>
            <w:hideMark/>
          </w:tcPr>
          <w:p w14:paraId="478EDD0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-10</w:t>
            </w:r>
          </w:p>
        </w:tc>
        <w:tc>
          <w:tcPr>
            <w:tcW w:w="1440" w:type="dxa"/>
            <w:tcBorders>
              <w:top w:val="nil"/>
              <w:left w:val="nil"/>
              <w:bottom w:val="single" w:sz="4" w:space="0" w:color="D3D3D3"/>
              <w:right w:val="single" w:sz="4" w:space="0" w:color="D3D3D3"/>
            </w:tcBorders>
            <w:shd w:val="clear" w:color="auto" w:fill="auto"/>
            <w:hideMark/>
          </w:tcPr>
          <w:p w14:paraId="4EC1B1F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77D4ACC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22BE68AD"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29BE4529"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Price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Loss</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Coverage</w:t>
            </w:r>
            <w:proofErr w:type="spellEnd"/>
            <w:r w:rsidRPr="00952383">
              <w:rPr>
                <w:rFonts w:eastAsia="Times New Roman" w:cs="Arial"/>
                <w:color w:val="000000"/>
                <w:sz w:val="18"/>
                <w:szCs w:val="18"/>
              </w:rPr>
              <w:t xml:space="preserve"> (PLC)</w:t>
            </w:r>
          </w:p>
        </w:tc>
        <w:tc>
          <w:tcPr>
            <w:tcW w:w="1440" w:type="dxa"/>
            <w:tcBorders>
              <w:top w:val="nil"/>
              <w:left w:val="nil"/>
              <w:bottom w:val="single" w:sz="4" w:space="0" w:color="D3D3D3"/>
              <w:right w:val="single" w:sz="4" w:space="0" w:color="D3D3D3"/>
            </w:tcBorders>
            <w:shd w:val="clear" w:color="auto" w:fill="auto"/>
            <w:hideMark/>
          </w:tcPr>
          <w:p w14:paraId="036FFBE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2 064 825</w:t>
            </w:r>
          </w:p>
        </w:tc>
        <w:tc>
          <w:tcPr>
            <w:tcW w:w="1440" w:type="dxa"/>
            <w:tcBorders>
              <w:top w:val="nil"/>
              <w:left w:val="nil"/>
              <w:bottom w:val="single" w:sz="4" w:space="0" w:color="D3D3D3"/>
              <w:right w:val="single" w:sz="4" w:space="0" w:color="D3D3D3"/>
            </w:tcBorders>
            <w:shd w:val="clear" w:color="auto" w:fill="auto"/>
            <w:hideMark/>
          </w:tcPr>
          <w:p w14:paraId="7A1EB33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1 945 080</w:t>
            </w:r>
          </w:p>
        </w:tc>
        <w:tc>
          <w:tcPr>
            <w:tcW w:w="1440" w:type="dxa"/>
            <w:tcBorders>
              <w:top w:val="nil"/>
              <w:left w:val="nil"/>
              <w:bottom w:val="single" w:sz="4" w:space="0" w:color="D3D3D3"/>
              <w:right w:val="single" w:sz="4" w:space="0" w:color="D3D3D3"/>
            </w:tcBorders>
            <w:shd w:val="clear" w:color="auto" w:fill="auto"/>
            <w:hideMark/>
          </w:tcPr>
          <w:p w14:paraId="06CF167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4 952 921</w:t>
            </w:r>
          </w:p>
        </w:tc>
        <w:tc>
          <w:tcPr>
            <w:tcW w:w="1440" w:type="dxa"/>
            <w:tcBorders>
              <w:top w:val="nil"/>
              <w:left w:val="nil"/>
              <w:bottom w:val="single" w:sz="4" w:space="0" w:color="D3D3D3"/>
              <w:right w:val="single" w:sz="4" w:space="0" w:color="D3D3D3"/>
            </w:tcBorders>
            <w:shd w:val="clear" w:color="auto" w:fill="auto"/>
            <w:hideMark/>
          </w:tcPr>
          <w:p w14:paraId="519D648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2 099 344</w:t>
            </w:r>
          </w:p>
        </w:tc>
        <w:tc>
          <w:tcPr>
            <w:tcW w:w="1440" w:type="dxa"/>
            <w:tcBorders>
              <w:top w:val="nil"/>
              <w:left w:val="nil"/>
              <w:bottom w:val="single" w:sz="4" w:space="0" w:color="D3D3D3"/>
              <w:right w:val="single" w:sz="4" w:space="0" w:color="D3D3D3"/>
            </w:tcBorders>
            <w:shd w:val="clear" w:color="auto" w:fill="auto"/>
            <w:hideMark/>
          </w:tcPr>
          <w:p w14:paraId="1E26DA67"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267 366</w:t>
            </w:r>
          </w:p>
        </w:tc>
        <w:tc>
          <w:tcPr>
            <w:tcW w:w="1440" w:type="dxa"/>
            <w:tcBorders>
              <w:top w:val="nil"/>
              <w:left w:val="nil"/>
              <w:bottom w:val="single" w:sz="4" w:space="0" w:color="D3D3D3"/>
              <w:right w:val="single" w:sz="4" w:space="0" w:color="D3D3D3"/>
            </w:tcBorders>
            <w:shd w:val="clear" w:color="auto" w:fill="auto"/>
            <w:hideMark/>
          </w:tcPr>
          <w:p w14:paraId="539553D8"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28 000</w:t>
            </w:r>
          </w:p>
        </w:tc>
      </w:tr>
      <w:tr w:rsidR="008E514B" w:rsidRPr="00952383" w14:paraId="11CF17A7"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7DC27B34"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Agriculture</w:t>
            </w:r>
            <w:proofErr w:type="spellEnd"/>
            <w:r w:rsidRPr="00952383">
              <w:rPr>
                <w:rFonts w:eastAsia="Times New Roman" w:cs="Arial"/>
                <w:color w:val="000000"/>
                <w:sz w:val="18"/>
                <w:szCs w:val="18"/>
              </w:rPr>
              <w:t xml:space="preserve"> Risk </w:t>
            </w:r>
            <w:proofErr w:type="spellStart"/>
            <w:r w:rsidRPr="00952383">
              <w:rPr>
                <w:rFonts w:eastAsia="Times New Roman" w:cs="Arial"/>
                <w:color w:val="000000"/>
                <w:sz w:val="18"/>
                <w:szCs w:val="18"/>
              </w:rPr>
              <w:t>Coverage</w:t>
            </w:r>
            <w:proofErr w:type="spellEnd"/>
            <w:r w:rsidRPr="00952383">
              <w:rPr>
                <w:rFonts w:eastAsia="Times New Roman" w:cs="Arial"/>
                <w:color w:val="000000"/>
                <w:sz w:val="18"/>
                <w:szCs w:val="18"/>
              </w:rPr>
              <w:t xml:space="preserve"> (ARC)</w:t>
            </w:r>
          </w:p>
        </w:tc>
        <w:tc>
          <w:tcPr>
            <w:tcW w:w="1440" w:type="dxa"/>
            <w:tcBorders>
              <w:top w:val="nil"/>
              <w:left w:val="nil"/>
              <w:bottom w:val="single" w:sz="4" w:space="0" w:color="D3D3D3"/>
              <w:right w:val="single" w:sz="4" w:space="0" w:color="D3D3D3"/>
            </w:tcBorders>
            <w:shd w:val="clear" w:color="auto" w:fill="auto"/>
            <w:hideMark/>
          </w:tcPr>
          <w:p w14:paraId="28FD693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1 109 009</w:t>
            </w:r>
          </w:p>
        </w:tc>
        <w:tc>
          <w:tcPr>
            <w:tcW w:w="1440" w:type="dxa"/>
            <w:tcBorders>
              <w:top w:val="nil"/>
              <w:left w:val="nil"/>
              <w:bottom w:val="single" w:sz="4" w:space="0" w:color="D3D3D3"/>
              <w:right w:val="single" w:sz="4" w:space="0" w:color="D3D3D3"/>
            </w:tcBorders>
            <w:shd w:val="clear" w:color="auto" w:fill="auto"/>
            <w:hideMark/>
          </w:tcPr>
          <w:p w14:paraId="1CBAF9A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710 107</w:t>
            </w:r>
          </w:p>
        </w:tc>
        <w:tc>
          <w:tcPr>
            <w:tcW w:w="1440" w:type="dxa"/>
            <w:tcBorders>
              <w:top w:val="nil"/>
              <w:left w:val="nil"/>
              <w:bottom w:val="single" w:sz="4" w:space="0" w:color="D3D3D3"/>
              <w:right w:val="single" w:sz="4" w:space="0" w:color="D3D3D3"/>
            </w:tcBorders>
            <w:shd w:val="clear" w:color="auto" w:fill="auto"/>
            <w:hideMark/>
          </w:tcPr>
          <w:p w14:paraId="4C07D00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1 268 776</w:t>
            </w:r>
          </w:p>
        </w:tc>
        <w:tc>
          <w:tcPr>
            <w:tcW w:w="1440" w:type="dxa"/>
            <w:tcBorders>
              <w:top w:val="nil"/>
              <w:left w:val="nil"/>
              <w:bottom w:val="single" w:sz="4" w:space="0" w:color="D3D3D3"/>
              <w:right w:val="single" w:sz="4" w:space="0" w:color="D3D3D3"/>
            </w:tcBorders>
            <w:shd w:val="clear" w:color="auto" w:fill="auto"/>
            <w:hideMark/>
          </w:tcPr>
          <w:p w14:paraId="62C5B43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117 465</w:t>
            </w:r>
          </w:p>
        </w:tc>
        <w:tc>
          <w:tcPr>
            <w:tcW w:w="1440" w:type="dxa"/>
            <w:tcBorders>
              <w:top w:val="nil"/>
              <w:left w:val="nil"/>
              <w:bottom w:val="single" w:sz="4" w:space="0" w:color="D3D3D3"/>
              <w:right w:val="single" w:sz="4" w:space="0" w:color="D3D3D3"/>
            </w:tcBorders>
            <w:shd w:val="clear" w:color="auto" w:fill="auto"/>
            <w:hideMark/>
          </w:tcPr>
          <w:p w14:paraId="559FFAA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105 091</w:t>
            </w:r>
          </w:p>
        </w:tc>
        <w:tc>
          <w:tcPr>
            <w:tcW w:w="1440" w:type="dxa"/>
            <w:tcBorders>
              <w:top w:val="nil"/>
              <w:left w:val="nil"/>
              <w:bottom w:val="single" w:sz="4" w:space="0" w:color="D3D3D3"/>
              <w:right w:val="single" w:sz="4" w:space="0" w:color="D3D3D3"/>
            </w:tcBorders>
            <w:shd w:val="clear" w:color="auto" w:fill="auto"/>
            <w:hideMark/>
          </w:tcPr>
          <w:p w14:paraId="75607E0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41 100</w:t>
            </w:r>
          </w:p>
        </w:tc>
      </w:tr>
      <w:tr w:rsidR="008E514B" w:rsidRPr="00952383" w14:paraId="54F86337"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50CB1E22"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Counter-cyclical</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payments</w:t>
            </w:r>
            <w:proofErr w:type="spellEnd"/>
          </w:p>
        </w:tc>
        <w:tc>
          <w:tcPr>
            <w:tcW w:w="1440" w:type="dxa"/>
            <w:tcBorders>
              <w:top w:val="nil"/>
              <w:left w:val="nil"/>
              <w:bottom w:val="single" w:sz="4" w:space="0" w:color="D3D3D3"/>
              <w:right w:val="single" w:sz="4" w:space="0" w:color="D3D3D3"/>
            </w:tcBorders>
            <w:shd w:val="clear" w:color="auto" w:fill="auto"/>
            <w:hideMark/>
          </w:tcPr>
          <w:p w14:paraId="1B4FEE9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64811AC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47EE25A8"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1627693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00FB110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3AC93B65"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2187C1F4"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58030BE5" w14:textId="77777777" w:rsidR="008E514B" w:rsidRPr="00952383" w:rsidRDefault="008E514B" w:rsidP="00410349">
            <w:pPr>
              <w:rPr>
                <w:rFonts w:eastAsia="Times New Roman" w:cs="Arial"/>
                <w:color w:val="000000"/>
                <w:sz w:val="18"/>
                <w:szCs w:val="18"/>
              </w:rPr>
            </w:pPr>
            <w:r w:rsidRPr="00952383">
              <w:rPr>
                <w:rFonts w:eastAsia="Times New Roman" w:cs="Arial"/>
                <w:color w:val="000000"/>
                <w:sz w:val="18"/>
                <w:szCs w:val="18"/>
              </w:rPr>
              <w:t xml:space="preserve">Loan </w:t>
            </w:r>
            <w:proofErr w:type="spellStart"/>
            <w:r w:rsidRPr="00952383">
              <w:rPr>
                <w:rFonts w:eastAsia="Times New Roman" w:cs="Arial"/>
                <w:color w:val="000000"/>
                <w:sz w:val="18"/>
                <w:szCs w:val="18"/>
              </w:rPr>
              <w:t>deficiency</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payments</w:t>
            </w:r>
            <w:proofErr w:type="spellEnd"/>
          </w:p>
        </w:tc>
        <w:tc>
          <w:tcPr>
            <w:tcW w:w="1440" w:type="dxa"/>
            <w:tcBorders>
              <w:top w:val="nil"/>
              <w:left w:val="nil"/>
              <w:bottom w:val="single" w:sz="4" w:space="0" w:color="D3D3D3"/>
              <w:right w:val="single" w:sz="4" w:space="0" w:color="D3D3D3"/>
            </w:tcBorders>
            <w:shd w:val="clear" w:color="auto" w:fill="auto"/>
            <w:hideMark/>
          </w:tcPr>
          <w:p w14:paraId="07EC450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-515</w:t>
            </w:r>
          </w:p>
        </w:tc>
        <w:tc>
          <w:tcPr>
            <w:tcW w:w="1440" w:type="dxa"/>
            <w:tcBorders>
              <w:top w:val="nil"/>
              <w:left w:val="nil"/>
              <w:bottom w:val="single" w:sz="4" w:space="0" w:color="D3D3D3"/>
              <w:right w:val="single" w:sz="4" w:space="0" w:color="D3D3D3"/>
            </w:tcBorders>
            <w:shd w:val="clear" w:color="auto" w:fill="auto"/>
            <w:hideMark/>
          </w:tcPr>
          <w:p w14:paraId="0E20180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6 780</w:t>
            </w:r>
          </w:p>
        </w:tc>
        <w:tc>
          <w:tcPr>
            <w:tcW w:w="1440" w:type="dxa"/>
            <w:tcBorders>
              <w:top w:val="nil"/>
              <w:left w:val="nil"/>
              <w:bottom w:val="single" w:sz="4" w:space="0" w:color="D3D3D3"/>
              <w:right w:val="single" w:sz="4" w:space="0" w:color="D3D3D3"/>
            </w:tcBorders>
            <w:shd w:val="clear" w:color="auto" w:fill="auto"/>
            <w:hideMark/>
          </w:tcPr>
          <w:p w14:paraId="00465DC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20 949</w:t>
            </w:r>
          </w:p>
        </w:tc>
        <w:tc>
          <w:tcPr>
            <w:tcW w:w="1440" w:type="dxa"/>
            <w:tcBorders>
              <w:top w:val="nil"/>
              <w:left w:val="nil"/>
              <w:bottom w:val="single" w:sz="4" w:space="0" w:color="D3D3D3"/>
              <w:right w:val="single" w:sz="4" w:space="0" w:color="D3D3D3"/>
            </w:tcBorders>
            <w:shd w:val="clear" w:color="auto" w:fill="auto"/>
            <w:hideMark/>
          </w:tcPr>
          <w:p w14:paraId="268916C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7 167</w:t>
            </w:r>
          </w:p>
        </w:tc>
        <w:tc>
          <w:tcPr>
            <w:tcW w:w="1440" w:type="dxa"/>
            <w:tcBorders>
              <w:top w:val="nil"/>
              <w:left w:val="nil"/>
              <w:bottom w:val="single" w:sz="4" w:space="0" w:color="D3D3D3"/>
              <w:right w:val="single" w:sz="4" w:space="0" w:color="D3D3D3"/>
            </w:tcBorders>
            <w:shd w:val="clear" w:color="auto" w:fill="auto"/>
            <w:hideMark/>
          </w:tcPr>
          <w:p w14:paraId="743AB41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3 113</w:t>
            </w:r>
          </w:p>
        </w:tc>
        <w:tc>
          <w:tcPr>
            <w:tcW w:w="1440" w:type="dxa"/>
            <w:tcBorders>
              <w:top w:val="nil"/>
              <w:left w:val="nil"/>
              <w:bottom w:val="single" w:sz="4" w:space="0" w:color="D3D3D3"/>
              <w:right w:val="single" w:sz="4" w:space="0" w:color="D3D3D3"/>
            </w:tcBorders>
            <w:shd w:val="clear" w:color="auto" w:fill="auto"/>
            <w:hideMark/>
          </w:tcPr>
          <w:p w14:paraId="0B1AE31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r>
      <w:tr w:rsidR="008E514B" w:rsidRPr="00952383" w14:paraId="6B586448"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70286F20" w14:textId="77777777" w:rsidR="008E514B" w:rsidRPr="00952383" w:rsidRDefault="008E514B" w:rsidP="00410349">
            <w:pPr>
              <w:rPr>
                <w:rFonts w:eastAsia="Times New Roman" w:cs="Arial"/>
                <w:color w:val="000000"/>
                <w:sz w:val="18"/>
                <w:szCs w:val="18"/>
              </w:rPr>
            </w:pPr>
            <w:r w:rsidRPr="00952383">
              <w:rPr>
                <w:rFonts w:eastAsia="Times New Roman" w:cs="Arial"/>
                <w:color w:val="000000"/>
                <w:sz w:val="18"/>
                <w:szCs w:val="18"/>
              </w:rPr>
              <w:t xml:space="preserve">Marketing </w:t>
            </w:r>
            <w:proofErr w:type="spellStart"/>
            <w:r w:rsidRPr="00952383">
              <w:rPr>
                <w:rFonts w:eastAsia="Times New Roman" w:cs="Arial"/>
                <w:color w:val="000000"/>
                <w:sz w:val="18"/>
                <w:szCs w:val="18"/>
              </w:rPr>
              <w:t>loan</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gains</w:t>
            </w:r>
            <w:proofErr w:type="spellEnd"/>
          </w:p>
        </w:tc>
        <w:tc>
          <w:tcPr>
            <w:tcW w:w="1440" w:type="dxa"/>
            <w:tcBorders>
              <w:top w:val="nil"/>
              <w:left w:val="nil"/>
              <w:bottom w:val="single" w:sz="4" w:space="0" w:color="D3D3D3"/>
              <w:right w:val="single" w:sz="4" w:space="0" w:color="D3D3D3"/>
            </w:tcBorders>
            <w:shd w:val="clear" w:color="auto" w:fill="auto"/>
            <w:hideMark/>
          </w:tcPr>
          <w:p w14:paraId="5A3C156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4E0D4D0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695</w:t>
            </w:r>
          </w:p>
        </w:tc>
        <w:tc>
          <w:tcPr>
            <w:tcW w:w="1440" w:type="dxa"/>
            <w:tcBorders>
              <w:top w:val="nil"/>
              <w:left w:val="nil"/>
              <w:bottom w:val="single" w:sz="4" w:space="0" w:color="D3D3D3"/>
              <w:right w:val="single" w:sz="4" w:space="0" w:color="D3D3D3"/>
            </w:tcBorders>
            <w:shd w:val="clear" w:color="auto" w:fill="auto"/>
            <w:hideMark/>
          </w:tcPr>
          <w:p w14:paraId="6F5206F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78 374</w:t>
            </w:r>
          </w:p>
        </w:tc>
        <w:tc>
          <w:tcPr>
            <w:tcW w:w="1440" w:type="dxa"/>
            <w:tcBorders>
              <w:top w:val="nil"/>
              <w:left w:val="nil"/>
              <w:bottom w:val="single" w:sz="4" w:space="0" w:color="D3D3D3"/>
              <w:right w:val="single" w:sz="4" w:space="0" w:color="D3D3D3"/>
            </w:tcBorders>
            <w:shd w:val="clear" w:color="auto" w:fill="auto"/>
            <w:hideMark/>
          </w:tcPr>
          <w:p w14:paraId="38E26615"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36</w:t>
            </w:r>
          </w:p>
        </w:tc>
        <w:tc>
          <w:tcPr>
            <w:tcW w:w="1440" w:type="dxa"/>
            <w:tcBorders>
              <w:top w:val="nil"/>
              <w:left w:val="nil"/>
              <w:bottom w:val="single" w:sz="4" w:space="0" w:color="D3D3D3"/>
              <w:right w:val="single" w:sz="4" w:space="0" w:color="D3D3D3"/>
            </w:tcBorders>
            <w:shd w:val="clear" w:color="auto" w:fill="auto"/>
            <w:hideMark/>
          </w:tcPr>
          <w:p w14:paraId="6073158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5 561</w:t>
            </w:r>
          </w:p>
        </w:tc>
        <w:tc>
          <w:tcPr>
            <w:tcW w:w="1440" w:type="dxa"/>
            <w:tcBorders>
              <w:top w:val="nil"/>
              <w:left w:val="nil"/>
              <w:bottom w:val="single" w:sz="4" w:space="0" w:color="D3D3D3"/>
              <w:right w:val="single" w:sz="4" w:space="0" w:color="D3D3D3"/>
            </w:tcBorders>
            <w:shd w:val="clear" w:color="auto" w:fill="auto"/>
            <w:hideMark/>
          </w:tcPr>
          <w:p w14:paraId="3A0EF84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r>
      <w:tr w:rsidR="008E514B" w:rsidRPr="00952383" w14:paraId="728645B7"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390C14D8"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Certificate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exchange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gains</w:t>
            </w:r>
            <w:proofErr w:type="spellEnd"/>
          </w:p>
        </w:tc>
        <w:tc>
          <w:tcPr>
            <w:tcW w:w="1440" w:type="dxa"/>
            <w:tcBorders>
              <w:top w:val="nil"/>
              <w:left w:val="nil"/>
              <w:bottom w:val="single" w:sz="4" w:space="0" w:color="D3D3D3"/>
              <w:right w:val="single" w:sz="4" w:space="0" w:color="D3D3D3"/>
            </w:tcBorders>
            <w:shd w:val="clear" w:color="auto" w:fill="auto"/>
            <w:hideMark/>
          </w:tcPr>
          <w:p w14:paraId="1F887185"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5077C6F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1E19E9A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632543F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27AC6F0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1D2D6B9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08CDA346"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242D7BF6"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Milk</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income</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loss</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payments</w:t>
            </w:r>
            <w:proofErr w:type="spellEnd"/>
          </w:p>
        </w:tc>
        <w:tc>
          <w:tcPr>
            <w:tcW w:w="1440" w:type="dxa"/>
            <w:tcBorders>
              <w:top w:val="nil"/>
              <w:left w:val="nil"/>
              <w:bottom w:val="single" w:sz="4" w:space="0" w:color="D3D3D3"/>
              <w:right w:val="single" w:sz="4" w:space="0" w:color="D3D3D3"/>
            </w:tcBorders>
            <w:shd w:val="clear" w:color="auto" w:fill="auto"/>
            <w:hideMark/>
          </w:tcPr>
          <w:p w14:paraId="7FF95738"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-20</w:t>
            </w:r>
          </w:p>
        </w:tc>
        <w:tc>
          <w:tcPr>
            <w:tcW w:w="1440" w:type="dxa"/>
            <w:tcBorders>
              <w:top w:val="nil"/>
              <w:left w:val="nil"/>
              <w:bottom w:val="single" w:sz="4" w:space="0" w:color="D3D3D3"/>
              <w:right w:val="single" w:sz="4" w:space="0" w:color="D3D3D3"/>
            </w:tcBorders>
            <w:shd w:val="clear" w:color="auto" w:fill="auto"/>
            <w:hideMark/>
          </w:tcPr>
          <w:p w14:paraId="1B93EAC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-25</w:t>
            </w:r>
          </w:p>
        </w:tc>
        <w:tc>
          <w:tcPr>
            <w:tcW w:w="1440" w:type="dxa"/>
            <w:tcBorders>
              <w:top w:val="nil"/>
              <w:left w:val="nil"/>
              <w:bottom w:val="single" w:sz="4" w:space="0" w:color="D3D3D3"/>
              <w:right w:val="single" w:sz="4" w:space="0" w:color="D3D3D3"/>
            </w:tcBorders>
            <w:shd w:val="clear" w:color="auto" w:fill="auto"/>
            <w:hideMark/>
          </w:tcPr>
          <w:p w14:paraId="14A3338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-26</w:t>
            </w:r>
          </w:p>
        </w:tc>
        <w:tc>
          <w:tcPr>
            <w:tcW w:w="1440" w:type="dxa"/>
            <w:tcBorders>
              <w:top w:val="nil"/>
              <w:left w:val="nil"/>
              <w:bottom w:val="single" w:sz="4" w:space="0" w:color="D3D3D3"/>
              <w:right w:val="single" w:sz="4" w:space="0" w:color="D3D3D3"/>
            </w:tcBorders>
            <w:shd w:val="clear" w:color="auto" w:fill="auto"/>
            <w:hideMark/>
          </w:tcPr>
          <w:p w14:paraId="53FBB9D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-20</w:t>
            </w:r>
          </w:p>
        </w:tc>
        <w:tc>
          <w:tcPr>
            <w:tcW w:w="1440" w:type="dxa"/>
            <w:tcBorders>
              <w:top w:val="nil"/>
              <w:left w:val="nil"/>
              <w:bottom w:val="single" w:sz="4" w:space="0" w:color="D3D3D3"/>
              <w:right w:val="single" w:sz="4" w:space="0" w:color="D3D3D3"/>
            </w:tcBorders>
            <w:shd w:val="clear" w:color="auto" w:fill="auto"/>
            <w:hideMark/>
          </w:tcPr>
          <w:p w14:paraId="7B14A4F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6208DB3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18BF6AD2"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53FD57F2"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Dairy</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Margin</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Coverage</w:t>
            </w:r>
            <w:proofErr w:type="spellEnd"/>
            <w:r w:rsidRPr="00952383">
              <w:rPr>
                <w:rFonts w:eastAsia="Times New Roman" w:cs="Arial"/>
                <w:color w:val="000000"/>
                <w:sz w:val="18"/>
                <w:szCs w:val="18"/>
              </w:rPr>
              <w:t xml:space="preserve"> Program</w:t>
            </w:r>
          </w:p>
        </w:tc>
        <w:tc>
          <w:tcPr>
            <w:tcW w:w="1440" w:type="dxa"/>
            <w:tcBorders>
              <w:top w:val="nil"/>
              <w:left w:val="nil"/>
              <w:bottom w:val="single" w:sz="4" w:space="0" w:color="D3D3D3"/>
              <w:right w:val="single" w:sz="4" w:space="0" w:color="D3D3D3"/>
            </w:tcBorders>
            <w:shd w:val="clear" w:color="auto" w:fill="auto"/>
            <w:hideMark/>
          </w:tcPr>
          <w:p w14:paraId="3923BC8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250 013</w:t>
            </w:r>
          </w:p>
        </w:tc>
        <w:tc>
          <w:tcPr>
            <w:tcW w:w="1440" w:type="dxa"/>
            <w:tcBorders>
              <w:top w:val="nil"/>
              <w:left w:val="nil"/>
              <w:bottom w:val="single" w:sz="4" w:space="0" w:color="D3D3D3"/>
              <w:right w:val="single" w:sz="4" w:space="0" w:color="D3D3D3"/>
            </w:tcBorders>
            <w:shd w:val="clear" w:color="auto" w:fill="auto"/>
            <w:hideMark/>
          </w:tcPr>
          <w:p w14:paraId="2B034F5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294 551</w:t>
            </w:r>
          </w:p>
        </w:tc>
        <w:tc>
          <w:tcPr>
            <w:tcW w:w="1440" w:type="dxa"/>
            <w:tcBorders>
              <w:top w:val="nil"/>
              <w:left w:val="nil"/>
              <w:bottom w:val="single" w:sz="4" w:space="0" w:color="D3D3D3"/>
              <w:right w:val="single" w:sz="4" w:space="0" w:color="D3D3D3"/>
            </w:tcBorders>
            <w:shd w:val="clear" w:color="auto" w:fill="auto"/>
            <w:hideMark/>
          </w:tcPr>
          <w:p w14:paraId="3906C7F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185 393</w:t>
            </w:r>
          </w:p>
        </w:tc>
        <w:tc>
          <w:tcPr>
            <w:tcW w:w="1440" w:type="dxa"/>
            <w:tcBorders>
              <w:top w:val="nil"/>
              <w:left w:val="nil"/>
              <w:bottom w:val="single" w:sz="4" w:space="0" w:color="D3D3D3"/>
              <w:right w:val="single" w:sz="4" w:space="0" w:color="D3D3D3"/>
            </w:tcBorders>
            <w:shd w:val="clear" w:color="auto" w:fill="auto"/>
            <w:hideMark/>
          </w:tcPr>
          <w:p w14:paraId="5431498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1 148 359</w:t>
            </w:r>
          </w:p>
        </w:tc>
        <w:tc>
          <w:tcPr>
            <w:tcW w:w="1440" w:type="dxa"/>
            <w:tcBorders>
              <w:top w:val="nil"/>
              <w:left w:val="nil"/>
              <w:bottom w:val="single" w:sz="4" w:space="0" w:color="D3D3D3"/>
              <w:right w:val="single" w:sz="4" w:space="0" w:color="D3D3D3"/>
            </w:tcBorders>
            <w:shd w:val="clear" w:color="auto" w:fill="auto"/>
            <w:hideMark/>
          </w:tcPr>
          <w:p w14:paraId="01DDDBB8"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128 274</w:t>
            </w:r>
          </w:p>
        </w:tc>
        <w:tc>
          <w:tcPr>
            <w:tcW w:w="1440" w:type="dxa"/>
            <w:tcBorders>
              <w:top w:val="nil"/>
              <w:left w:val="nil"/>
              <w:bottom w:val="single" w:sz="4" w:space="0" w:color="D3D3D3"/>
              <w:right w:val="single" w:sz="4" w:space="0" w:color="D3D3D3"/>
            </w:tcBorders>
            <w:shd w:val="clear" w:color="auto" w:fill="auto"/>
            <w:hideMark/>
          </w:tcPr>
          <w:p w14:paraId="3742CD0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285 000</w:t>
            </w:r>
          </w:p>
        </w:tc>
      </w:tr>
      <w:tr w:rsidR="008E514B" w:rsidRPr="00952383" w14:paraId="2CD02A9F"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0271C166"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Tobacco</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Transition</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Payment</w:t>
            </w:r>
            <w:proofErr w:type="spellEnd"/>
            <w:r w:rsidRPr="00952383">
              <w:rPr>
                <w:rFonts w:eastAsia="Times New Roman" w:cs="Arial"/>
                <w:color w:val="000000"/>
                <w:sz w:val="18"/>
                <w:szCs w:val="18"/>
              </w:rPr>
              <w:t xml:space="preserve"> Program</w:t>
            </w:r>
          </w:p>
        </w:tc>
        <w:tc>
          <w:tcPr>
            <w:tcW w:w="1440" w:type="dxa"/>
            <w:tcBorders>
              <w:top w:val="nil"/>
              <w:left w:val="nil"/>
              <w:bottom w:val="single" w:sz="4" w:space="0" w:color="D3D3D3"/>
              <w:right w:val="single" w:sz="4" w:space="0" w:color="D3D3D3"/>
            </w:tcBorders>
            <w:shd w:val="clear" w:color="auto" w:fill="auto"/>
            <w:hideMark/>
          </w:tcPr>
          <w:p w14:paraId="611527F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03AC0F2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7ACCEC8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229BEAB0"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5287396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28B1171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6C959442"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48FFD800"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Conservation</w:t>
            </w:r>
            <w:proofErr w:type="spellEnd"/>
          </w:p>
        </w:tc>
        <w:tc>
          <w:tcPr>
            <w:tcW w:w="1440" w:type="dxa"/>
            <w:tcBorders>
              <w:top w:val="nil"/>
              <w:left w:val="nil"/>
              <w:bottom w:val="single" w:sz="4" w:space="0" w:color="D3D3D3"/>
              <w:right w:val="single" w:sz="4" w:space="0" w:color="D3D3D3"/>
            </w:tcBorders>
            <w:shd w:val="clear" w:color="auto" w:fill="auto"/>
            <w:hideMark/>
          </w:tcPr>
          <w:p w14:paraId="1A0E415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3 986 516</w:t>
            </w:r>
          </w:p>
        </w:tc>
        <w:tc>
          <w:tcPr>
            <w:tcW w:w="1440" w:type="dxa"/>
            <w:tcBorders>
              <w:top w:val="nil"/>
              <w:left w:val="nil"/>
              <w:bottom w:val="single" w:sz="4" w:space="0" w:color="D3D3D3"/>
              <w:right w:val="single" w:sz="4" w:space="0" w:color="D3D3D3"/>
            </w:tcBorders>
            <w:shd w:val="clear" w:color="auto" w:fill="auto"/>
            <w:hideMark/>
          </w:tcPr>
          <w:p w14:paraId="2FEE133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3 830 392</w:t>
            </w:r>
          </w:p>
        </w:tc>
        <w:tc>
          <w:tcPr>
            <w:tcW w:w="1440" w:type="dxa"/>
            <w:tcBorders>
              <w:top w:val="nil"/>
              <w:left w:val="nil"/>
              <w:bottom w:val="single" w:sz="4" w:space="0" w:color="D3D3D3"/>
              <w:right w:val="single" w:sz="4" w:space="0" w:color="D3D3D3"/>
            </w:tcBorders>
            <w:shd w:val="clear" w:color="auto" w:fill="auto"/>
            <w:hideMark/>
          </w:tcPr>
          <w:p w14:paraId="5B6489B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3 814 693</w:t>
            </w:r>
          </w:p>
        </w:tc>
        <w:tc>
          <w:tcPr>
            <w:tcW w:w="1440" w:type="dxa"/>
            <w:tcBorders>
              <w:top w:val="nil"/>
              <w:left w:val="nil"/>
              <w:bottom w:val="single" w:sz="4" w:space="0" w:color="D3D3D3"/>
              <w:right w:val="single" w:sz="4" w:space="0" w:color="D3D3D3"/>
            </w:tcBorders>
            <w:shd w:val="clear" w:color="auto" w:fill="auto"/>
            <w:hideMark/>
          </w:tcPr>
          <w:p w14:paraId="3B04E03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3 533 286</w:t>
            </w:r>
          </w:p>
        </w:tc>
        <w:tc>
          <w:tcPr>
            <w:tcW w:w="1440" w:type="dxa"/>
            <w:tcBorders>
              <w:top w:val="nil"/>
              <w:left w:val="nil"/>
              <w:bottom w:val="single" w:sz="4" w:space="0" w:color="D3D3D3"/>
              <w:right w:val="single" w:sz="4" w:space="0" w:color="D3D3D3"/>
            </w:tcBorders>
            <w:shd w:val="clear" w:color="auto" w:fill="auto"/>
            <w:hideMark/>
          </w:tcPr>
          <w:p w14:paraId="45198B0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3 560 906</w:t>
            </w:r>
          </w:p>
        </w:tc>
        <w:tc>
          <w:tcPr>
            <w:tcW w:w="1440" w:type="dxa"/>
            <w:tcBorders>
              <w:top w:val="nil"/>
              <w:left w:val="nil"/>
              <w:bottom w:val="single" w:sz="4" w:space="0" w:color="D3D3D3"/>
              <w:right w:val="single" w:sz="4" w:space="0" w:color="D3D3D3"/>
            </w:tcBorders>
            <w:shd w:val="clear" w:color="auto" w:fill="auto"/>
            <w:hideMark/>
          </w:tcPr>
          <w:p w14:paraId="7FF81DA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4 023 000</w:t>
            </w:r>
          </w:p>
        </w:tc>
      </w:tr>
      <w:tr w:rsidR="008E514B" w:rsidRPr="00952383" w14:paraId="7B3C87A3"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4165A209"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Biomass</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Crop</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Assistance</w:t>
            </w:r>
            <w:proofErr w:type="spellEnd"/>
            <w:r w:rsidRPr="00952383">
              <w:rPr>
                <w:rFonts w:eastAsia="Times New Roman" w:cs="Arial"/>
                <w:color w:val="000000"/>
                <w:sz w:val="18"/>
                <w:szCs w:val="18"/>
              </w:rPr>
              <w:t xml:space="preserve"> Program (BCAP)</w:t>
            </w:r>
          </w:p>
        </w:tc>
        <w:tc>
          <w:tcPr>
            <w:tcW w:w="1440" w:type="dxa"/>
            <w:tcBorders>
              <w:top w:val="nil"/>
              <w:left w:val="nil"/>
              <w:bottom w:val="single" w:sz="4" w:space="0" w:color="D3D3D3"/>
              <w:right w:val="single" w:sz="4" w:space="0" w:color="D3D3D3"/>
            </w:tcBorders>
            <w:shd w:val="clear" w:color="auto" w:fill="auto"/>
            <w:hideMark/>
          </w:tcPr>
          <w:p w14:paraId="7306090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236</w:t>
            </w:r>
          </w:p>
        </w:tc>
        <w:tc>
          <w:tcPr>
            <w:tcW w:w="1440" w:type="dxa"/>
            <w:tcBorders>
              <w:top w:val="nil"/>
              <w:left w:val="nil"/>
              <w:bottom w:val="single" w:sz="4" w:space="0" w:color="D3D3D3"/>
              <w:right w:val="single" w:sz="4" w:space="0" w:color="D3D3D3"/>
            </w:tcBorders>
            <w:shd w:val="clear" w:color="auto" w:fill="auto"/>
            <w:hideMark/>
          </w:tcPr>
          <w:p w14:paraId="499683D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83</w:t>
            </w:r>
          </w:p>
        </w:tc>
        <w:tc>
          <w:tcPr>
            <w:tcW w:w="1440" w:type="dxa"/>
            <w:tcBorders>
              <w:top w:val="nil"/>
              <w:left w:val="nil"/>
              <w:bottom w:val="single" w:sz="4" w:space="0" w:color="D3D3D3"/>
              <w:right w:val="single" w:sz="4" w:space="0" w:color="D3D3D3"/>
            </w:tcBorders>
            <w:shd w:val="clear" w:color="auto" w:fill="auto"/>
            <w:hideMark/>
          </w:tcPr>
          <w:p w14:paraId="2E4C2DC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54</w:t>
            </w:r>
          </w:p>
        </w:tc>
        <w:tc>
          <w:tcPr>
            <w:tcW w:w="1440" w:type="dxa"/>
            <w:tcBorders>
              <w:top w:val="nil"/>
              <w:left w:val="nil"/>
              <w:bottom w:val="single" w:sz="4" w:space="0" w:color="D3D3D3"/>
              <w:right w:val="single" w:sz="4" w:space="0" w:color="D3D3D3"/>
            </w:tcBorders>
            <w:shd w:val="clear" w:color="auto" w:fill="auto"/>
            <w:hideMark/>
          </w:tcPr>
          <w:p w14:paraId="3B84723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70</w:t>
            </w:r>
          </w:p>
        </w:tc>
        <w:tc>
          <w:tcPr>
            <w:tcW w:w="1440" w:type="dxa"/>
            <w:tcBorders>
              <w:top w:val="nil"/>
              <w:left w:val="nil"/>
              <w:bottom w:val="single" w:sz="4" w:space="0" w:color="D3D3D3"/>
              <w:right w:val="single" w:sz="4" w:space="0" w:color="D3D3D3"/>
            </w:tcBorders>
            <w:shd w:val="clear" w:color="auto" w:fill="auto"/>
            <w:hideMark/>
          </w:tcPr>
          <w:p w14:paraId="631DD8A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0B0C8AF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r>
      <w:tr w:rsidR="008E514B" w:rsidRPr="00952383" w14:paraId="7E8D3E8F"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5C2C6ADB"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Supplemental</w:t>
            </w:r>
            <w:proofErr w:type="spellEnd"/>
            <w:r w:rsidRPr="00952383">
              <w:rPr>
                <w:rFonts w:eastAsia="Times New Roman" w:cs="Arial"/>
                <w:color w:val="000000"/>
                <w:sz w:val="18"/>
                <w:szCs w:val="18"/>
              </w:rPr>
              <w:t xml:space="preserve"> and ad hoc </w:t>
            </w:r>
            <w:proofErr w:type="spellStart"/>
            <w:r w:rsidRPr="00952383">
              <w:rPr>
                <w:rFonts w:eastAsia="Times New Roman" w:cs="Arial"/>
                <w:color w:val="000000"/>
                <w:sz w:val="18"/>
                <w:szCs w:val="18"/>
              </w:rPr>
              <w:t>disaster</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assistance</w:t>
            </w:r>
            <w:proofErr w:type="spellEnd"/>
          </w:p>
        </w:tc>
        <w:tc>
          <w:tcPr>
            <w:tcW w:w="1440" w:type="dxa"/>
            <w:tcBorders>
              <w:top w:val="nil"/>
              <w:left w:val="nil"/>
              <w:bottom w:val="single" w:sz="4" w:space="0" w:color="D3D3D3"/>
              <w:right w:val="single" w:sz="4" w:space="0" w:color="D3D3D3"/>
            </w:tcBorders>
            <w:shd w:val="clear" w:color="auto" w:fill="auto"/>
            <w:hideMark/>
          </w:tcPr>
          <w:p w14:paraId="2F0C2A1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915 566</w:t>
            </w:r>
          </w:p>
        </w:tc>
        <w:tc>
          <w:tcPr>
            <w:tcW w:w="1440" w:type="dxa"/>
            <w:tcBorders>
              <w:top w:val="nil"/>
              <w:left w:val="nil"/>
              <w:bottom w:val="single" w:sz="4" w:space="0" w:color="D3D3D3"/>
              <w:right w:val="single" w:sz="4" w:space="0" w:color="D3D3D3"/>
            </w:tcBorders>
            <w:shd w:val="clear" w:color="auto" w:fill="auto"/>
            <w:hideMark/>
          </w:tcPr>
          <w:p w14:paraId="00B7F96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1 447 919</w:t>
            </w:r>
          </w:p>
        </w:tc>
        <w:tc>
          <w:tcPr>
            <w:tcW w:w="1440" w:type="dxa"/>
            <w:tcBorders>
              <w:top w:val="nil"/>
              <w:left w:val="nil"/>
              <w:bottom w:val="single" w:sz="4" w:space="0" w:color="D3D3D3"/>
              <w:right w:val="single" w:sz="4" w:space="0" w:color="D3D3D3"/>
            </w:tcBorders>
            <w:shd w:val="clear" w:color="auto" w:fill="auto"/>
            <w:hideMark/>
          </w:tcPr>
          <w:p w14:paraId="2CE84CC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31 408 536</w:t>
            </w:r>
          </w:p>
        </w:tc>
        <w:tc>
          <w:tcPr>
            <w:tcW w:w="1440" w:type="dxa"/>
            <w:tcBorders>
              <w:top w:val="nil"/>
              <w:left w:val="nil"/>
              <w:bottom w:val="single" w:sz="4" w:space="0" w:color="D3D3D3"/>
              <w:right w:val="single" w:sz="4" w:space="0" w:color="D3D3D3"/>
            </w:tcBorders>
            <w:shd w:val="clear" w:color="auto" w:fill="auto"/>
            <w:hideMark/>
          </w:tcPr>
          <w:p w14:paraId="66D605A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19 010 862</w:t>
            </w:r>
          </w:p>
        </w:tc>
        <w:tc>
          <w:tcPr>
            <w:tcW w:w="1440" w:type="dxa"/>
            <w:tcBorders>
              <w:top w:val="nil"/>
              <w:left w:val="nil"/>
              <w:bottom w:val="single" w:sz="4" w:space="0" w:color="D3D3D3"/>
              <w:right w:val="single" w:sz="4" w:space="0" w:color="D3D3D3"/>
            </w:tcBorders>
            <w:shd w:val="clear" w:color="auto" w:fill="auto"/>
            <w:hideMark/>
          </w:tcPr>
          <w:p w14:paraId="3BA4703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11 537 465</w:t>
            </w:r>
          </w:p>
        </w:tc>
        <w:tc>
          <w:tcPr>
            <w:tcW w:w="1440" w:type="dxa"/>
            <w:tcBorders>
              <w:top w:val="nil"/>
              <w:left w:val="nil"/>
              <w:bottom w:val="single" w:sz="4" w:space="0" w:color="D3D3D3"/>
              <w:right w:val="single" w:sz="4" w:space="0" w:color="D3D3D3"/>
            </w:tcBorders>
            <w:shd w:val="clear" w:color="auto" w:fill="auto"/>
            <w:hideMark/>
          </w:tcPr>
          <w:p w14:paraId="2E72A0B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5 856 154</w:t>
            </w:r>
          </w:p>
        </w:tc>
      </w:tr>
      <w:tr w:rsidR="008E514B" w:rsidRPr="00952383" w14:paraId="2FB69944"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EDEDCC" w:fill="EDEDCC"/>
            <w:vAlign w:val="center"/>
            <w:hideMark/>
          </w:tcPr>
          <w:p w14:paraId="0BA5F43B" w14:textId="77777777" w:rsidR="008E514B" w:rsidRPr="00952383" w:rsidRDefault="008E514B" w:rsidP="00410349">
            <w:pPr>
              <w:ind w:firstLineChars="100" w:firstLine="180"/>
              <w:rPr>
                <w:rFonts w:eastAsia="Times New Roman" w:cs="Arial"/>
                <w:color w:val="000000"/>
                <w:sz w:val="18"/>
                <w:szCs w:val="18"/>
              </w:rPr>
            </w:pPr>
            <w:r w:rsidRPr="00952383">
              <w:rPr>
                <w:rFonts w:eastAsia="Times New Roman" w:cs="Arial"/>
                <w:color w:val="000000"/>
                <w:sz w:val="18"/>
                <w:szCs w:val="18"/>
              </w:rPr>
              <w:t xml:space="preserve">USDA </w:t>
            </w:r>
            <w:proofErr w:type="spellStart"/>
            <w:r w:rsidRPr="00952383">
              <w:rPr>
                <w:rFonts w:eastAsia="Times New Roman" w:cs="Arial"/>
                <w:color w:val="000000"/>
                <w:sz w:val="18"/>
                <w:szCs w:val="18"/>
              </w:rPr>
              <w:t>pandemic</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assistance</w:t>
            </w:r>
            <w:proofErr w:type="spellEnd"/>
          </w:p>
        </w:tc>
        <w:tc>
          <w:tcPr>
            <w:tcW w:w="1440" w:type="dxa"/>
            <w:tcBorders>
              <w:top w:val="nil"/>
              <w:left w:val="nil"/>
              <w:bottom w:val="single" w:sz="4" w:space="0" w:color="D3D3D3"/>
              <w:right w:val="single" w:sz="4" w:space="0" w:color="D3D3D3"/>
            </w:tcBorders>
            <w:shd w:val="clear" w:color="auto" w:fill="auto"/>
            <w:hideMark/>
          </w:tcPr>
          <w:p w14:paraId="78972DB5"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5AC1746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4A9AC8B7"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23 527 864</w:t>
            </w:r>
          </w:p>
        </w:tc>
        <w:tc>
          <w:tcPr>
            <w:tcW w:w="1440" w:type="dxa"/>
            <w:tcBorders>
              <w:top w:val="nil"/>
              <w:left w:val="nil"/>
              <w:bottom w:val="single" w:sz="4" w:space="0" w:color="D3D3D3"/>
              <w:right w:val="single" w:sz="4" w:space="0" w:color="D3D3D3"/>
            </w:tcBorders>
            <w:shd w:val="clear" w:color="auto" w:fill="auto"/>
            <w:hideMark/>
          </w:tcPr>
          <w:p w14:paraId="2F12EAA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7 488 170</w:t>
            </w:r>
          </w:p>
        </w:tc>
        <w:tc>
          <w:tcPr>
            <w:tcW w:w="1440" w:type="dxa"/>
            <w:tcBorders>
              <w:top w:val="nil"/>
              <w:left w:val="nil"/>
              <w:bottom w:val="single" w:sz="4" w:space="0" w:color="D3D3D3"/>
              <w:right w:val="single" w:sz="4" w:space="0" w:color="D3D3D3"/>
            </w:tcBorders>
            <w:shd w:val="clear" w:color="auto" w:fill="auto"/>
            <w:hideMark/>
          </w:tcPr>
          <w:p w14:paraId="03C0B7C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540 277</w:t>
            </w:r>
          </w:p>
        </w:tc>
        <w:tc>
          <w:tcPr>
            <w:tcW w:w="1440" w:type="dxa"/>
            <w:tcBorders>
              <w:top w:val="nil"/>
              <w:left w:val="nil"/>
              <w:bottom w:val="single" w:sz="4" w:space="0" w:color="D3D3D3"/>
              <w:right w:val="single" w:sz="4" w:space="0" w:color="D3D3D3"/>
            </w:tcBorders>
            <w:shd w:val="clear" w:color="auto" w:fill="auto"/>
            <w:hideMark/>
          </w:tcPr>
          <w:p w14:paraId="1357F09E"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983 475</w:t>
            </w:r>
          </w:p>
        </w:tc>
      </w:tr>
      <w:tr w:rsidR="008E514B" w:rsidRPr="00952383" w14:paraId="7D2A3E6F"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EDEDCC" w:fill="EDEDCC"/>
            <w:vAlign w:val="center"/>
            <w:hideMark/>
          </w:tcPr>
          <w:p w14:paraId="0B22A491" w14:textId="77777777" w:rsidR="008E514B" w:rsidRPr="00952383" w:rsidRDefault="008E514B" w:rsidP="00410349">
            <w:pPr>
              <w:ind w:firstLineChars="100" w:firstLine="180"/>
              <w:rPr>
                <w:rFonts w:eastAsia="Times New Roman" w:cs="Arial"/>
                <w:color w:val="000000"/>
                <w:sz w:val="18"/>
                <w:szCs w:val="18"/>
              </w:rPr>
            </w:pPr>
            <w:r w:rsidRPr="00952383">
              <w:rPr>
                <w:rFonts w:eastAsia="Times New Roman" w:cs="Arial"/>
                <w:color w:val="000000"/>
                <w:sz w:val="18"/>
                <w:szCs w:val="18"/>
              </w:rPr>
              <w:t xml:space="preserve">Non-USDA </w:t>
            </w:r>
            <w:proofErr w:type="spellStart"/>
            <w:r w:rsidRPr="00952383">
              <w:rPr>
                <w:rFonts w:eastAsia="Times New Roman" w:cs="Arial"/>
                <w:color w:val="000000"/>
                <w:sz w:val="18"/>
                <w:szCs w:val="18"/>
              </w:rPr>
              <w:t>pandemic</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assistance</w:t>
            </w:r>
            <w:proofErr w:type="spellEnd"/>
          </w:p>
        </w:tc>
        <w:tc>
          <w:tcPr>
            <w:tcW w:w="1440" w:type="dxa"/>
            <w:tcBorders>
              <w:top w:val="nil"/>
              <w:left w:val="nil"/>
              <w:bottom w:val="single" w:sz="4" w:space="0" w:color="D3D3D3"/>
              <w:right w:val="single" w:sz="4" w:space="0" w:color="D3D3D3"/>
            </w:tcBorders>
            <w:shd w:val="clear" w:color="auto" w:fill="auto"/>
            <w:hideMark/>
          </w:tcPr>
          <w:p w14:paraId="4B10008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3FF026A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7B08EEE6"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5 847 586</w:t>
            </w:r>
          </w:p>
        </w:tc>
        <w:tc>
          <w:tcPr>
            <w:tcW w:w="1440" w:type="dxa"/>
            <w:tcBorders>
              <w:top w:val="nil"/>
              <w:left w:val="nil"/>
              <w:bottom w:val="single" w:sz="4" w:space="0" w:color="D3D3D3"/>
              <w:right w:val="single" w:sz="4" w:space="0" w:color="D3D3D3"/>
            </w:tcBorders>
            <w:shd w:val="clear" w:color="auto" w:fill="auto"/>
            <w:hideMark/>
          </w:tcPr>
          <w:p w14:paraId="20C1D9E7"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8 593 862</w:t>
            </w:r>
          </w:p>
        </w:tc>
        <w:tc>
          <w:tcPr>
            <w:tcW w:w="1440" w:type="dxa"/>
            <w:tcBorders>
              <w:top w:val="nil"/>
              <w:left w:val="nil"/>
              <w:bottom w:val="single" w:sz="4" w:space="0" w:color="D3D3D3"/>
              <w:right w:val="single" w:sz="4" w:space="0" w:color="D3D3D3"/>
            </w:tcBorders>
            <w:shd w:val="clear" w:color="auto" w:fill="auto"/>
            <w:hideMark/>
          </w:tcPr>
          <w:p w14:paraId="47D13F9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c>
          <w:tcPr>
            <w:tcW w:w="1440" w:type="dxa"/>
            <w:tcBorders>
              <w:top w:val="nil"/>
              <w:left w:val="nil"/>
              <w:bottom w:val="single" w:sz="4" w:space="0" w:color="D3D3D3"/>
              <w:right w:val="single" w:sz="4" w:space="0" w:color="D3D3D3"/>
            </w:tcBorders>
            <w:shd w:val="clear" w:color="auto" w:fill="auto"/>
            <w:hideMark/>
          </w:tcPr>
          <w:p w14:paraId="418096E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r>
      <w:tr w:rsidR="008E514B" w:rsidRPr="00952383" w14:paraId="4B3ABB53" w14:textId="77777777" w:rsidTr="00410349">
        <w:trPr>
          <w:trHeight w:val="480"/>
        </w:trPr>
        <w:tc>
          <w:tcPr>
            <w:tcW w:w="4560" w:type="dxa"/>
            <w:tcBorders>
              <w:top w:val="nil"/>
              <w:left w:val="single" w:sz="4" w:space="0" w:color="D3D3D3"/>
              <w:bottom w:val="single" w:sz="4" w:space="0" w:color="D3D3D3"/>
              <w:right w:val="single" w:sz="4" w:space="0" w:color="D3D3D3"/>
            </w:tcBorders>
            <w:shd w:val="clear" w:color="EDEDCC" w:fill="EDEDCC"/>
            <w:vAlign w:val="center"/>
            <w:hideMark/>
          </w:tcPr>
          <w:p w14:paraId="58AA27B3" w14:textId="77777777" w:rsidR="008E514B" w:rsidRPr="00952383" w:rsidRDefault="008E514B" w:rsidP="00410349">
            <w:pPr>
              <w:ind w:firstLineChars="100" w:firstLine="180"/>
              <w:rPr>
                <w:rFonts w:eastAsia="Times New Roman" w:cs="Arial"/>
                <w:color w:val="000000"/>
                <w:sz w:val="18"/>
                <w:szCs w:val="18"/>
              </w:rPr>
            </w:pPr>
            <w:proofErr w:type="spellStart"/>
            <w:r w:rsidRPr="00952383">
              <w:rPr>
                <w:rFonts w:eastAsia="Times New Roman" w:cs="Arial"/>
                <w:color w:val="000000"/>
                <w:sz w:val="18"/>
                <w:szCs w:val="18"/>
              </w:rPr>
              <w:t>Other</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supplemental</w:t>
            </w:r>
            <w:proofErr w:type="spellEnd"/>
            <w:r w:rsidRPr="00952383">
              <w:rPr>
                <w:rFonts w:eastAsia="Times New Roman" w:cs="Arial"/>
                <w:color w:val="000000"/>
                <w:sz w:val="18"/>
                <w:szCs w:val="18"/>
              </w:rPr>
              <w:t xml:space="preserve"> and ad hoc </w:t>
            </w:r>
            <w:proofErr w:type="spellStart"/>
            <w:r w:rsidRPr="00952383">
              <w:rPr>
                <w:rFonts w:eastAsia="Times New Roman" w:cs="Arial"/>
                <w:color w:val="000000"/>
                <w:sz w:val="18"/>
                <w:szCs w:val="18"/>
              </w:rPr>
              <w:t>disaster</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assistance</w:t>
            </w:r>
            <w:proofErr w:type="spellEnd"/>
          </w:p>
        </w:tc>
        <w:tc>
          <w:tcPr>
            <w:tcW w:w="1440" w:type="dxa"/>
            <w:tcBorders>
              <w:top w:val="nil"/>
              <w:left w:val="nil"/>
              <w:bottom w:val="single" w:sz="4" w:space="0" w:color="D3D3D3"/>
              <w:right w:val="single" w:sz="4" w:space="0" w:color="D3D3D3"/>
            </w:tcBorders>
            <w:shd w:val="clear" w:color="auto" w:fill="auto"/>
            <w:hideMark/>
          </w:tcPr>
          <w:p w14:paraId="12C1F62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360C7D1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NA</w:t>
            </w:r>
          </w:p>
        </w:tc>
        <w:tc>
          <w:tcPr>
            <w:tcW w:w="1440" w:type="dxa"/>
            <w:tcBorders>
              <w:top w:val="nil"/>
              <w:left w:val="nil"/>
              <w:bottom w:val="single" w:sz="4" w:space="0" w:color="D3D3D3"/>
              <w:right w:val="single" w:sz="4" w:space="0" w:color="D3D3D3"/>
            </w:tcBorders>
            <w:shd w:val="clear" w:color="auto" w:fill="auto"/>
            <w:hideMark/>
          </w:tcPr>
          <w:p w14:paraId="18270C0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2 033 086</w:t>
            </w:r>
          </w:p>
        </w:tc>
        <w:tc>
          <w:tcPr>
            <w:tcW w:w="1440" w:type="dxa"/>
            <w:tcBorders>
              <w:top w:val="nil"/>
              <w:left w:val="nil"/>
              <w:bottom w:val="single" w:sz="4" w:space="0" w:color="D3D3D3"/>
              <w:right w:val="single" w:sz="4" w:space="0" w:color="D3D3D3"/>
            </w:tcBorders>
            <w:shd w:val="clear" w:color="auto" w:fill="auto"/>
            <w:hideMark/>
          </w:tcPr>
          <w:p w14:paraId="2D0474DB"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2 928 830</w:t>
            </w:r>
          </w:p>
        </w:tc>
        <w:tc>
          <w:tcPr>
            <w:tcW w:w="1440" w:type="dxa"/>
            <w:tcBorders>
              <w:top w:val="nil"/>
              <w:left w:val="nil"/>
              <w:bottom w:val="single" w:sz="4" w:space="0" w:color="D3D3D3"/>
              <w:right w:val="single" w:sz="4" w:space="0" w:color="D3D3D3"/>
            </w:tcBorders>
            <w:shd w:val="clear" w:color="auto" w:fill="auto"/>
            <w:hideMark/>
          </w:tcPr>
          <w:p w14:paraId="1F03BE04"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10 997 188</w:t>
            </w:r>
          </w:p>
        </w:tc>
        <w:tc>
          <w:tcPr>
            <w:tcW w:w="1440" w:type="dxa"/>
            <w:tcBorders>
              <w:top w:val="nil"/>
              <w:left w:val="nil"/>
              <w:bottom w:val="single" w:sz="4" w:space="0" w:color="D3D3D3"/>
              <w:right w:val="single" w:sz="4" w:space="0" w:color="D3D3D3"/>
            </w:tcBorders>
            <w:shd w:val="clear" w:color="auto" w:fill="auto"/>
            <w:hideMark/>
          </w:tcPr>
          <w:p w14:paraId="6D9D6BBA"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4 872 679</w:t>
            </w:r>
          </w:p>
        </w:tc>
      </w:tr>
      <w:tr w:rsidR="008E514B" w:rsidRPr="00952383" w14:paraId="0628312D"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273149A1" w14:textId="77777777" w:rsidR="008E514B" w:rsidRPr="00952383" w:rsidRDefault="008E514B" w:rsidP="00410349">
            <w:pPr>
              <w:rPr>
                <w:rFonts w:eastAsia="Times New Roman" w:cs="Arial"/>
                <w:color w:val="000000"/>
                <w:sz w:val="18"/>
                <w:szCs w:val="18"/>
              </w:rPr>
            </w:pPr>
            <w:r w:rsidRPr="00952383">
              <w:rPr>
                <w:rFonts w:eastAsia="Times New Roman" w:cs="Arial"/>
                <w:color w:val="000000"/>
                <w:sz w:val="18"/>
                <w:szCs w:val="18"/>
              </w:rPr>
              <w:t xml:space="preserve">Market </w:t>
            </w:r>
            <w:proofErr w:type="spellStart"/>
            <w:r w:rsidRPr="00952383">
              <w:rPr>
                <w:rFonts w:eastAsia="Times New Roman" w:cs="Arial"/>
                <w:color w:val="000000"/>
                <w:sz w:val="18"/>
                <w:szCs w:val="18"/>
              </w:rPr>
              <w:t>Facilitation</w:t>
            </w:r>
            <w:proofErr w:type="spellEnd"/>
            <w:r w:rsidRPr="00952383">
              <w:rPr>
                <w:rFonts w:eastAsia="Times New Roman" w:cs="Arial"/>
                <w:color w:val="000000"/>
                <w:sz w:val="18"/>
                <w:szCs w:val="18"/>
              </w:rPr>
              <w:t xml:space="preserve"> Program</w:t>
            </w:r>
          </w:p>
        </w:tc>
        <w:tc>
          <w:tcPr>
            <w:tcW w:w="1440" w:type="dxa"/>
            <w:tcBorders>
              <w:top w:val="nil"/>
              <w:left w:val="nil"/>
              <w:bottom w:val="single" w:sz="4" w:space="0" w:color="D3D3D3"/>
              <w:right w:val="single" w:sz="4" w:space="0" w:color="D3D3D3"/>
            </w:tcBorders>
            <w:shd w:val="clear" w:color="auto" w:fill="auto"/>
            <w:hideMark/>
          </w:tcPr>
          <w:p w14:paraId="28E25D3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5 127 345</w:t>
            </w:r>
          </w:p>
        </w:tc>
        <w:tc>
          <w:tcPr>
            <w:tcW w:w="1440" w:type="dxa"/>
            <w:tcBorders>
              <w:top w:val="nil"/>
              <w:left w:val="nil"/>
              <w:bottom w:val="single" w:sz="4" w:space="0" w:color="D3D3D3"/>
              <w:right w:val="single" w:sz="4" w:space="0" w:color="D3D3D3"/>
            </w:tcBorders>
            <w:shd w:val="clear" w:color="auto" w:fill="auto"/>
            <w:hideMark/>
          </w:tcPr>
          <w:p w14:paraId="0F1FA609"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14 202 517</w:t>
            </w:r>
          </w:p>
        </w:tc>
        <w:tc>
          <w:tcPr>
            <w:tcW w:w="1440" w:type="dxa"/>
            <w:tcBorders>
              <w:top w:val="nil"/>
              <w:left w:val="nil"/>
              <w:bottom w:val="single" w:sz="4" w:space="0" w:color="D3D3D3"/>
              <w:right w:val="single" w:sz="4" w:space="0" w:color="D3D3D3"/>
            </w:tcBorders>
            <w:shd w:val="clear" w:color="auto" w:fill="auto"/>
            <w:hideMark/>
          </w:tcPr>
          <w:p w14:paraId="4C31559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3 781 689</w:t>
            </w:r>
          </w:p>
        </w:tc>
        <w:tc>
          <w:tcPr>
            <w:tcW w:w="1440" w:type="dxa"/>
            <w:tcBorders>
              <w:top w:val="nil"/>
              <w:left w:val="nil"/>
              <w:bottom w:val="single" w:sz="4" w:space="0" w:color="D3D3D3"/>
              <w:right w:val="single" w:sz="4" w:space="0" w:color="D3D3D3"/>
            </w:tcBorders>
            <w:shd w:val="clear" w:color="auto" w:fill="auto"/>
            <w:hideMark/>
          </w:tcPr>
          <w:p w14:paraId="1BACCBFC"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18 456</w:t>
            </w:r>
          </w:p>
        </w:tc>
        <w:tc>
          <w:tcPr>
            <w:tcW w:w="1440" w:type="dxa"/>
            <w:tcBorders>
              <w:top w:val="nil"/>
              <w:left w:val="nil"/>
              <w:bottom w:val="single" w:sz="4" w:space="0" w:color="D3D3D3"/>
              <w:right w:val="single" w:sz="4" w:space="0" w:color="D3D3D3"/>
            </w:tcBorders>
            <w:shd w:val="clear" w:color="auto" w:fill="auto"/>
            <w:hideMark/>
          </w:tcPr>
          <w:p w14:paraId="4F1A456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1 188</w:t>
            </w:r>
          </w:p>
        </w:tc>
        <w:tc>
          <w:tcPr>
            <w:tcW w:w="1440" w:type="dxa"/>
            <w:tcBorders>
              <w:top w:val="nil"/>
              <w:left w:val="nil"/>
              <w:bottom w:val="single" w:sz="4" w:space="0" w:color="D3D3D3"/>
              <w:right w:val="single" w:sz="4" w:space="0" w:color="D3D3D3"/>
            </w:tcBorders>
            <w:shd w:val="clear" w:color="auto" w:fill="auto"/>
            <w:hideMark/>
          </w:tcPr>
          <w:p w14:paraId="3DE49B57"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0</w:t>
            </w:r>
          </w:p>
        </w:tc>
      </w:tr>
      <w:tr w:rsidR="008E514B" w:rsidRPr="00952383" w14:paraId="7159828F" w14:textId="77777777" w:rsidTr="00410349">
        <w:trPr>
          <w:trHeight w:val="300"/>
        </w:trPr>
        <w:tc>
          <w:tcPr>
            <w:tcW w:w="4560" w:type="dxa"/>
            <w:tcBorders>
              <w:top w:val="nil"/>
              <w:left w:val="single" w:sz="4" w:space="0" w:color="D3D3D3"/>
              <w:bottom w:val="single" w:sz="4" w:space="0" w:color="D3D3D3"/>
              <w:right w:val="single" w:sz="4" w:space="0" w:color="D3D3D3"/>
            </w:tcBorders>
            <w:shd w:val="clear" w:color="DAD9C4" w:fill="DAD9C4"/>
            <w:vAlign w:val="center"/>
            <w:hideMark/>
          </w:tcPr>
          <w:p w14:paraId="4EF33349" w14:textId="77777777" w:rsidR="008E514B" w:rsidRPr="00952383" w:rsidRDefault="008E514B" w:rsidP="00410349">
            <w:pPr>
              <w:rPr>
                <w:rFonts w:eastAsia="Times New Roman" w:cs="Arial"/>
                <w:color w:val="000000"/>
                <w:sz w:val="18"/>
                <w:szCs w:val="18"/>
              </w:rPr>
            </w:pPr>
            <w:proofErr w:type="spellStart"/>
            <w:r w:rsidRPr="00952383">
              <w:rPr>
                <w:rFonts w:eastAsia="Times New Roman" w:cs="Arial"/>
                <w:color w:val="000000"/>
                <w:sz w:val="18"/>
                <w:szCs w:val="18"/>
              </w:rPr>
              <w:t>Miscellaneous</w:t>
            </w:r>
            <w:proofErr w:type="spellEnd"/>
            <w:r w:rsidRPr="00952383">
              <w:rPr>
                <w:rFonts w:eastAsia="Times New Roman" w:cs="Arial"/>
                <w:color w:val="000000"/>
                <w:sz w:val="18"/>
                <w:szCs w:val="18"/>
              </w:rPr>
              <w:t xml:space="preserve"> </w:t>
            </w:r>
            <w:proofErr w:type="spellStart"/>
            <w:r w:rsidRPr="00952383">
              <w:rPr>
                <w:rFonts w:eastAsia="Times New Roman" w:cs="Arial"/>
                <w:color w:val="000000"/>
                <w:sz w:val="18"/>
                <w:szCs w:val="18"/>
              </w:rPr>
              <w:t>programs</w:t>
            </w:r>
            <w:proofErr w:type="spellEnd"/>
          </w:p>
        </w:tc>
        <w:tc>
          <w:tcPr>
            <w:tcW w:w="1440" w:type="dxa"/>
            <w:tcBorders>
              <w:top w:val="nil"/>
              <w:left w:val="nil"/>
              <w:bottom w:val="single" w:sz="4" w:space="0" w:color="D3D3D3"/>
              <w:right w:val="single" w:sz="4" w:space="0" w:color="D3D3D3"/>
            </w:tcBorders>
            <w:shd w:val="clear" w:color="auto" w:fill="auto"/>
            <w:hideMark/>
          </w:tcPr>
          <w:p w14:paraId="63034A3D"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2 514</w:t>
            </w:r>
          </w:p>
        </w:tc>
        <w:tc>
          <w:tcPr>
            <w:tcW w:w="1440" w:type="dxa"/>
            <w:tcBorders>
              <w:top w:val="nil"/>
              <w:left w:val="nil"/>
              <w:bottom w:val="single" w:sz="4" w:space="0" w:color="D3D3D3"/>
              <w:right w:val="single" w:sz="4" w:space="0" w:color="D3D3D3"/>
            </w:tcBorders>
            <w:shd w:val="clear" w:color="auto" w:fill="auto"/>
            <w:hideMark/>
          </w:tcPr>
          <w:p w14:paraId="1043F462"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10 445</w:t>
            </w:r>
          </w:p>
        </w:tc>
        <w:tc>
          <w:tcPr>
            <w:tcW w:w="1440" w:type="dxa"/>
            <w:tcBorders>
              <w:top w:val="nil"/>
              <w:left w:val="nil"/>
              <w:bottom w:val="single" w:sz="4" w:space="0" w:color="D3D3D3"/>
              <w:right w:val="single" w:sz="4" w:space="0" w:color="D3D3D3"/>
            </w:tcBorders>
            <w:shd w:val="clear" w:color="auto" w:fill="auto"/>
            <w:hideMark/>
          </w:tcPr>
          <w:p w14:paraId="1A030E7F"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41 210</w:t>
            </w:r>
          </w:p>
        </w:tc>
        <w:tc>
          <w:tcPr>
            <w:tcW w:w="1440" w:type="dxa"/>
            <w:tcBorders>
              <w:top w:val="nil"/>
              <w:left w:val="nil"/>
              <w:bottom w:val="single" w:sz="4" w:space="0" w:color="D3D3D3"/>
              <w:right w:val="single" w:sz="4" w:space="0" w:color="D3D3D3"/>
            </w:tcBorders>
            <w:shd w:val="clear" w:color="auto" w:fill="auto"/>
            <w:hideMark/>
          </w:tcPr>
          <w:p w14:paraId="024FEF23"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1 704</w:t>
            </w:r>
          </w:p>
        </w:tc>
        <w:tc>
          <w:tcPr>
            <w:tcW w:w="1440" w:type="dxa"/>
            <w:tcBorders>
              <w:top w:val="nil"/>
              <w:left w:val="nil"/>
              <w:bottom w:val="single" w:sz="4" w:space="0" w:color="D3D3D3"/>
              <w:right w:val="single" w:sz="4" w:space="0" w:color="D3D3D3"/>
            </w:tcBorders>
            <w:shd w:val="clear" w:color="auto" w:fill="auto"/>
            <w:hideMark/>
          </w:tcPr>
          <w:p w14:paraId="4F95D2C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2 156</w:t>
            </w:r>
          </w:p>
        </w:tc>
        <w:tc>
          <w:tcPr>
            <w:tcW w:w="1440" w:type="dxa"/>
            <w:tcBorders>
              <w:top w:val="nil"/>
              <w:left w:val="nil"/>
              <w:bottom w:val="single" w:sz="4" w:space="0" w:color="D3D3D3"/>
              <w:right w:val="single" w:sz="4" w:space="0" w:color="D3D3D3"/>
            </w:tcBorders>
            <w:shd w:val="clear" w:color="auto" w:fill="auto"/>
            <w:hideMark/>
          </w:tcPr>
          <w:p w14:paraId="41C30311" w14:textId="77777777" w:rsidR="008E514B" w:rsidRPr="00952383" w:rsidRDefault="008E514B" w:rsidP="00410349">
            <w:pPr>
              <w:jc w:val="right"/>
              <w:rPr>
                <w:rFonts w:eastAsia="Times New Roman" w:cs="Arial"/>
                <w:color w:val="000000"/>
                <w:sz w:val="18"/>
                <w:szCs w:val="18"/>
              </w:rPr>
            </w:pPr>
            <w:r w:rsidRPr="00952383">
              <w:rPr>
                <w:rFonts w:eastAsia="Times New Roman" w:cs="Arial"/>
                <w:color w:val="000000"/>
                <w:sz w:val="18"/>
                <w:szCs w:val="18"/>
              </w:rPr>
              <w:t>15 009</w:t>
            </w:r>
          </w:p>
        </w:tc>
      </w:tr>
    </w:tbl>
    <w:p w14:paraId="6B899842" w14:textId="77777777" w:rsidR="008E514B" w:rsidRPr="00F36E50" w:rsidRDefault="008E514B" w:rsidP="00EF76D8">
      <w:pPr>
        <w:spacing w:line="276" w:lineRule="auto"/>
      </w:pPr>
    </w:p>
    <w:sectPr w:rsidR="008E514B" w:rsidRPr="00F36E50" w:rsidSect="008E514B">
      <w:pgSz w:w="16838" w:h="11906" w:orient="landscape"/>
      <w:pgMar w:top="709" w:right="993"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551F" w14:textId="77777777" w:rsidR="00246E82" w:rsidRDefault="00246E82" w:rsidP="00D4434C">
      <w:r>
        <w:separator/>
      </w:r>
    </w:p>
  </w:endnote>
  <w:endnote w:type="continuationSeparator" w:id="0">
    <w:p w14:paraId="5BB5F263" w14:textId="77777777" w:rsidR="00246E82" w:rsidRDefault="00246E82"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F08B" w14:textId="77777777" w:rsidR="00246E82" w:rsidRDefault="00246E82" w:rsidP="00D4434C">
      <w:r>
        <w:separator/>
      </w:r>
    </w:p>
  </w:footnote>
  <w:footnote w:type="continuationSeparator" w:id="0">
    <w:p w14:paraId="09E54F89" w14:textId="77777777" w:rsidR="00246E82" w:rsidRDefault="00246E82"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6344081">
    <w:abstractNumId w:val="18"/>
  </w:num>
  <w:num w:numId="2" w16cid:durableId="1209956967">
    <w:abstractNumId w:val="14"/>
  </w:num>
  <w:num w:numId="3" w16cid:durableId="624195884">
    <w:abstractNumId w:val="16"/>
  </w:num>
  <w:num w:numId="4" w16cid:durableId="1977683972">
    <w:abstractNumId w:val="10"/>
  </w:num>
  <w:num w:numId="5" w16cid:durableId="1303118038">
    <w:abstractNumId w:val="20"/>
  </w:num>
  <w:num w:numId="6" w16cid:durableId="1826319148">
    <w:abstractNumId w:val="21"/>
  </w:num>
  <w:num w:numId="7" w16cid:durableId="1223247628">
    <w:abstractNumId w:val="17"/>
  </w:num>
  <w:num w:numId="8" w16cid:durableId="45882357">
    <w:abstractNumId w:val="3"/>
  </w:num>
  <w:num w:numId="9" w16cid:durableId="240263556">
    <w:abstractNumId w:val="9"/>
  </w:num>
  <w:num w:numId="10" w16cid:durableId="612514554">
    <w:abstractNumId w:val="6"/>
  </w:num>
  <w:num w:numId="11" w16cid:durableId="714429947">
    <w:abstractNumId w:val="15"/>
  </w:num>
  <w:num w:numId="12" w16cid:durableId="2022511407">
    <w:abstractNumId w:val="11"/>
  </w:num>
  <w:num w:numId="13" w16cid:durableId="792553390">
    <w:abstractNumId w:val="26"/>
  </w:num>
  <w:num w:numId="14" w16cid:durableId="862980375">
    <w:abstractNumId w:val="8"/>
  </w:num>
  <w:num w:numId="15" w16cid:durableId="548493254">
    <w:abstractNumId w:val="2"/>
  </w:num>
  <w:num w:numId="16" w16cid:durableId="1421487302">
    <w:abstractNumId w:val="13"/>
  </w:num>
  <w:num w:numId="17" w16cid:durableId="957643703">
    <w:abstractNumId w:val="7"/>
  </w:num>
  <w:num w:numId="18" w16cid:durableId="1500538504">
    <w:abstractNumId w:val="1"/>
  </w:num>
  <w:num w:numId="19" w16cid:durableId="521624834">
    <w:abstractNumId w:val="24"/>
  </w:num>
  <w:num w:numId="20" w16cid:durableId="1229538648">
    <w:abstractNumId w:val="23"/>
  </w:num>
  <w:num w:numId="21" w16cid:durableId="1976642986">
    <w:abstractNumId w:val="0"/>
  </w:num>
  <w:num w:numId="22" w16cid:durableId="1488548469">
    <w:abstractNumId w:val="5"/>
  </w:num>
  <w:num w:numId="23" w16cid:durableId="647906687">
    <w:abstractNumId w:val="25"/>
  </w:num>
  <w:num w:numId="24" w16cid:durableId="1889412278">
    <w:abstractNumId w:val="12"/>
  </w:num>
  <w:num w:numId="25" w16cid:durableId="327824927">
    <w:abstractNumId w:val="4"/>
  </w:num>
  <w:num w:numId="26" w16cid:durableId="1854490821">
    <w:abstractNumId w:val="19"/>
  </w:num>
  <w:num w:numId="27" w16cid:durableId="547567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C267E"/>
    <w:rsid w:val="000F717B"/>
    <w:rsid w:val="00126ADE"/>
    <w:rsid w:val="00146BCF"/>
    <w:rsid w:val="00181790"/>
    <w:rsid w:val="001D3F62"/>
    <w:rsid w:val="001F023C"/>
    <w:rsid w:val="001F29AF"/>
    <w:rsid w:val="00223F87"/>
    <w:rsid w:val="00246E82"/>
    <w:rsid w:val="002616B5"/>
    <w:rsid w:val="00267D97"/>
    <w:rsid w:val="002A2D85"/>
    <w:rsid w:val="002A56DF"/>
    <w:rsid w:val="002E5EAD"/>
    <w:rsid w:val="00370E34"/>
    <w:rsid w:val="003964FA"/>
    <w:rsid w:val="003D2B3B"/>
    <w:rsid w:val="003D56E1"/>
    <w:rsid w:val="0040717D"/>
    <w:rsid w:val="004232BE"/>
    <w:rsid w:val="00445B4D"/>
    <w:rsid w:val="004559E3"/>
    <w:rsid w:val="004962CD"/>
    <w:rsid w:val="004A6C5B"/>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8E514B"/>
    <w:rsid w:val="008E626B"/>
    <w:rsid w:val="00937595"/>
    <w:rsid w:val="00941F16"/>
    <w:rsid w:val="00957D52"/>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94573"/>
    <w:rsid w:val="00CA1C10"/>
    <w:rsid w:val="00CA2C8C"/>
    <w:rsid w:val="00CA478D"/>
    <w:rsid w:val="00CD133C"/>
    <w:rsid w:val="00CD431E"/>
    <w:rsid w:val="00CF2F53"/>
    <w:rsid w:val="00D05C35"/>
    <w:rsid w:val="00D4434C"/>
    <w:rsid w:val="00D71800"/>
    <w:rsid w:val="00DA01A0"/>
    <w:rsid w:val="00DA25B0"/>
    <w:rsid w:val="00DB022E"/>
    <w:rsid w:val="00DB0371"/>
    <w:rsid w:val="00DB3BA7"/>
    <w:rsid w:val="00E0689A"/>
    <w:rsid w:val="00E32BE2"/>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5271">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9290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23" Type="http://schemas.openxmlformats.org/officeDocument/2006/relationships/theme" Target="theme/theme1.xml"/><Relationship Id="rId10" Type="http://schemas.openxmlformats.org/officeDocument/2006/relationships/hyperlink" Target="mailto:tereza_cerna@mzv.cz" TargetMode="External"/><Relationship Id="rId19" Type="http://schemas.openxmlformats.org/officeDocument/2006/relationships/hyperlink" Target="https://www.grocerygazette.co.uk/2023/02/16/supermarkets-tomato-shortages/"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artom_lukasov@mzv.cz"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Vývoj přímých plateb</a:t>
            </a:r>
            <a:r>
              <a:rPr lang="cs-CZ" baseline="0"/>
              <a:t> v zemědělském sektoru USA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manualLayout>
          <c:layoutTarget val="inner"/>
          <c:xMode val="edge"/>
          <c:yMode val="edge"/>
          <c:x val="9.0140510959619974E-2"/>
          <c:y val="7.0181979582778511E-2"/>
          <c:w val="0.89345382162800124"/>
          <c:h val="0.69257731598463645"/>
        </c:manualLayout>
      </c:layout>
      <c:barChart>
        <c:barDir val="col"/>
        <c:grouping val="stacked"/>
        <c:varyColors val="0"/>
        <c:ser>
          <c:idx val="3"/>
          <c:order val="3"/>
          <c:tx>
            <c:strRef>
              <c:f>'[GP_Program.xlsx]United States'!$A$10</c:f>
              <c:strCache>
                <c:ptCount val="1"/>
                <c:pt idx="0">
                  <c:v>Cotton Ginning Cost-Share (CGCS) Program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States'!$B$10:$G$10</c:f>
              <c:numCache>
                <c:formatCode>[$-10409]#\ ##0</c:formatCode>
                <c:ptCount val="6"/>
                <c:pt idx="0">
                  <c:v>214562</c:v>
                </c:pt>
                <c:pt idx="1">
                  <c:v>27</c:v>
                </c:pt>
                <c:pt idx="2">
                  <c:v>0</c:v>
                </c:pt>
                <c:pt idx="3">
                  <c:v>0</c:v>
                </c:pt>
                <c:pt idx="4">
                  <c:v>0</c:v>
                </c:pt>
                <c:pt idx="5" formatCode="General">
                  <c:v>0</c:v>
                </c:pt>
              </c:numCache>
            </c:numRef>
          </c:val>
          <c:extLst>
            <c:ext xmlns:c16="http://schemas.microsoft.com/office/drawing/2014/chart" uri="{C3380CC4-5D6E-409C-BE32-E72D297353CC}">
              <c16:uniqueId val="{00000000-DCD7-409F-A1FE-0F42FE937DC9}"/>
            </c:ext>
          </c:extLst>
        </c:ser>
        <c:ser>
          <c:idx val="5"/>
          <c:order val="5"/>
          <c:tx>
            <c:strRef>
              <c:f>'[GP_Program.xlsx]United States'!$A$12</c:f>
              <c:strCache>
                <c:ptCount val="1"/>
                <c:pt idx="0">
                  <c:v>Price Loss Coverage (PLC)</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States'!$B$12:$G$12</c:f>
              <c:numCache>
                <c:formatCode>[$-10409]#\ ##0</c:formatCode>
                <c:ptCount val="6"/>
                <c:pt idx="0">
                  <c:v>2064825</c:v>
                </c:pt>
                <c:pt idx="1">
                  <c:v>1945080</c:v>
                </c:pt>
                <c:pt idx="2">
                  <c:v>4952921</c:v>
                </c:pt>
                <c:pt idx="3">
                  <c:v>2099344</c:v>
                </c:pt>
                <c:pt idx="4">
                  <c:v>267366</c:v>
                </c:pt>
                <c:pt idx="5">
                  <c:v>28000</c:v>
                </c:pt>
              </c:numCache>
            </c:numRef>
          </c:val>
          <c:extLst>
            <c:ext xmlns:c16="http://schemas.microsoft.com/office/drawing/2014/chart" uri="{C3380CC4-5D6E-409C-BE32-E72D297353CC}">
              <c16:uniqueId val="{00000001-DCD7-409F-A1FE-0F42FE937DC9}"/>
            </c:ext>
          </c:extLst>
        </c:ser>
        <c:ser>
          <c:idx val="6"/>
          <c:order val="6"/>
          <c:tx>
            <c:strRef>
              <c:f>'[GP_Program.xlsx]United States'!$A$13</c:f>
              <c:strCache>
                <c:ptCount val="1"/>
                <c:pt idx="0">
                  <c:v>Agriculture Risk Coverage (ARC)</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States'!$B$13:$G$13</c:f>
              <c:numCache>
                <c:formatCode>[$-10409]#\ ##0</c:formatCode>
                <c:ptCount val="6"/>
                <c:pt idx="0">
                  <c:v>1109009</c:v>
                </c:pt>
                <c:pt idx="1">
                  <c:v>710107</c:v>
                </c:pt>
                <c:pt idx="2">
                  <c:v>1268776</c:v>
                </c:pt>
                <c:pt idx="3">
                  <c:v>117465</c:v>
                </c:pt>
                <c:pt idx="4">
                  <c:v>105091</c:v>
                </c:pt>
                <c:pt idx="5">
                  <c:v>41100</c:v>
                </c:pt>
              </c:numCache>
            </c:numRef>
          </c:val>
          <c:extLst>
            <c:ext xmlns:c16="http://schemas.microsoft.com/office/drawing/2014/chart" uri="{C3380CC4-5D6E-409C-BE32-E72D297353CC}">
              <c16:uniqueId val="{00000002-DCD7-409F-A1FE-0F42FE937DC9}"/>
            </c:ext>
          </c:extLst>
        </c:ser>
        <c:ser>
          <c:idx val="8"/>
          <c:order val="8"/>
          <c:tx>
            <c:strRef>
              <c:f>'[GP_Program.xlsx]United States'!$A$15</c:f>
              <c:strCache>
                <c:ptCount val="1"/>
                <c:pt idx="0">
                  <c:v>Loan deficiency payments</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States'!$B$15:$G$15</c:f>
              <c:numCache>
                <c:formatCode>[$-10409]#\ ##0</c:formatCode>
                <c:ptCount val="6"/>
                <c:pt idx="0">
                  <c:v>-515</c:v>
                </c:pt>
                <c:pt idx="1">
                  <c:v>6780</c:v>
                </c:pt>
                <c:pt idx="2">
                  <c:v>20949</c:v>
                </c:pt>
                <c:pt idx="3">
                  <c:v>7167</c:v>
                </c:pt>
                <c:pt idx="4">
                  <c:v>3113</c:v>
                </c:pt>
                <c:pt idx="5">
                  <c:v>0</c:v>
                </c:pt>
              </c:numCache>
            </c:numRef>
          </c:val>
          <c:extLst>
            <c:ext xmlns:c16="http://schemas.microsoft.com/office/drawing/2014/chart" uri="{C3380CC4-5D6E-409C-BE32-E72D297353CC}">
              <c16:uniqueId val="{00000003-DCD7-409F-A1FE-0F42FE937DC9}"/>
            </c:ext>
          </c:extLst>
        </c:ser>
        <c:ser>
          <c:idx val="9"/>
          <c:order val="9"/>
          <c:tx>
            <c:strRef>
              <c:f>'[GP_Program.xlsx]United States'!$A$16</c:f>
              <c:strCache>
                <c:ptCount val="1"/>
                <c:pt idx="0">
                  <c:v>Marketing loan gains</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States'!$B$16:$G$16</c:f>
              <c:numCache>
                <c:formatCode>[$-10409]#\ ##0</c:formatCode>
                <c:ptCount val="6"/>
                <c:pt idx="0">
                  <c:v>0</c:v>
                </c:pt>
                <c:pt idx="1">
                  <c:v>695</c:v>
                </c:pt>
                <c:pt idx="2">
                  <c:v>78374</c:v>
                </c:pt>
                <c:pt idx="3">
                  <c:v>36</c:v>
                </c:pt>
                <c:pt idx="4">
                  <c:v>5561</c:v>
                </c:pt>
                <c:pt idx="5">
                  <c:v>0</c:v>
                </c:pt>
              </c:numCache>
            </c:numRef>
          </c:val>
          <c:extLst>
            <c:ext xmlns:c16="http://schemas.microsoft.com/office/drawing/2014/chart" uri="{C3380CC4-5D6E-409C-BE32-E72D297353CC}">
              <c16:uniqueId val="{00000004-DCD7-409F-A1FE-0F42FE937DC9}"/>
            </c:ext>
          </c:extLst>
        </c:ser>
        <c:ser>
          <c:idx val="12"/>
          <c:order val="12"/>
          <c:tx>
            <c:strRef>
              <c:f>'[GP_Program.xlsx]United States'!$A$19</c:f>
              <c:strCache>
                <c:ptCount val="1"/>
                <c:pt idx="0">
                  <c:v>Dairy Margin Coverage Program</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States'!$B$19:$G$19</c:f>
              <c:numCache>
                <c:formatCode>[$-10409]#\ ##0</c:formatCode>
                <c:ptCount val="6"/>
                <c:pt idx="0">
                  <c:v>250013</c:v>
                </c:pt>
                <c:pt idx="1">
                  <c:v>294551</c:v>
                </c:pt>
                <c:pt idx="2">
                  <c:v>185393</c:v>
                </c:pt>
                <c:pt idx="3">
                  <c:v>1148359</c:v>
                </c:pt>
                <c:pt idx="4">
                  <c:v>128274</c:v>
                </c:pt>
                <c:pt idx="5">
                  <c:v>285000</c:v>
                </c:pt>
              </c:numCache>
            </c:numRef>
          </c:val>
          <c:extLst>
            <c:ext xmlns:c16="http://schemas.microsoft.com/office/drawing/2014/chart" uri="{C3380CC4-5D6E-409C-BE32-E72D297353CC}">
              <c16:uniqueId val="{00000005-DCD7-409F-A1FE-0F42FE937DC9}"/>
            </c:ext>
          </c:extLst>
        </c:ser>
        <c:ser>
          <c:idx val="14"/>
          <c:order val="14"/>
          <c:tx>
            <c:strRef>
              <c:f>'[GP_Program.xlsx]United States'!$A$21</c:f>
              <c:strCache>
                <c:ptCount val="1"/>
                <c:pt idx="0">
                  <c:v>Conservation</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States'!$B$21:$G$21</c:f>
              <c:numCache>
                <c:formatCode>[$-10409]#\ ##0</c:formatCode>
                <c:ptCount val="6"/>
                <c:pt idx="0">
                  <c:v>3986516</c:v>
                </c:pt>
                <c:pt idx="1">
                  <c:v>3830392</c:v>
                </c:pt>
                <c:pt idx="2">
                  <c:v>3814693</c:v>
                </c:pt>
                <c:pt idx="3">
                  <c:v>3533286</c:v>
                </c:pt>
                <c:pt idx="4">
                  <c:v>3560906</c:v>
                </c:pt>
                <c:pt idx="5">
                  <c:v>4023000</c:v>
                </c:pt>
              </c:numCache>
            </c:numRef>
          </c:val>
          <c:extLst>
            <c:ext xmlns:c16="http://schemas.microsoft.com/office/drawing/2014/chart" uri="{C3380CC4-5D6E-409C-BE32-E72D297353CC}">
              <c16:uniqueId val="{00000006-DCD7-409F-A1FE-0F42FE937DC9}"/>
            </c:ext>
          </c:extLst>
        </c:ser>
        <c:ser>
          <c:idx val="15"/>
          <c:order val="15"/>
          <c:tx>
            <c:strRef>
              <c:f>'[GP_Program.xlsx]United States'!$A$22</c:f>
              <c:strCache>
                <c:ptCount val="1"/>
                <c:pt idx="0">
                  <c:v>Biomass Crop Assistance Program (BCAP)</c:v>
                </c:pt>
              </c:strCache>
            </c:strRef>
          </c:tx>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States'!$B$22:$G$22</c:f>
              <c:numCache>
                <c:formatCode>[$-10409]#\ ##0</c:formatCode>
                <c:ptCount val="6"/>
                <c:pt idx="0">
                  <c:v>236</c:v>
                </c:pt>
                <c:pt idx="1">
                  <c:v>83</c:v>
                </c:pt>
                <c:pt idx="2">
                  <c:v>54</c:v>
                </c:pt>
                <c:pt idx="3">
                  <c:v>70</c:v>
                </c:pt>
                <c:pt idx="4">
                  <c:v>0</c:v>
                </c:pt>
                <c:pt idx="5" formatCode="General">
                  <c:v>0</c:v>
                </c:pt>
              </c:numCache>
            </c:numRef>
          </c:val>
          <c:extLst>
            <c:ext xmlns:c16="http://schemas.microsoft.com/office/drawing/2014/chart" uri="{C3380CC4-5D6E-409C-BE32-E72D297353CC}">
              <c16:uniqueId val="{00000007-DCD7-409F-A1FE-0F42FE937DC9}"/>
            </c:ext>
          </c:extLst>
        </c:ser>
        <c:ser>
          <c:idx val="17"/>
          <c:order val="17"/>
          <c:tx>
            <c:strRef>
              <c:f>'[GP_Program.xlsx]United States'!$A$24</c:f>
              <c:strCache>
                <c:ptCount val="1"/>
                <c:pt idx="0">
                  <c:v>USDA pandemic assistance</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States'!$B$24:$G$24</c:f>
              <c:numCache>
                <c:formatCode>General</c:formatCode>
                <c:ptCount val="6"/>
                <c:pt idx="0">
                  <c:v>0</c:v>
                </c:pt>
                <c:pt idx="1">
                  <c:v>0</c:v>
                </c:pt>
                <c:pt idx="2" formatCode="[$-10409]#\ ##0">
                  <c:v>23527864</c:v>
                </c:pt>
                <c:pt idx="3" formatCode="[$-10409]#\ ##0">
                  <c:v>7488170</c:v>
                </c:pt>
                <c:pt idx="4" formatCode="[$-10409]#\ ##0">
                  <c:v>540277</c:v>
                </c:pt>
                <c:pt idx="5" formatCode="[$-10409]#\ ##0">
                  <c:v>983475</c:v>
                </c:pt>
              </c:numCache>
            </c:numRef>
          </c:val>
          <c:extLst>
            <c:ext xmlns:c16="http://schemas.microsoft.com/office/drawing/2014/chart" uri="{C3380CC4-5D6E-409C-BE32-E72D297353CC}">
              <c16:uniqueId val="{00000008-DCD7-409F-A1FE-0F42FE937DC9}"/>
            </c:ext>
          </c:extLst>
        </c:ser>
        <c:ser>
          <c:idx val="18"/>
          <c:order val="18"/>
          <c:tx>
            <c:strRef>
              <c:f>'[GP_Program.xlsx]United States'!$A$25</c:f>
              <c:strCache>
                <c:ptCount val="1"/>
                <c:pt idx="0">
                  <c:v>Non-USDA pandemic assistance</c:v>
                </c:pt>
              </c:strCache>
            </c:strRef>
          </c:tx>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States'!$B$25:$G$25</c:f>
              <c:numCache>
                <c:formatCode>General</c:formatCode>
                <c:ptCount val="6"/>
                <c:pt idx="0">
                  <c:v>0</c:v>
                </c:pt>
                <c:pt idx="1">
                  <c:v>0</c:v>
                </c:pt>
                <c:pt idx="2" formatCode="[$-10409]#\ ##0">
                  <c:v>5847586</c:v>
                </c:pt>
                <c:pt idx="3" formatCode="[$-10409]#\ ##0">
                  <c:v>8593862</c:v>
                </c:pt>
                <c:pt idx="4" formatCode="[$-10409]#\ ##0">
                  <c:v>0</c:v>
                </c:pt>
                <c:pt idx="5" formatCode="[$-10409]#\ ##0">
                  <c:v>0</c:v>
                </c:pt>
              </c:numCache>
            </c:numRef>
          </c:val>
          <c:extLst>
            <c:ext xmlns:c16="http://schemas.microsoft.com/office/drawing/2014/chart" uri="{C3380CC4-5D6E-409C-BE32-E72D297353CC}">
              <c16:uniqueId val="{00000009-DCD7-409F-A1FE-0F42FE937DC9}"/>
            </c:ext>
          </c:extLst>
        </c:ser>
        <c:ser>
          <c:idx val="19"/>
          <c:order val="19"/>
          <c:tx>
            <c:strRef>
              <c:f>'[GP_Program.xlsx]United States'!$A$26</c:f>
              <c:strCache>
                <c:ptCount val="1"/>
                <c:pt idx="0">
                  <c:v>Other supplemental and ad hoc disaster assistance</c:v>
                </c:pt>
              </c:strCache>
            </c:strRef>
          </c:tx>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States'!$B$26:$G$26</c:f>
              <c:numCache>
                <c:formatCode>General</c:formatCode>
                <c:ptCount val="6"/>
                <c:pt idx="0">
                  <c:v>0</c:v>
                </c:pt>
                <c:pt idx="1">
                  <c:v>0</c:v>
                </c:pt>
                <c:pt idx="2" formatCode="[$-10409]#\ ##0">
                  <c:v>2033086</c:v>
                </c:pt>
                <c:pt idx="3" formatCode="[$-10409]#\ ##0">
                  <c:v>2928830</c:v>
                </c:pt>
                <c:pt idx="4" formatCode="[$-10409]#\ ##0">
                  <c:v>10997188</c:v>
                </c:pt>
                <c:pt idx="5" formatCode="[$-10409]#\ ##0">
                  <c:v>4872679</c:v>
                </c:pt>
              </c:numCache>
            </c:numRef>
          </c:val>
          <c:extLst>
            <c:ext xmlns:c16="http://schemas.microsoft.com/office/drawing/2014/chart" uri="{C3380CC4-5D6E-409C-BE32-E72D297353CC}">
              <c16:uniqueId val="{0000000A-DCD7-409F-A1FE-0F42FE937DC9}"/>
            </c:ext>
          </c:extLst>
        </c:ser>
        <c:ser>
          <c:idx val="20"/>
          <c:order val="20"/>
          <c:tx>
            <c:strRef>
              <c:f>'[GP_Program.xlsx]United States'!$A$27</c:f>
              <c:strCache>
                <c:ptCount val="1"/>
                <c:pt idx="0">
                  <c:v>Market Facilitation Program</c:v>
                </c:pt>
              </c:strCache>
            </c:strRef>
          </c:tx>
          <c:spPr>
            <a:gradFill rotWithShape="1">
              <a:gsLst>
                <a:gs pos="0">
                  <a:schemeClr val="accent3">
                    <a:lumMod val="80000"/>
                    <a:shade val="51000"/>
                    <a:satMod val="130000"/>
                  </a:schemeClr>
                </a:gs>
                <a:gs pos="80000">
                  <a:schemeClr val="accent3">
                    <a:lumMod val="80000"/>
                    <a:shade val="93000"/>
                    <a:satMod val="130000"/>
                  </a:schemeClr>
                </a:gs>
                <a:gs pos="100000">
                  <a:schemeClr val="accent3">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States'!$B$27:$G$27</c:f>
              <c:numCache>
                <c:formatCode>[$-10409]#\ ##0</c:formatCode>
                <c:ptCount val="6"/>
                <c:pt idx="0">
                  <c:v>5127345</c:v>
                </c:pt>
                <c:pt idx="1">
                  <c:v>14202517</c:v>
                </c:pt>
                <c:pt idx="2">
                  <c:v>3781689</c:v>
                </c:pt>
                <c:pt idx="3">
                  <c:v>18456</c:v>
                </c:pt>
                <c:pt idx="4">
                  <c:v>1188</c:v>
                </c:pt>
                <c:pt idx="5">
                  <c:v>0</c:v>
                </c:pt>
              </c:numCache>
            </c:numRef>
          </c:val>
          <c:extLst>
            <c:ext xmlns:c16="http://schemas.microsoft.com/office/drawing/2014/chart" uri="{C3380CC4-5D6E-409C-BE32-E72D297353CC}">
              <c16:uniqueId val="{0000000B-DCD7-409F-A1FE-0F42FE937DC9}"/>
            </c:ext>
          </c:extLst>
        </c:ser>
        <c:ser>
          <c:idx val="21"/>
          <c:order val="21"/>
          <c:tx>
            <c:strRef>
              <c:f>'[GP_Program.xlsx]United States'!$A$28</c:f>
              <c:strCache>
                <c:ptCount val="1"/>
                <c:pt idx="0">
                  <c:v>Miscellaneous programs</c:v>
                </c:pt>
              </c:strCache>
            </c:strRef>
          </c:tx>
          <c:spPr>
            <a:gradFill rotWithShape="1">
              <a:gsLst>
                <a:gs pos="0">
                  <a:schemeClr val="accent4">
                    <a:lumMod val="80000"/>
                    <a:shade val="51000"/>
                    <a:satMod val="130000"/>
                  </a:schemeClr>
                </a:gs>
                <a:gs pos="80000">
                  <a:schemeClr val="accent4">
                    <a:lumMod val="80000"/>
                    <a:shade val="93000"/>
                    <a:satMod val="130000"/>
                  </a:schemeClr>
                </a:gs>
                <a:gs pos="100000">
                  <a:schemeClr val="accent4">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States'!$B$28:$G$28</c:f>
              <c:numCache>
                <c:formatCode>[$-10409]#\ ##0</c:formatCode>
                <c:ptCount val="6"/>
                <c:pt idx="0">
                  <c:v>2514</c:v>
                </c:pt>
                <c:pt idx="1">
                  <c:v>10445</c:v>
                </c:pt>
                <c:pt idx="2">
                  <c:v>41210</c:v>
                </c:pt>
                <c:pt idx="3">
                  <c:v>1704</c:v>
                </c:pt>
                <c:pt idx="4">
                  <c:v>2156</c:v>
                </c:pt>
                <c:pt idx="5">
                  <c:v>15009</c:v>
                </c:pt>
              </c:numCache>
            </c:numRef>
          </c:val>
          <c:extLst>
            <c:ext xmlns:c16="http://schemas.microsoft.com/office/drawing/2014/chart" uri="{C3380CC4-5D6E-409C-BE32-E72D297353CC}">
              <c16:uniqueId val="{0000000C-DCD7-409F-A1FE-0F42FE937DC9}"/>
            </c:ext>
          </c:extLst>
        </c:ser>
        <c:dLbls>
          <c:showLegendKey val="0"/>
          <c:showVal val="0"/>
          <c:showCatName val="0"/>
          <c:showSerName val="0"/>
          <c:showPercent val="0"/>
          <c:showBubbleSize val="0"/>
        </c:dLbls>
        <c:gapWidth val="150"/>
        <c:overlap val="100"/>
        <c:axId val="407442472"/>
        <c:axId val="407438536"/>
        <c:extLst>
          <c:ext xmlns:c15="http://schemas.microsoft.com/office/drawing/2012/chart" uri="{02D57815-91ED-43cb-92C2-25804820EDAC}">
            <c15:filteredBarSeries>
              <c15:ser>
                <c:idx val="1"/>
                <c:order val="1"/>
                <c:tx>
                  <c:strRef>
                    <c:extLst>
                      <c:ext uri="{02D57815-91ED-43cb-92C2-25804820EDAC}">
                        <c15:formulaRef>
                          <c15:sqref>'[GP_Program.xlsx]United States'!$A$8</c15:sqref>
                        </c15:formulaRef>
                      </c:ext>
                    </c:extLst>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c:ex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c:ext uri="{02D57815-91ED-43cb-92C2-25804820EDAC}">
                        <c15:formulaRef>
                          <c15:sqref>'[GP_Program.xlsx]United States'!$B$8:$G$8</c15:sqref>
                        </c15:formulaRef>
                      </c:ext>
                    </c:extLst>
                    <c:numCache>
                      <c:formatCode>General</c:formatCode>
                      <c:ptCount val="6"/>
                    </c:numCache>
                  </c:numRef>
                </c:val>
                <c:extLst>
                  <c:ext xmlns:c16="http://schemas.microsoft.com/office/drawing/2014/chart" uri="{C3380CC4-5D6E-409C-BE32-E72D297353CC}">
                    <c16:uniqueId val="{0000000E-DCD7-409F-A1FE-0F42FE937DC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'[GP_Program.xlsx]United States'!$A$9</c15:sqref>
                        </c15:formulaRef>
                      </c:ext>
                    </c:extLst>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States'!$B$9:$G$9</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F-DCD7-409F-A1FE-0F42FE937DC9}"/>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'[GP_Program.xlsx]United States'!$A$11</c15:sqref>
                        </c15:formulaRef>
                      </c:ext>
                    </c:extLst>
                    <c:strCache>
                      <c:ptCount val="1"/>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States'!$B$11:$G$11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10-DCD7-409F-A1FE-0F42FE937DC9}"/>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'[GP_Program.xlsx]United States'!$A$14</c15:sqref>
                        </c15:formulaRef>
                      </c:ext>
                    </c:extLst>
                    <c:strCache>
                      <c:ptCount val="1"/>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States'!$B$14:$G$14</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11-DCD7-409F-A1FE-0F42FE937DC9}"/>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'[GP_Program.xlsx]United States'!$A$17</c15:sqref>
                        </c15:formulaRef>
                      </c:ext>
                    </c:extLst>
                    <c:strCache>
                      <c:ptCount val="1"/>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States'!$B$17:$G$17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12-DCD7-409F-A1FE-0F42FE937DC9}"/>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'[GP_Program.xlsx]United States'!$A$18</c15:sqref>
                        </c15:formulaRef>
                      </c:ext>
                    </c:extLst>
                    <c:strCache>
                      <c:ptCount val="1"/>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States'!$B$18:$G$18</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13-DCD7-409F-A1FE-0F42FE937DC9}"/>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'[GP_Program.xlsx]United States'!$A$20</c15:sqref>
                        </c15:formulaRef>
                      </c:ext>
                    </c:extLst>
                    <c:strCache>
                      <c:ptCount val="1"/>
                    </c:strCache>
                  </c:strRef>
                </c:tx>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States'!$B$20:$G$20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14-DCD7-409F-A1FE-0F42FE937DC9}"/>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'[GP_Program.xlsx]United States'!$A$23</c15:sqref>
                        </c15:formulaRef>
                      </c:ext>
                    </c:extLst>
                    <c:strCache>
                      <c:ptCount val="1"/>
                      <c:pt idx="0">
                        <c:v>Supplemental and ad hoc disaster assistance</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extLst xmlns:c15="http://schemas.microsoft.com/office/drawing/2012/chart">
                      <c:ext xmlns:c15="http://schemas.microsoft.com/office/drawing/2012/chart" uri="{02D57815-91ED-43cb-92C2-25804820EDAC}">
                        <c15:formulaRef>
                          <c15:sqref>'[GP_Program.xlsx]United States'!$B$6:$G$6</c15:sqref>
                        </c15:formulaRef>
                      </c:ext>
                    </c:extLst>
                    <c:numCache>
                      <c:formatCode>General</c:formatCode>
                      <c:ptCount val="6"/>
                      <c:pt idx="0">
                        <c:v>2018</c:v>
                      </c:pt>
                      <c:pt idx="1">
                        <c:v>2019</c:v>
                      </c:pt>
                      <c:pt idx="2">
                        <c:v>2020</c:v>
                      </c:pt>
                      <c:pt idx="3">
                        <c:v>2021</c:v>
                      </c:pt>
                      <c:pt idx="4">
                        <c:v>2022</c:v>
                      </c:pt>
                      <c:pt idx="5">
                        <c:v>2023</c:v>
                      </c:pt>
                    </c:numCache>
                  </c:numRef>
                </c:cat>
                <c:val>
                  <c:numRef>
                    <c:extLst xmlns:c15="http://schemas.microsoft.com/office/drawing/2012/chart">
                      <c:ext xmlns:c15="http://schemas.microsoft.com/office/drawing/2012/chart" uri="{02D57815-91ED-43cb-92C2-25804820EDAC}">
                        <c15:formulaRef>
                          <c15:sqref>'[GP_Program.xlsx]United States'!$B$23:$G$23</c15:sqref>
                        </c15:formulaRef>
                      </c:ext>
                    </c:extLst>
                    <c:numCache>
                      <c:formatCode>[$-10409]#\ ##0</c:formatCode>
                      <c:ptCount val="6"/>
                      <c:pt idx="0">
                        <c:v>915566</c:v>
                      </c:pt>
                      <c:pt idx="1">
                        <c:v>1447919</c:v>
                      </c:pt>
                      <c:pt idx="2">
                        <c:v>31408536</c:v>
                      </c:pt>
                      <c:pt idx="3">
                        <c:v>19010862</c:v>
                      </c:pt>
                      <c:pt idx="4">
                        <c:v>11537465</c:v>
                      </c:pt>
                      <c:pt idx="5">
                        <c:v>5856154</c:v>
                      </c:pt>
                    </c:numCache>
                  </c:numRef>
                </c:val>
                <c:extLst xmlns:c15="http://schemas.microsoft.com/office/drawing/2012/chart">
                  <c:ext xmlns:c16="http://schemas.microsoft.com/office/drawing/2014/chart" uri="{C3380CC4-5D6E-409C-BE32-E72D297353CC}">
                    <c16:uniqueId val="{00000015-DCD7-409F-A1FE-0F42FE937DC9}"/>
                  </c:ext>
                </c:extLst>
              </c15:ser>
            </c15:filteredBarSeries>
          </c:ext>
        </c:extLst>
      </c:barChart>
      <c:lineChart>
        <c:grouping val="standard"/>
        <c:varyColors val="0"/>
        <c:ser>
          <c:idx val="0"/>
          <c:order val="0"/>
          <c:tx>
            <c:strRef>
              <c:f>'[GP_Program.xlsx]United States'!$A$7</c:f>
              <c:strCache>
                <c:ptCount val="1"/>
                <c:pt idx="0">
                  <c:v>Direct government payments - total</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cat>
            <c:numRef>
              <c:f>'[GP_Program.xlsx]United States'!$B$6:$G$6</c:f>
              <c:numCache>
                <c:formatCode>General</c:formatCode>
                <c:ptCount val="6"/>
                <c:pt idx="0">
                  <c:v>2018</c:v>
                </c:pt>
                <c:pt idx="1">
                  <c:v>2019</c:v>
                </c:pt>
                <c:pt idx="2">
                  <c:v>2020</c:v>
                </c:pt>
                <c:pt idx="3">
                  <c:v>2021</c:v>
                </c:pt>
                <c:pt idx="4">
                  <c:v>2022</c:v>
                </c:pt>
                <c:pt idx="5">
                  <c:v>2023</c:v>
                </c:pt>
              </c:numCache>
            </c:numRef>
          </c:cat>
          <c:val>
            <c:numRef>
              <c:f>'[GP_Program.xlsx]United States'!$B$7:$G$7</c:f>
              <c:numCache>
                <c:formatCode>[$-10409]#\ ##0</c:formatCode>
                <c:ptCount val="6"/>
                <c:pt idx="0">
                  <c:v>13669010</c:v>
                </c:pt>
                <c:pt idx="1">
                  <c:v>22447200</c:v>
                </c:pt>
                <c:pt idx="2">
                  <c:v>45551813</c:v>
                </c:pt>
                <c:pt idx="3">
                  <c:v>25936089</c:v>
                </c:pt>
                <c:pt idx="4">
                  <c:v>15611120</c:v>
                </c:pt>
                <c:pt idx="5">
                  <c:v>10248263</c:v>
                </c:pt>
              </c:numCache>
            </c:numRef>
          </c:val>
          <c:smooth val="0"/>
          <c:extLst>
            <c:ext xmlns:c16="http://schemas.microsoft.com/office/drawing/2014/chart" uri="{C3380CC4-5D6E-409C-BE32-E72D297353CC}">
              <c16:uniqueId val="{0000000D-DCD7-409F-A1FE-0F42FE937DC9}"/>
            </c:ext>
          </c:extLst>
        </c:ser>
        <c:dLbls>
          <c:showLegendKey val="0"/>
          <c:showVal val="0"/>
          <c:showCatName val="0"/>
          <c:showSerName val="0"/>
          <c:showPercent val="0"/>
          <c:showBubbleSize val="0"/>
        </c:dLbls>
        <c:marker val="1"/>
        <c:smooth val="0"/>
        <c:axId val="407442472"/>
        <c:axId val="407438536"/>
      </c:lineChart>
      <c:catAx>
        <c:axId val="4074424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07438536"/>
        <c:crosses val="autoZero"/>
        <c:auto val="1"/>
        <c:lblAlgn val="ctr"/>
        <c:lblOffset val="100"/>
        <c:noMultiLvlLbl val="0"/>
      </c:catAx>
      <c:valAx>
        <c:axId val="407438536"/>
        <c:scaling>
          <c:orientation val="minMax"/>
        </c:scaling>
        <c:delete val="0"/>
        <c:axPos val="l"/>
        <c:majorGridlines>
          <c:spPr>
            <a:ln w="9525" cap="flat" cmpd="sng" algn="ctr">
              <a:solidFill>
                <a:schemeClr val="tx2">
                  <a:lumMod val="15000"/>
                  <a:lumOff val="85000"/>
                </a:schemeClr>
              </a:solidFill>
              <a:round/>
            </a:ln>
            <a:effectLst/>
          </c:spPr>
        </c:majorGridlines>
        <c:numFmt formatCode="[$-10409]#\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07442472"/>
        <c:crosses val="autoZero"/>
        <c:crossBetween val="between"/>
        <c:dispUnits>
          <c:builtInUnit val="thousands"/>
          <c:dispUnitsLbl>
            <c:layout>
              <c:manualLayout>
                <c:xMode val="edge"/>
                <c:yMode val="edge"/>
                <c:x val="1.4090706984580384E-2"/>
                <c:y val="0.35957390146471374"/>
              </c:manualLayout>
            </c:layout>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Tisíce</a:t>
                  </a:r>
                  <a:r>
                    <a:rPr lang="cs-CZ"/>
                    <a:t> USD</a:t>
                  </a:r>
                  <a:endParaRPr lang="en-US"/>
                </a:p>
              </c:rich>
            </c:tx>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cs-CZ"/>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35</TotalTime>
  <Pages>8</Pages>
  <Words>2947</Words>
  <Characters>17394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20301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5</cp:revision>
  <dcterms:created xsi:type="dcterms:W3CDTF">2023-02-17T13:47:00Z</dcterms:created>
  <dcterms:modified xsi:type="dcterms:W3CDTF">2023-02-17T14:22:00Z</dcterms:modified>
</cp:coreProperties>
</file>