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402B1566"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F4376E">
        <w:rPr>
          <w:rFonts w:ascii="Arial" w:hAnsi="Arial" w:cs="Arial"/>
          <w:noProof/>
        </w:rPr>
        <w:t>pátek 9. prosince 2022</w:t>
      </w:r>
      <w:r w:rsidR="00035FAD" w:rsidRPr="00937595">
        <w:rPr>
          <w:rFonts w:ascii="Arial" w:hAnsi="Arial" w:cs="Arial"/>
        </w:rPr>
        <w:fldChar w:fldCharType="end"/>
      </w:r>
    </w:p>
    <w:p w14:paraId="130DEAFA" w14:textId="77777777" w:rsidR="007E5C33" w:rsidRPr="007E5C33" w:rsidRDefault="007E5C33" w:rsidP="007E5C33"/>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028469F3"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B82BDB">
        <w:rPr>
          <w:rFonts w:cs="Arial"/>
        </w:rPr>
        <w:t xml:space="preserve"> </w:t>
      </w:r>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2B48B316" w14:textId="77777777" w:rsidR="007E5C33" w:rsidRPr="007E5C33" w:rsidRDefault="007E5C33" w:rsidP="007E5C33">
      <w:pPr>
        <w:pStyle w:val="Nadpis3"/>
        <w:spacing w:line="276" w:lineRule="auto"/>
      </w:pPr>
      <w:r w:rsidRPr="007E5C33">
        <w:t>SRBSKO – první výzva k čerpání dotací z projektu IPARD 3 proběhne na jaře 2023</w:t>
      </w:r>
    </w:p>
    <w:p w14:paraId="0B42335D" w14:textId="77777777" w:rsidR="007E5C33" w:rsidRPr="007E5C33" w:rsidRDefault="007E5C33" w:rsidP="007E5C33">
      <w:pPr>
        <w:spacing w:line="276" w:lineRule="auto"/>
        <w:jc w:val="both"/>
      </w:pPr>
      <w:r w:rsidRPr="007E5C33">
        <w:t>Ministerstvo zemědělství, vodního a lesního hospodářství Srbska uvedlo, že na jaře 2023 očekává vypsání první výzvy k čerpání dotací z programu IPARD 3. Podle informací portálu “e-Kapija“ se první výzva bude týkat podpory investic do vybavení zemědělských podniků (nákup mechanizace, zařízení, výstavbu farem, fóliovníků, zakládání vinohradů a ovocných sadů). Další výzva se vztahuje na zpracování zemědělské produkce a bude vypsána během léta 2023. Na podzim se pak očekává vypsání výzvy k čerpání dotací na podporu investic do agroturistiky.</w:t>
      </w:r>
    </w:p>
    <w:p w14:paraId="05B9344E" w14:textId="77777777" w:rsidR="007E5C33" w:rsidRPr="007E5C33" w:rsidRDefault="007E5C33" w:rsidP="007E5C33">
      <w:pPr>
        <w:spacing w:line="276" w:lineRule="auto"/>
        <w:jc w:val="both"/>
      </w:pPr>
      <w:r w:rsidRPr="007E5C33">
        <w:t>IPARD fond v rámci svého programového období (2021 - 2027) je určen k podpoře investic do srbského zemědělství a rurálního rozvoje. V rozpočtu EU je na tento fond vyčleněno 288 miliónu EUR a v národním rozpočtu Srbska 90 miliónů EUR. Společně s účastnickým vkladem uživatelů by mělo být v následujících letech do srbského zemědělství investováno kolem 589 miliónů EUR. Ve fondu IPARD 3, jehož struktura byla schválena na jaře letošního roku, jsou celkem 4 opatření. Kromě již zmíněných tří se poslední opatření vztahuje na technickou pomoc IPARD struktur. Doposud bylo v rámci programů IPARD 1 a IPARD 2 podáno v Srbsku 3 178 žádostí a schváleno 1 144 projektů v celkové hodnotě 105 miliónů EUR. Z rozpočtu EU bylo na účty srbských uživatelů doposud vyplaceno 33,1 miliónu EUR na 631 projektů. Další schválení čerpání se očekává do konce tohoto roku.</w:t>
      </w:r>
    </w:p>
    <w:p w14:paraId="2D184CAF" w14:textId="77777777" w:rsidR="007E5C33" w:rsidRPr="007E5C33" w:rsidRDefault="007E5C33" w:rsidP="007E5C33">
      <w:pPr>
        <w:spacing w:line="276" w:lineRule="auto"/>
        <w:jc w:val="both"/>
      </w:pPr>
      <w:r w:rsidRPr="007E5C33">
        <w:t xml:space="preserve">Oproti podmínkám čerpání dotací pro projekty IPARD 1 a IPARD 2 jsou pro projekty IPARD 3 upraveny podmínky u Opatření 1 (Podpora investic do vybavení zemědělských podniků). Místo původních 5 000 EUR je nyní minimální podpora na projekt stanovena na 20 000 EUR a do podpory byl nově zahrnut i chov ryb. Zároveň se změnila kritéria na nákup traktorů - pro čerpání podpory je nyní nutná podmínka vlastnictví či pronájmu minimálně 50 ha obdělávané půdy. V rámci Opatření 1 je také nově zahrnuta podpora investic do zpracování krůtího a husího masa. Maximální hodnota podpory je pak stanovena na 1 milión EUR. </w:t>
      </w:r>
    </w:p>
    <w:p w14:paraId="18429FD5" w14:textId="77777777" w:rsidR="007E5C33" w:rsidRPr="007E5C33" w:rsidRDefault="007E5C33" w:rsidP="007E5C33">
      <w:pPr>
        <w:spacing w:line="276" w:lineRule="auto"/>
        <w:jc w:val="both"/>
      </w:pPr>
      <w:r w:rsidRPr="007E5C33">
        <w:t>Dotace budou přidělovány v následující struktuře:</w:t>
      </w:r>
    </w:p>
    <w:p w14:paraId="4EFA6214" w14:textId="77777777" w:rsidR="007E5C33" w:rsidRDefault="007E5C33" w:rsidP="007E5C33">
      <w:pPr>
        <w:pStyle w:val="Bezmezer"/>
        <w:numPr>
          <w:ilvl w:val="0"/>
          <w:numId w:val="28"/>
        </w:numPr>
        <w:spacing w:line="276" w:lineRule="auto"/>
        <w:jc w:val="both"/>
        <w:rPr>
          <w:rFonts w:ascii="Arial" w:hAnsi="Arial" w:cs="Arial"/>
        </w:rPr>
      </w:pPr>
      <w:r>
        <w:rPr>
          <w:rFonts w:ascii="Arial" w:hAnsi="Arial" w:cs="Arial"/>
        </w:rPr>
        <w:t>60 % uznatelných nákladů</w:t>
      </w:r>
    </w:p>
    <w:p w14:paraId="76917FD7" w14:textId="3A1E4C1D" w:rsidR="007E5C33" w:rsidRDefault="007E5C33" w:rsidP="007E5C33">
      <w:pPr>
        <w:pStyle w:val="Bezmezer"/>
        <w:numPr>
          <w:ilvl w:val="0"/>
          <w:numId w:val="28"/>
        </w:numPr>
        <w:spacing w:line="276" w:lineRule="auto"/>
        <w:jc w:val="both"/>
        <w:rPr>
          <w:rFonts w:ascii="Arial" w:hAnsi="Arial" w:cs="Arial"/>
        </w:rPr>
      </w:pPr>
      <w:r>
        <w:rPr>
          <w:rFonts w:ascii="Arial" w:hAnsi="Arial" w:cs="Arial"/>
        </w:rPr>
        <w:t>65 % uznatelných nákladů</w:t>
      </w:r>
      <w:r w:rsidR="004A675A">
        <w:rPr>
          <w:rFonts w:ascii="Arial" w:hAnsi="Arial" w:cs="Arial"/>
        </w:rPr>
        <w:t>,</w:t>
      </w:r>
      <w:r>
        <w:rPr>
          <w:rFonts w:ascii="Arial" w:hAnsi="Arial" w:cs="Arial"/>
        </w:rPr>
        <w:t xml:space="preserve"> pokud se jedná o objekt v horské oblasti</w:t>
      </w:r>
    </w:p>
    <w:p w14:paraId="46E24E7F" w14:textId="375ABDBE" w:rsidR="007E5C33" w:rsidRDefault="007E5C33" w:rsidP="007E5C33">
      <w:pPr>
        <w:pStyle w:val="Bezmezer"/>
        <w:numPr>
          <w:ilvl w:val="0"/>
          <w:numId w:val="28"/>
        </w:numPr>
        <w:spacing w:line="276" w:lineRule="auto"/>
        <w:jc w:val="both"/>
        <w:rPr>
          <w:rFonts w:ascii="Arial" w:hAnsi="Arial" w:cs="Arial"/>
        </w:rPr>
      </w:pPr>
      <w:r>
        <w:rPr>
          <w:rFonts w:ascii="Arial" w:hAnsi="Arial" w:cs="Arial"/>
        </w:rPr>
        <w:t>70 % uznatelných nákladů</w:t>
      </w:r>
      <w:r w:rsidR="004A675A">
        <w:rPr>
          <w:rFonts w:ascii="Arial" w:hAnsi="Arial" w:cs="Arial"/>
        </w:rPr>
        <w:t>,</w:t>
      </w:r>
      <w:r>
        <w:rPr>
          <w:rFonts w:ascii="Arial" w:hAnsi="Arial" w:cs="Arial"/>
        </w:rPr>
        <w:t xml:space="preserve"> pokud se jedná o projekt mladého zemědělce a výrobce certifikovaných organických výrobků</w:t>
      </w:r>
    </w:p>
    <w:p w14:paraId="72EA2D7C" w14:textId="77777777" w:rsidR="007E5C33" w:rsidRDefault="007E5C33" w:rsidP="007E5C33">
      <w:pPr>
        <w:pStyle w:val="Bezmezer"/>
        <w:numPr>
          <w:ilvl w:val="0"/>
          <w:numId w:val="28"/>
        </w:numPr>
        <w:spacing w:line="276" w:lineRule="auto"/>
        <w:jc w:val="both"/>
        <w:rPr>
          <w:rFonts w:ascii="Arial" w:hAnsi="Arial" w:cs="Arial"/>
        </w:rPr>
      </w:pPr>
      <w:r>
        <w:rPr>
          <w:rFonts w:ascii="Arial" w:hAnsi="Arial" w:cs="Arial"/>
        </w:rPr>
        <w:t>dodatečných 10 % na investice spojené s řízením odpadového hospodářství a s obnovitelnými zdroji energie</w:t>
      </w:r>
    </w:p>
    <w:p w14:paraId="1CDFD59A" w14:textId="77777777" w:rsidR="007E5C33" w:rsidRDefault="007E5C33" w:rsidP="007E5C33">
      <w:pPr>
        <w:pStyle w:val="Bezmezer"/>
        <w:numPr>
          <w:ilvl w:val="0"/>
          <w:numId w:val="28"/>
        </w:numPr>
        <w:spacing w:line="276" w:lineRule="auto"/>
        <w:jc w:val="both"/>
        <w:rPr>
          <w:rFonts w:ascii="Arial" w:hAnsi="Arial" w:cs="Arial"/>
        </w:rPr>
      </w:pPr>
      <w:r>
        <w:rPr>
          <w:rFonts w:ascii="Arial" w:hAnsi="Arial" w:cs="Arial"/>
        </w:rPr>
        <w:t>dodatečných 10 % pro „společnou investici“</w:t>
      </w:r>
    </w:p>
    <w:p w14:paraId="5212299E" w14:textId="77777777" w:rsidR="007E5C33" w:rsidRPr="007E5C33" w:rsidRDefault="007E5C33" w:rsidP="007E5C33">
      <w:pPr>
        <w:spacing w:line="276" w:lineRule="auto"/>
        <w:jc w:val="both"/>
      </w:pPr>
      <w:r w:rsidRPr="007E5C33">
        <w:t>Některé české společnosti měli již v minulosti možnost v rámci čerpání těchto prostředků dodávat své výrobky a technologie do Srbska a v následujících letech tato možnost bude pokračovat. Protože je nově do dotací zařazen i chov ryb, mohly by se kromě tradičních dodávek traktorů, zemědělských strojů a technologií farem prosadit také technologie českých společností pro intenzivní chov ryb pomocí RAS systémů nebo aquaponické systémy.</w:t>
      </w:r>
    </w:p>
    <w:p w14:paraId="1077345B" w14:textId="047E2E61" w:rsidR="00524BA5" w:rsidRPr="00BD647F" w:rsidRDefault="00524BA5" w:rsidP="00EF76D8">
      <w:pPr>
        <w:pStyle w:val="Bezmezer"/>
        <w:spacing w:line="276" w:lineRule="auto"/>
        <w:jc w:val="both"/>
        <w:rPr>
          <w:rFonts w:ascii="Arial" w:hAnsi="Arial" w:cs="Arial"/>
        </w:rPr>
      </w:pPr>
      <w:r>
        <w:rPr>
          <w:rFonts w:ascii="Arial" w:hAnsi="Arial" w:cs="Arial"/>
        </w:rPr>
        <w:t xml:space="preserve"> </w:t>
      </w:r>
    </w:p>
    <w:p w14:paraId="7E96BB15" w14:textId="77777777" w:rsidR="00771977" w:rsidRPr="00587417" w:rsidRDefault="00771977" w:rsidP="00771977">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lastRenderedPageBreak/>
        <w:t>USA</w:t>
      </w:r>
    </w:p>
    <w:p w14:paraId="77941B92" w14:textId="77777777" w:rsidR="0077197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07F2B57D" w14:textId="77777777" w:rsidR="00771977" w:rsidRPr="0058741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9" w:history="1">
        <w:r w:rsidRPr="00FB2C5D">
          <w:rPr>
            <w:rStyle w:val="Hypertextovodkaz"/>
          </w:rPr>
          <w:t>tereza_cerna@mzv.cz</w:t>
        </w:r>
      </w:hyperlink>
      <w:r w:rsidRPr="00587417">
        <w:rPr>
          <w:rFonts w:cs="Arial"/>
        </w:rPr>
        <w:t xml:space="preserve"> </w:t>
      </w:r>
    </w:p>
    <w:p w14:paraId="4B70E19B" w14:textId="77777777" w:rsidR="00BD4DE4" w:rsidRPr="00BD4DE4" w:rsidRDefault="00BD4DE4" w:rsidP="00BD4DE4">
      <w:pPr>
        <w:pStyle w:val="Nadpis3"/>
        <w:spacing w:line="276" w:lineRule="auto"/>
        <w:jc w:val="both"/>
      </w:pPr>
      <w:r w:rsidRPr="00BD4DE4">
        <w:t>Vývoz zemědělských produktů z USA se ve fiskálním roce 2022 dostal na rekordní úroveň</w:t>
      </w:r>
    </w:p>
    <w:p w14:paraId="448BDCC3" w14:textId="77777777" w:rsidR="00BD4DE4" w:rsidRDefault="00BD4DE4" w:rsidP="00BD4DE4">
      <w:pPr>
        <w:spacing w:line="276" w:lineRule="auto"/>
        <w:jc w:val="both"/>
      </w:pPr>
      <w:r w:rsidRPr="00BD4DE4">
        <w:t xml:space="preserve">Podle nově zveřejněných údajů vzrostl oproti roku 2021 vývoz amerických zemědělských produktů ve fiskálním roce 2022 o 14 %. Byla tak překonána dosavadní rekordní hodnota 172,7 miliardy dolarů z roku 2021 (předchozí rekord je z roku 2014). </w:t>
      </w:r>
      <w:hyperlink r:id="rId10" w:history="1">
        <w:r w:rsidRPr="00BD4DE4">
          <w:t>USDA</w:t>
        </w:r>
      </w:hyperlink>
      <w:r w:rsidRPr="00BD4DE4">
        <w:t xml:space="preserve"> jako faktory, které stojí za tímto nárůstem, identifikoval rekordní objem a hodnotu vývozu sóji a kukuřice, silnou poptávku z Číny a sníženou zahraniční konkurenci.</w:t>
      </w:r>
    </w:p>
    <w:p w14:paraId="44A0FC6E" w14:textId="77777777" w:rsidR="00BD4DE4" w:rsidRDefault="00BD4DE4" w:rsidP="00BD4DE4">
      <w:pPr>
        <w:spacing w:line="276" w:lineRule="auto"/>
        <w:jc w:val="both"/>
      </w:pPr>
      <w:r>
        <w:t xml:space="preserve">Hodnota amerického agrárního exportu dosáhla ve fiskálním roce 2022 </w:t>
      </w:r>
      <w:r w:rsidRPr="007218CA">
        <w:t xml:space="preserve">na rekordních 196,4 miliardy dolarů. </w:t>
      </w:r>
      <w:hyperlink r:id="rId11" w:history="1">
        <w:r w:rsidRPr="00BD4DE4">
          <w:t>Rekordní vývoz</w:t>
        </w:r>
      </w:hyperlink>
      <w:r w:rsidRPr="002A7533">
        <w:t xml:space="preserve"> </w:t>
      </w:r>
      <w:r>
        <w:t>je způsoben zejména větším odbytem s</w:t>
      </w:r>
      <w:r w:rsidRPr="002A7533">
        <w:t>ójov</w:t>
      </w:r>
      <w:r>
        <w:t>ých</w:t>
      </w:r>
      <w:r w:rsidRPr="002A7533">
        <w:t xml:space="preserve"> bob</w:t>
      </w:r>
      <w:r>
        <w:t>ů</w:t>
      </w:r>
      <w:r w:rsidRPr="002A7533">
        <w:t xml:space="preserve">, které jsou největším </w:t>
      </w:r>
      <w:r>
        <w:t>vývozním artiklem (nárůst</w:t>
      </w:r>
      <w:r w:rsidRPr="002A7533">
        <w:t xml:space="preserve"> o 26 % na 33,3 miliardy USD</w:t>
      </w:r>
      <w:r>
        <w:t>), v</w:t>
      </w:r>
      <w:r w:rsidRPr="002A7533">
        <w:t xml:space="preserve">ývoz pšenice </w:t>
      </w:r>
      <w:r>
        <w:t xml:space="preserve">pak </w:t>
      </w:r>
      <w:r w:rsidRPr="002A7533">
        <w:t>vzrostl o 15 % a kukuřice o</w:t>
      </w:r>
      <w:r>
        <w:t> </w:t>
      </w:r>
      <w:r w:rsidRPr="002A7533">
        <w:t>12 %. Největší nárůst v procentním vyjádření zaznamenal</w:t>
      </w:r>
      <w:r>
        <w:t xml:space="preserve"> etanol (67 %) a</w:t>
      </w:r>
      <w:r w:rsidRPr="002A7533">
        <w:t xml:space="preserve"> bavlna</w:t>
      </w:r>
      <w:r>
        <w:t xml:space="preserve"> (</w:t>
      </w:r>
      <w:r w:rsidRPr="002A7533">
        <w:t>41 %</w:t>
      </w:r>
      <w:r>
        <w:t>)</w:t>
      </w:r>
      <w:r w:rsidRPr="002A7533">
        <w:t>. Velký nárůst zaznamenaly také mléčné výrobky</w:t>
      </w:r>
      <w:r>
        <w:t xml:space="preserve"> a</w:t>
      </w:r>
      <w:r w:rsidRPr="002A7533">
        <w:t xml:space="preserve"> </w:t>
      </w:r>
      <w:r>
        <w:t>maso</w:t>
      </w:r>
      <w:r w:rsidRPr="002A7533">
        <w:t xml:space="preserve">. </w:t>
      </w:r>
      <w:r>
        <w:t>Klesl naopak export</w:t>
      </w:r>
      <w:r w:rsidRPr="002A7533">
        <w:t xml:space="preserve"> rýže </w:t>
      </w:r>
      <w:r>
        <w:t>(</w:t>
      </w:r>
      <w:r w:rsidRPr="002A7533">
        <w:t>o 10 %</w:t>
      </w:r>
      <w:r>
        <w:t>)</w:t>
      </w:r>
      <w:r w:rsidRPr="002A7533">
        <w:t xml:space="preserve"> a tabáku </w:t>
      </w:r>
      <w:r>
        <w:t>(</w:t>
      </w:r>
      <w:r w:rsidRPr="002A7533">
        <w:t>o 27 %</w:t>
      </w:r>
      <w:r>
        <w:t>)</w:t>
      </w:r>
      <w:r w:rsidRPr="002A7533">
        <w:t>.</w:t>
      </w:r>
    </w:p>
    <w:p w14:paraId="6F00EEC3" w14:textId="77777777" w:rsidR="00BD4DE4" w:rsidRDefault="00BD4DE4" w:rsidP="00BD4DE4">
      <w:pPr>
        <w:spacing w:line="276" w:lineRule="auto"/>
        <w:jc w:val="both"/>
      </w:pPr>
      <w:r>
        <w:t xml:space="preserve">Nejvíce americké agrární produkty v roce 2022 nakupovala </w:t>
      </w:r>
      <w:r w:rsidRPr="002A7533">
        <w:t>Čína</w:t>
      </w:r>
      <w:r>
        <w:t xml:space="preserve"> -</w:t>
      </w:r>
      <w:r w:rsidRPr="002D4C89">
        <w:t xml:space="preserve"> </w:t>
      </w:r>
      <w:r w:rsidRPr="002A7533">
        <w:t xml:space="preserve">za rekordních 36,4 miliardy dolarů, čímž překonala </w:t>
      </w:r>
      <w:r>
        <w:t xml:space="preserve">hodnotu </w:t>
      </w:r>
      <w:r w:rsidRPr="002A7533">
        <w:t>33,6 miliardy dolarů</w:t>
      </w:r>
      <w:r w:rsidRPr="002D4C89">
        <w:t xml:space="preserve"> </w:t>
      </w:r>
      <w:r w:rsidRPr="002A7533">
        <w:t>z roku 2021</w:t>
      </w:r>
      <w:r>
        <w:t xml:space="preserve">. Export však rostl do všech 6 TOP trhů pro americké agrární produkty - </w:t>
      </w:r>
      <w:r w:rsidRPr="00D52FF5">
        <w:t>Kanad</w:t>
      </w:r>
      <w:r>
        <w:t>y</w:t>
      </w:r>
      <w:r w:rsidRPr="00D52FF5">
        <w:t>, Mexik</w:t>
      </w:r>
      <w:r>
        <w:t>a</w:t>
      </w:r>
      <w:r w:rsidRPr="00D52FF5">
        <w:t>, Japonsk</w:t>
      </w:r>
      <w:r>
        <w:t>a</w:t>
      </w:r>
      <w:r w:rsidRPr="00D52FF5">
        <w:t>, Evropsk</w:t>
      </w:r>
      <w:r>
        <w:t>é unie i</w:t>
      </w:r>
      <w:r w:rsidRPr="00D52FF5">
        <w:t xml:space="preserve"> Jižní Kore</w:t>
      </w:r>
      <w:r>
        <w:t>ji</w:t>
      </w:r>
      <w:r w:rsidRPr="00D52FF5">
        <w:t>.</w:t>
      </w:r>
    </w:p>
    <w:p w14:paraId="11D490C6" w14:textId="77777777" w:rsidR="00BD4DE4" w:rsidRDefault="00BD4DE4" w:rsidP="00BD4DE4">
      <w:pPr>
        <w:spacing w:line="276" w:lineRule="auto"/>
        <w:jc w:val="both"/>
      </w:pPr>
      <w:r>
        <w:t>Výrazně</w:t>
      </w:r>
      <w:r w:rsidRPr="002A7533">
        <w:t xml:space="preserve"> </w:t>
      </w:r>
      <w:r>
        <w:t xml:space="preserve">ale </w:t>
      </w:r>
      <w:r w:rsidRPr="002A7533">
        <w:t>vzrostl</w:t>
      </w:r>
      <w:r>
        <w:t xml:space="preserve"> také dovoz do USA</w:t>
      </w:r>
      <w:r w:rsidRPr="002A7533">
        <w:t>, a to o 19 % na 194 miliard USD</w:t>
      </w:r>
      <w:r>
        <w:t xml:space="preserve">. Proto </w:t>
      </w:r>
      <w:r w:rsidRPr="002A7533">
        <w:t>obchodní bilance skončila s</w:t>
      </w:r>
      <w:r>
        <w:t> </w:t>
      </w:r>
      <w:r w:rsidRPr="002A7533">
        <w:t>přebytkem 2,4 miliardy USD, zatímco v předchozím roce činil přebytek 8,4 miliardy USD. Zemědělskému dovozu dominují dodávky ovoce, zeleniny, ořechů, vína, piva, destilátů, sladidel a</w:t>
      </w:r>
      <w:r>
        <w:t> </w:t>
      </w:r>
      <w:r w:rsidRPr="002A7533">
        <w:t>tropických produktů, jako je káva a kakao.</w:t>
      </w:r>
    </w:p>
    <w:p w14:paraId="22C2BEFE" w14:textId="1A5E9B1B" w:rsidR="00BD4DE4" w:rsidRDefault="00BD4DE4" w:rsidP="00BD4DE4">
      <w:pPr>
        <w:spacing w:line="276" w:lineRule="auto"/>
        <w:jc w:val="both"/>
      </w:pPr>
      <w:r>
        <w:t xml:space="preserve">V obchodní relaci USA – ČR je </w:t>
      </w:r>
      <w:r w:rsidRPr="00C75F64">
        <w:t>obchodní bilance</w:t>
      </w:r>
      <w:r>
        <w:t xml:space="preserve"> stále záporná, přestože ČR v roce 2022 (do října) zaznamenává rekordní export agrárních produktů do USA (74 milionů USD), přičemž dovoz bude patrně stagnovat kolem hodnoty 100 milionů USD.</w:t>
      </w:r>
    </w:p>
    <w:p w14:paraId="2425DF8E" w14:textId="77777777" w:rsidR="00BD4DE4" w:rsidRDefault="00BD4DE4" w:rsidP="00BD4DE4">
      <w:pPr>
        <w:spacing w:line="276" w:lineRule="auto"/>
        <w:jc w:val="both"/>
      </w:pPr>
      <w:r>
        <w:t xml:space="preserve">Pro rok 2023 se očekává mírný pokles hodnoty amerického exportu </w:t>
      </w:r>
      <w:r w:rsidRPr="00F40E90">
        <w:t>zemědělských produktů</w:t>
      </w:r>
      <w:r>
        <w:t xml:space="preserve"> (</w:t>
      </w:r>
      <w:r w:rsidRPr="00F40E90">
        <w:t>předpoklád</w:t>
      </w:r>
      <w:r>
        <w:t>aná</w:t>
      </w:r>
      <w:r w:rsidRPr="00F40E90">
        <w:t xml:space="preserve"> výš</w:t>
      </w:r>
      <w:r>
        <w:t>e je</w:t>
      </w:r>
      <w:r w:rsidRPr="00F40E90">
        <w:t xml:space="preserve"> 190,0 mld. dolarů</w:t>
      </w:r>
      <w:r>
        <w:t>), zejména v důsledku nižších výnosů sóji, kukuřice i bavlny a zároveň kvůli vyšší konkurenci na trhu (primárně sója z Jižní Ameriky). Růst by naopak měl dovoz (očekává se</w:t>
      </w:r>
      <w:r w:rsidRPr="00F40E90">
        <w:t xml:space="preserve"> ve výši 199,0 miliard USD</w:t>
      </w:r>
      <w:r>
        <w:t xml:space="preserve">), </w:t>
      </w:r>
      <w:r w:rsidRPr="00F40E90">
        <w:t>a to zejména v důsledku vyššího dovoz</w:t>
      </w:r>
      <w:r>
        <w:t>u zahradnických produktů, cukru,</w:t>
      </w:r>
      <w:r w:rsidRPr="00F40E90">
        <w:t xml:space="preserve"> tropických produktů</w:t>
      </w:r>
      <w:r>
        <w:t>,</w:t>
      </w:r>
      <w:r w:rsidRPr="00F40E90">
        <w:t xml:space="preserve"> obilí a krmiv. Za vyšší poptávku po dovozu částečně může </w:t>
      </w:r>
      <w:r>
        <w:t xml:space="preserve">také </w:t>
      </w:r>
      <w:r w:rsidRPr="00F40E90">
        <w:t>silný dolar</w:t>
      </w:r>
      <w:r>
        <w:t>.</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2" w:history="1">
        <w:r w:rsidRPr="00D4434C">
          <w:rPr>
            <w:rStyle w:val="Hypertextovodkaz"/>
          </w:rPr>
          <w:t>lukas_zamrzla@mzv.cz</w:t>
        </w:r>
      </w:hyperlink>
      <w:r w:rsidR="00D4434C">
        <w:rPr>
          <w:rStyle w:val="Hypertextovodkaz"/>
          <w:rFonts w:cs="Arial"/>
          <w:color w:val="auto"/>
        </w:rPr>
        <w:t xml:space="preserve"> </w:t>
      </w:r>
    </w:p>
    <w:p w14:paraId="37705769" w14:textId="77777777" w:rsidR="00502071" w:rsidRPr="00502071" w:rsidRDefault="00502071" w:rsidP="00502071">
      <w:pPr>
        <w:pStyle w:val="Nadpis3"/>
        <w:spacing w:line="276" w:lineRule="auto"/>
        <w:jc w:val="both"/>
      </w:pPr>
      <w:r w:rsidRPr="00502071">
        <w:t>Spojené arabské emiráty představily národní Nutriční strategii 2022-2030</w:t>
      </w:r>
    </w:p>
    <w:p w14:paraId="6BD61F26" w14:textId="77777777" w:rsidR="00502071" w:rsidRPr="00502071" w:rsidRDefault="00502071" w:rsidP="00502071">
      <w:pPr>
        <w:spacing w:line="276" w:lineRule="auto"/>
        <w:jc w:val="both"/>
      </w:pPr>
      <w:r w:rsidRPr="00502071">
        <w:t xml:space="preserve">Začátkem prosince vyhlásilo Ministerstvo pro zdraví a prevenci SAE novou strategii, která má za cíl zatočit s nenasycenými mastnými kyselinami, cukry a solí v pokrmech. Hlavním důvodem je opět boj s obezitou u mladých obyvatel země a snížení výskytu kardiovaskulárních onemocnění. </w:t>
      </w:r>
    </w:p>
    <w:p w14:paraId="1075E400" w14:textId="77777777" w:rsidR="00502071" w:rsidRPr="00502071" w:rsidRDefault="00502071" w:rsidP="00502071">
      <w:pPr>
        <w:spacing w:line="276" w:lineRule="auto"/>
        <w:jc w:val="both"/>
      </w:pPr>
      <w:r w:rsidRPr="00502071">
        <w:t xml:space="preserve">V rámci nové strategie má v zemi dojít k velkému omezení propagace nezdravého jídla a ke kontrolám nutričních hodnot ve stravovacích zařízeních pro děti. </w:t>
      </w:r>
    </w:p>
    <w:p w14:paraId="15B89CC2" w14:textId="77777777" w:rsidR="00502071" w:rsidRPr="00502071" w:rsidRDefault="00502071" w:rsidP="00502071">
      <w:pPr>
        <w:spacing w:line="276" w:lineRule="auto"/>
        <w:jc w:val="both"/>
      </w:pPr>
      <w:r w:rsidRPr="00502071">
        <w:t xml:space="preserve">Podle původního plánu chtěly Emiráty úplně zakázat přítomnost nenasycených mastných kyselin v potravinách. Nakonec ale ustoupili požadavkům potravinového průmyslu a zavázaly se řídit doporučením Světové zdravotnické organizace, která pouze upravuje maximální hodnoty těchto tuků. </w:t>
      </w:r>
    </w:p>
    <w:p w14:paraId="66628043" w14:textId="77777777" w:rsidR="00502071" w:rsidRPr="00502071" w:rsidRDefault="00502071" w:rsidP="00502071">
      <w:pPr>
        <w:spacing w:line="276" w:lineRule="auto"/>
        <w:jc w:val="both"/>
      </w:pPr>
      <w:r w:rsidRPr="00502071">
        <w:t xml:space="preserve">Během nedávné tiskové konference bylo oznámeno, že dohledový orgán Spojených arabských emirátů bude během jara 2023 pořádat workshopy pro výrobce, ve kterých představí nová pravidla pro dodržování hodnot tuků, solí a cukrů v jejich produktech.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3" w:history="1">
        <w:r w:rsidR="00DB022E" w:rsidRPr="00D4434C">
          <w:rPr>
            <w:rStyle w:val="Hypertextovodkaz"/>
          </w:rPr>
          <w:t>petr_sochor@mzv.cz</w:t>
        </w:r>
      </w:hyperlink>
    </w:p>
    <w:p w14:paraId="5CC8C5A5" w14:textId="77777777" w:rsidR="00BD4DE4" w:rsidRPr="00074C1D" w:rsidRDefault="00BD4DE4" w:rsidP="00BD4DE4">
      <w:pPr>
        <w:pStyle w:val="Nadpis3"/>
        <w:spacing w:line="276" w:lineRule="auto"/>
        <w:jc w:val="both"/>
        <w:rPr>
          <w:rFonts w:ascii="Arial" w:hAnsi="Arial" w:cs="Arial"/>
          <w:b w:val="0"/>
        </w:rPr>
      </w:pPr>
      <w:r w:rsidRPr="00BD4DE4">
        <w:t>Libanon poptává osiva</w:t>
      </w:r>
    </w:p>
    <w:p w14:paraId="1D533C03" w14:textId="61D98C0D" w:rsidR="00BD4DE4" w:rsidRPr="00BD4DE4" w:rsidRDefault="00BD4DE4" w:rsidP="00BD4DE4">
      <w:pPr>
        <w:spacing w:line="276" w:lineRule="auto"/>
        <w:jc w:val="both"/>
      </w:pPr>
      <w:r w:rsidRPr="00BD4DE4">
        <w:t>Vzhledem k tomu, že ceny dovážených i místně vyráběných potravin stále rostou, což ohrožuje potravinovou bezpečnost Libanonu, je patrná větší pozornost věnovaná místnímu zemědělství</w:t>
      </w:r>
      <w:r w:rsidR="004A675A">
        <w:t xml:space="preserve">. </w:t>
      </w:r>
      <w:r w:rsidRPr="00BD4DE4">
        <w:t>Umět a být schopen vypěstovat ovoce a zeleninu pro vlastní spotřebu je v dnešní ekonomicky náročné době skutečným benefitem, kdy platí staré libanonské přísloví, které lze přeložit jako „spokojený farmář je skutečný sultán“. Tím, jak čím dál více Libanonců pociťuje potřebu být nezávislý na maloobchodu a umět si zajistit potravu pro sebe a vlastní komunitu, se zájem o zemědělství dostává do popředí. Čím dál více lidí projevuje zájem o pěstování vlastních potravin. Podle statistik libanonské celní správy dosáhl v r. 2021 celkový zemědělský dovoz hodnoty 2,3 miliard</w:t>
      </w:r>
      <w:r w:rsidR="004A675A" w:rsidRPr="004A675A">
        <w:t xml:space="preserve"> </w:t>
      </w:r>
      <w:r w:rsidR="004A675A" w:rsidRPr="00BD4DE4">
        <w:t>USD</w:t>
      </w:r>
      <w:r w:rsidRPr="00BD4DE4">
        <w:t xml:space="preserve">, z čehož dovoz v hodnotě 86 milionů </w:t>
      </w:r>
      <w:r w:rsidR="004A675A" w:rsidRPr="00BD4DE4">
        <w:t xml:space="preserve">USD </w:t>
      </w:r>
      <w:r w:rsidRPr="00BD4DE4">
        <w:t>pocházel z USA. Mezi hlavní zemědělské dovozy z USA do Libanonu patří olej, semena, ovoce, ořechy a různé potravinářské přípravky. Nově uvalené finanční kontroly zaměřené na odliv kapitálu ze země vedly v posledních letech k výraznému poklesu importu do Libanonu. Tím došlo ve velké míře k substituci dovozu v celém zemědělském sektoru. Snaha místních zemědělců vypěstovat větší objemy produkce pro místní spotřebu však importu nezabrání. Odhaduje se, že přibližně 80</w:t>
      </w:r>
      <w:r w:rsidR="004A675A">
        <w:t xml:space="preserve"> </w:t>
      </w:r>
      <w:r w:rsidRPr="00BD4DE4">
        <w:t>% místně spotřebovaných potravin stále pochází z dovozu. Sezónní zelenina jako jsou rajčata, okurky, zelí, paprika, cibule a další se běžně pěstují ze sazenic. Libanon, vzhledem k celoročně příznivým klimatickým podmínkám, má velkou výhodu ve dvou sklizních za rok. Od přesazení sazenic do úrodné půdy vyžaduje první cyklus přibližně 50-60 dnů k dosažení sklizně, druhý roční cyklus je o trochu delší a vyžaduje přibližně 80 dnů od výsadby do sklizně.</w:t>
      </w:r>
    </w:p>
    <w:p w14:paraId="1D31F63D" w14:textId="71DEC628" w:rsidR="00BD4DE4" w:rsidRPr="00BD4DE4" w:rsidRDefault="00BD4DE4" w:rsidP="00BD4DE4">
      <w:pPr>
        <w:spacing w:line="276" w:lineRule="auto"/>
        <w:jc w:val="both"/>
      </w:pPr>
      <w:r w:rsidRPr="00BD4DE4">
        <w:t xml:space="preserve">V současné době hledají libanonští farmáři náhradu za čínská semena, která neodpovídají jejím nárokům na kvalitu a kdy výsledná chuť produktů není srovnatelná s produkcí vypěstované z dovážených semen z Evropy. V současné době je největší exportér v tomto segmentu Holandsko. Pro české šlechtitele, producenty a exportéry osiv nastala vhodná příležitost pro návrat na libanonský trh. V minulosti exportovaly české firmy mnoho druhů osiv nejenom do Libanonu, ale do celé oblasti Blízkého a středního východu. Český zemědělský diplomat pomůže firmám získat kontakty na současné dovozce. </w:t>
      </w:r>
    </w:p>
    <w:p w14:paraId="20C05003" w14:textId="77777777" w:rsidR="00BD4DE4" w:rsidRPr="00BD4DE4" w:rsidRDefault="00BD4DE4" w:rsidP="00BD4DE4">
      <w:pPr>
        <w:spacing w:before="120" w:line="276" w:lineRule="auto"/>
        <w:jc w:val="both"/>
      </w:pPr>
      <w:r w:rsidRPr="00BD4DE4">
        <w:t xml:space="preserve">Zdroj: hospodářské zpravodajství Libanonu </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4" w:history="1">
        <w:r w:rsidRPr="00D4434C">
          <w:rPr>
            <w:rStyle w:val="Hypertextovodkaz"/>
          </w:rPr>
          <w:t>irena_leopoldova@mzv.cz</w:t>
        </w:r>
      </w:hyperlink>
      <w:r w:rsidR="00D4434C">
        <w:t xml:space="preserve"> </w:t>
      </w:r>
    </w:p>
    <w:p w14:paraId="2A895454" w14:textId="77777777" w:rsidR="00BD4DE4" w:rsidRPr="00BD4DE4" w:rsidRDefault="00BD4DE4" w:rsidP="00BD4DE4">
      <w:pPr>
        <w:pStyle w:val="Nadpis3"/>
        <w:spacing w:line="276" w:lineRule="auto"/>
      </w:pPr>
      <w:r w:rsidRPr="00BD4DE4">
        <w:t>Nadbytek mléka na konci roku v Japonsku</w:t>
      </w:r>
    </w:p>
    <w:p w14:paraId="7174D854" w14:textId="77777777" w:rsidR="00BD4DE4" w:rsidRPr="00BD4DE4" w:rsidRDefault="00BD4DE4" w:rsidP="00BD4DE4">
      <w:pPr>
        <w:spacing w:line="276" w:lineRule="auto"/>
        <w:jc w:val="both"/>
      </w:pPr>
      <w:r w:rsidRPr="00BD4DE4">
        <w:t xml:space="preserve">Chovatelé mléčného skotu v Japonsku očekávají nadbytek mléka, ke kterému pravidelně dochází kvůli uzavření škol během novoročních svátků. Nyní je však situace horší z důvodu hrozící snížené poptávky spotřebitelů po mléku a mléčných výrobcích z důvodu rostoucích cen. Ty již dlouhodobě rostou v reakci na zvyšující se ceny krmiv. </w:t>
      </w:r>
    </w:p>
    <w:p w14:paraId="2A9C091A" w14:textId="5A2E98D2" w:rsidR="00BD4DE4" w:rsidRPr="00BD4DE4" w:rsidRDefault="00BD4DE4" w:rsidP="00BD4DE4">
      <w:pPr>
        <w:spacing w:line="276" w:lineRule="auto"/>
        <w:jc w:val="both"/>
      </w:pPr>
      <w:r w:rsidRPr="00BD4DE4">
        <w:t>Tři hlavní společnosti vyrábějící mléčné výrobky – Meiji Co, Morinaga Milk Industry a Megamilk Snow Brand zvýšily v listopadu své velkoobchodní ceny mléčných výrobků o 2,8 – 10,2 %. Pro provozovatel</w:t>
      </w:r>
      <w:r w:rsidR="004A675A">
        <w:t>e</w:t>
      </w:r>
      <w:r w:rsidRPr="00BD4DE4">
        <w:t xml:space="preserve"> supermarketů, kteří čelí tvrdé vzájemné konkurenci, je nastavení atraktivních cen mléčných výrobků důležité pro udržení a přilákání zákazníků. V reakci na zvýšení cen ze strany velkých výrobců supermarkety zvýšily své maloobchodní ceny, ale podle společnosti Aeon Reail doposud objem prodeje nebyl zvýšením cen ovlivněn. Vzhledem k tomu, že se zvýšení cen vztahuje na širokou škálu výrobků, se očekává, že spotřebitelé v budoucnu omezí spotřebu mléčných produktů.</w:t>
      </w:r>
    </w:p>
    <w:p w14:paraId="3F15E437" w14:textId="75FBD2AF" w:rsidR="00BD4DE4" w:rsidRPr="00BD4DE4" w:rsidRDefault="00BD4DE4" w:rsidP="00BD4DE4">
      <w:pPr>
        <w:spacing w:line="276" w:lineRule="auto"/>
        <w:jc w:val="both"/>
      </w:pPr>
      <w:r w:rsidRPr="00BD4DE4">
        <w:t>Ministerstvo zemědělství vyčlenilo ve druhém doplňkovém rozpočtu na fiskální rok 2022 celkem 5,7 mld</w:t>
      </w:r>
      <w:r w:rsidR="004A675A">
        <w:t>.</w:t>
      </w:r>
      <w:r w:rsidRPr="00BD4DE4">
        <w:t xml:space="preserve"> jenů (1 mld</w:t>
      </w:r>
      <w:r w:rsidR="004A675A">
        <w:t>.</w:t>
      </w:r>
      <w:r w:rsidRPr="00BD4DE4">
        <w:t xml:space="preserve"> Kč), aby zabránilo dopadům poklesu poptávky na chovatele dojnic. V březnu příštího roku ministerstvo zavede systém, který bude chovatelům dojnic poskytovat 150 tis</w:t>
      </w:r>
      <w:r w:rsidR="004A675A">
        <w:t>.</w:t>
      </w:r>
      <w:r w:rsidRPr="00BD4DE4">
        <w:t xml:space="preserve"> jenů (25 tis</w:t>
      </w:r>
      <w:r w:rsidR="004A675A">
        <w:t>.</w:t>
      </w:r>
      <w:r w:rsidRPr="00BD4DE4">
        <w:t xml:space="preserve"> Kč) na každou krávu s nízkou mléčnou užitkovostí, kterou vyřadí z chovu. Vláda pomáhá chovatelům dojnic zvýšit produkci mléka od roku 2014, kdy zemi postihl nedostatek másla.</w:t>
      </w:r>
    </w:p>
    <w:p w14:paraId="45E0ED8B" w14:textId="77777777" w:rsidR="00BD4DE4" w:rsidRPr="00BD4DE4" w:rsidRDefault="00BD4DE4" w:rsidP="00BD4DE4">
      <w:pPr>
        <w:spacing w:line="276" w:lineRule="auto"/>
        <w:jc w:val="both"/>
      </w:pPr>
      <w:r w:rsidRPr="00BD4DE4">
        <w:t>Ministerstvo zemědělství bude také dotovat zvýšené náklady na skladování sušeného odstředěného mléka a dalších produktů, s nimiž se potýkají organizace mlékařů, jejichž zásoby se tento měsíc v důsledku rostoucích cen zvětšily.</w:t>
      </w:r>
    </w:p>
    <w:p w14:paraId="6105C5FC" w14:textId="77777777" w:rsidR="00BD4DE4" w:rsidRPr="00BD4DE4" w:rsidRDefault="00BD4DE4" w:rsidP="00BD4DE4">
      <w:pPr>
        <w:spacing w:before="120" w:line="276" w:lineRule="auto"/>
        <w:jc w:val="both"/>
      </w:pPr>
      <w:r w:rsidRPr="00BD4DE4">
        <w:t>Zdroj: The Japan news</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5" w:history="1">
        <w:r w:rsidR="00D4434C" w:rsidRPr="00D54C30">
          <w:rPr>
            <w:rStyle w:val="Hypertextovodkaz"/>
          </w:rPr>
          <w:t>lubos.marek@mze.cz</w:t>
        </w:r>
      </w:hyperlink>
      <w:r w:rsidR="00D4434C">
        <w:t xml:space="preserve"> / </w:t>
      </w:r>
      <w:hyperlink r:id="rId16" w:history="1">
        <w:r w:rsidR="00D4434C" w:rsidRPr="00D54C30">
          <w:rPr>
            <w:rStyle w:val="Hypertextovodkaz"/>
          </w:rPr>
          <w:t>commerce_hanoi@mzv.cz</w:t>
        </w:r>
      </w:hyperlink>
      <w:r w:rsidR="00D4434C">
        <w:t xml:space="preserve"> </w:t>
      </w:r>
    </w:p>
    <w:p w14:paraId="1A7E4103" w14:textId="77777777" w:rsidR="00BD4DE4" w:rsidRPr="00BD4DE4" w:rsidRDefault="00BD4DE4" w:rsidP="00BD4DE4">
      <w:pPr>
        <w:pStyle w:val="Nadpis3"/>
        <w:spacing w:line="276" w:lineRule="auto"/>
      </w:pPr>
      <w:r w:rsidRPr="00BD4DE4">
        <w:t>Jollibee jedná o prodeji podílu ve vietnamském Highlands Coffee</w:t>
      </w:r>
    </w:p>
    <w:p w14:paraId="673DA5BB" w14:textId="77777777" w:rsidR="00BD4DE4" w:rsidRPr="00BD4DE4" w:rsidRDefault="00BD4DE4" w:rsidP="00BD4DE4">
      <w:pPr>
        <w:spacing w:line="276" w:lineRule="auto"/>
        <w:jc w:val="both"/>
      </w:pPr>
      <w:r w:rsidRPr="00BD4DE4">
        <w:t>Jollibee Foods Corporation, největší provozovatel rychlého občerstvení na Filipínách, finalizuje jednání o prodeji části podílu ve vietnamském řetězci kaváren a balírně kávy Highlands Coffee. Skupina se údajně chystá prodat 10-15% podíl v Highlands Coffee, jehož hodnota se odhaduje na 800 mil. amerických dolarů. Pokud bude prodej úspěšný, mohla by se tím Highlands Coffee otevřít cesta na burzu, o což Jollibee usiluje již několik let.</w:t>
      </w:r>
    </w:p>
    <w:p w14:paraId="430BDFC2" w14:textId="77777777" w:rsidR="00BD4DE4" w:rsidRPr="00BD4DE4" w:rsidRDefault="00BD4DE4" w:rsidP="00BD4DE4">
      <w:pPr>
        <w:spacing w:line="276" w:lineRule="auto"/>
        <w:jc w:val="both"/>
      </w:pPr>
      <w:r w:rsidRPr="00BD4DE4">
        <w:t>Jollibee před deseti lety koupila v Highlands Coffee minoritní podíl a později se stala většinovým akcionářem. Značka Highlands Coffee, která byla založena v roce 1999, začínala jako balírna kávových produktů v Hanoji a rozrostla se na řetězec s více než 500 obchody ve Vietnamu a na Filipínách.</w:t>
      </w:r>
    </w:p>
    <w:p w14:paraId="3993F3BD" w14:textId="481BC176" w:rsidR="00BD4DE4" w:rsidRPr="00BD4DE4" w:rsidRDefault="00BD4DE4" w:rsidP="00BD4DE4">
      <w:pPr>
        <w:spacing w:line="276" w:lineRule="auto"/>
        <w:jc w:val="both"/>
      </w:pPr>
      <w:r w:rsidRPr="00BD4DE4">
        <w:t>Jollibee, kterou ovládá filipínský miliardář Tony Tan Caktiong, rychle expanduje do zámoří a</w:t>
      </w:r>
      <w:r>
        <w:t> </w:t>
      </w:r>
      <w:r w:rsidRPr="00BD4DE4">
        <w:t>zejména do jihovýchodní Asie s cílem zachytit rostoucí spotřebitelské výdaje v regionu s</w:t>
      </w:r>
      <w:r>
        <w:t> </w:t>
      </w:r>
      <w:r w:rsidRPr="00BD4DE4">
        <w:t>přibližně 680 miliony lidí. V 17 zemích má skupina více než 1 500 obchodů včetně americké značky Coffee Bean &amp; Tea Leaf a vlastního řetězce rychlého občerstvení s logem usmívající se včely.</w:t>
      </w:r>
    </w:p>
    <w:p w14:paraId="7BFA6077" w14:textId="77777777" w:rsidR="00BD4DE4" w:rsidRPr="00BD4DE4" w:rsidRDefault="00BD4DE4" w:rsidP="00BD4DE4">
      <w:pPr>
        <w:spacing w:line="276" w:lineRule="auto"/>
        <w:jc w:val="both"/>
      </w:pPr>
      <w:r w:rsidRPr="00BD4DE4">
        <w:t>Vietnam s 99 miliony obyvatel je nejrychleji rostoucí asijskou ekonomikou s předpokládaným růstem hrubého domácího produktu 8 % v letošním roce. Boom pití kávy vytvořil v jihovýchodní Asii velké značky. V loňském roce byl např. indonéský řetězec kaváren Kopi Kenangan oceněn na více než 1 mld. amerických dolarů.</w:t>
      </w:r>
    </w:p>
    <w:p w14:paraId="4F53A805" w14:textId="77777777" w:rsidR="00BD4DE4" w:rsidRPr="00BD4DE4" w:rsidRDefault="00BD4DE4" w:rsidP="00BD4DE4">
      <w:pPr>
        <w:spacing w:line="276" w:lineRule="auto"/>
        <w:jc w:val="both"/>
      </w:pPr>
    </w:p>
    <w:p w14:paraId="2EB47923" w14:textId="537F00F7" w:rsidR="00F36E50" w:rsidRPr="00F36E50" w:rsidRDefault="00F36E50" w:rsidP="00BD4DE4">
      <w:pPr>
        <w:spacing w:line="276" w:lineRule="auto"/>
        <w:jc w:val="both"/>
      </w:pPr>
    </w:p>
    <w:sectPr w:rsidR="00F36E50" w:rsidRPr="00F36E50"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63FB" w14:textId="77777777" w:rsidR="00DA0649" w:rsidRDefault="00DA0649" w:rsidP="00D4434C">
      <w:r>
        <w:separator/>
      </w:r>
    </w:p>
  </w:endnote>
  <w:endnote w:type="continuationSeparator" w:id="0">
    <w:p w14:paraId="5DDFF128" w14:textId="77777777" w:rsidR="00DA0649" w:rsidRDefault="00DA0649"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48D3" w14:textId="77777777" w:rsidR="00DA0649" w:rsidRDefault="00DA0649" w:rsidP="00D4434C">
      <w:r>
        <w:separator/>
      </w:r>
    </w:p>
  </w:footnote>
  <w:footnote w:type="continuationSeparator" w:id="0">
    <w:p w14:paraId="782F5B42" w14:textId="77777777" w:rsidR="00DA0649" w:rsidRDefault="00DA0649"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A13495"/>
    <w:multiLevelType w:val="hybridMultilevel"/>
    <w:tmpl w:val="4C5A7BA2"/>
    <w:lvl w:ilvl="0" w:tplc="D29EA08A">
      <w:numFmt w:val="bullet"/>
      <w:lvlText w:val="-"/>
      <w:lvlJc w:val="left"/>
      <w:pPr>
        <w:ind w:left="1070" w:hanging="360"/>
      </w:pPr>
      <w:rPr>
        <w:rFonts w:ascii="Arial" w:eastAsiaTheme="minorHAnsi" w:hAnsi="Arial" w:cs="Aria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7"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7"/>
  </w:num>
  <w:num w:numId="4">
    <w:abstractNumId w:val="11"/>
  </w:num>
  <w:num w:numId="5">
    <w:abstractNumId w:val="21"/>
  </w:num>
  <w:num w:numId="6">
    <w:abstractNumId w:val="22"/>
  </w:num>
  <w:num w:numId="7">
    <w:abstractNumId w:val="18"/>
  </w:num>
  <w:num w:numId="8">
    <w:abstractNumId w:val="3"/>
  </w:num>
  <w:num w:numId="9">
    <w:abstractNumId w:val="10"/>
  </w:num>
  <w:num w:numId="10">
    <w:abstractNumId w:val="7"/>
  </w:num>
  <w:num w:numId="11">
    <w:abstractNumId w:val="16"/>
  </w:num>
  <w:num w:numId="12">
    <w:abstractNumId w:val="12"/>
  </w:num>
  <w:num w:numId="13">
    <w:abstractNumId w:val="27"/>
  </w:num>
  <w:num w:numId="14">
    <w:abstractNumId w:val="9"/>
  </w:num>
  <w:num w:numId="15">
    <w:abstractNumId w:val="2"/>
  </w:num>
  <w:num w:numId="16">
    <w:abstractNumId w:val="14"/>
  </w:num>
  <w:num w:numId="17">
    <w:abstractNumId w:val="8"/>
  </w:num>
  <w:num w:numId="18">
    <w:abstractNumId w:val="1"/>
  </w:num>
  <w:num w:numId="19">
    <w:abstractNumId w:val="25"/>
  </w:num>
  <w:num w:numId="20">
    <w:abstractNumId w:val="24"/>
  </w:num>
  <w:num w:numId="21">
    <w:abstractNumId w:val="0"/>
  </w:num>
  <w:num w:numId="22">
    <w:abstractNumId w:val="5"/>
  </w:num>
  <w:num w:numId="23">
    <w:abstractNumId w:val="26"/>
  </w:num>
  <w:num w:numId="24">
    <w:abstractNumId w:val="13"/>
  </w:num>
  <w:num w:numId="25">
    <w:abstractNumId w:val="4"/>
  </w:num>
  <w:num w:numId="26">
    <w:abstractNumId w:val="20"/>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23F87"/>
    <w:rsid w:val="002616B5"/>
    <w:rsid w:val="00267D97"/>
    <w:rsid w:val="002A2D85"/>
    <w:rsid w:val="002A56DF"/>
    <w:rsid w:val="002E5EAD"/>
    <w:rsid w:val="00370E34"/>
    <w:rsid w:val="003964FA"/>
    <w:rsid w:val="003D2B3B"/>
    <w:rsid w:val="003D56E1"/>
    <w:rsid w:val="004232BE"/>
    <w:rsid w:val="004559E3"/>
    <w:rsid w:val="004962CD"/>
    <w:rsid w:val="004A675A"/>
    <w:rsid w:val="004A6C5B"/>
    <w:rsid w:val="004E6FCD"/>
    <w:rsid w:val="00502071"/>
    <w:rsid w:val="00505C2E"/>
    <w:rsid w:val="005248F4"/>
    <w:rsid w:val="00524BA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71977"/>
    <w:rsid w:val="00780119"/>
    <w:rsid w:val="0078308B"/>
    <w:rsid w:val="00790E93"/>
    <w:rsid w:val="00795E13"/>
    <w:rsid w:val="007A531E"/>
    <w:rsid w:val="007D2A9E"/>
    <w:rsid w:val="007E5C33"/>
    <w:rsid w:val="007F3E9B"/>
    <w:rsid w:val="007F44D0"/>
    <w:rsid w:val="007F5F98"/>
    <w:rsid w:val="00807D31"/>
    <w:rsid w:val="00886E98"/>
    <w:rsid w:val="00892A59"/>
    <w:rsid w:val="00892E02"/>
    <w:rsid w:val="00897840"/>
    <w:rsid w:val="008A6BB3"/>
    <w:rsid w:val="008A799A"/>
    <w:rsid w:val="008D3E6D"/>
    <w:rsid w:val="00937595"/>
    <w:rsid w:val="009677BC"/>
    <w:rsid w:val="00974743"/>
    <w:rsid w:val="00993C8E"/>
    <w:rsid w:val="00A04ECC"/>
    <w:rsid w:val="00A53226"/>
    <w:rsid w:val="00A91B8F"/>
    <w:rsid w:val="00AB1996"/>
    <w:rsid w:val="00AD54F3"/>
    <w:rsid w:val="00AE3F61"/>
    <w:rsid w:val="00AF51BE"/>
    <w:rsid w:val="00B05BDF"/>
    <w:rsid w:val="00B173B4"/>
    <w:rsid w:val="00B208A7"/>
    <w:rsid w:val="00B27E33"/>
    <w:rsid w:val="00B318F6"/>
    <w:rsid w:val="00B554B9"/>
    <w:rsid w:val="00B82BDB"/>
    <w:rsid w:val="00BA6A5B"/>
    <w:rsid w:val="00BC341A"/>
    <w:rsid w:val="00BC4BD8"/>
    <w:rsid w:val="00BD4DE4"/>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0649"/>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4376E"/>
    <w:rsid w:val="00F7570B"/>
    <w:rsid w:val="00F846F6"/>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petr_sochor@mzv.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kas_zamrzla@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merce_hanoi@mz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s.usda.gov/sites/default/files/styles/wysiwyg/public/media/images/2022-11/FY2022.png?itok=vhT1TuLK"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10" Type="http://schemas.openxmlformats.org/officeDocument/2006/relationships/hyperlink" Target="https://www.ers.usd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reza_cerna@mzv.cz" TargetMode="External"/><Relationship Id="rId14" Type="http://schemas.openxmlformats.org/officeDocument/2006/relationships/hyperlink" Target="mailto:irena_leopoldova@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4</Pages>
  <Words>1929</Words>
  <Characters>11383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13286</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2022-12-09T13:46:00Z</dcterms:created>
  <dcterms:modified xsi:type="dcterms:W3CDTF">2022-12-09T13:46:00Z</dcterms:modified>
</cp:coreProperties>
</file>