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E8A8" w14:textId="77777777" w:rsidR="00937595" w:rsidRDefault="00505C2E" w:rsidP="00EF76D8">
      <w:pPr>
        <w:pStyle w:val="Nzev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Zprávy z teritorií</w:t>
      </w:r>
      <w:r w:rsidR="00035FAD" w:rsidRPr="00937595">
        <w:rPr>
          <w:rFonts w:ascii="Arial" w:hAnsi="Arial" w:cs="Arial"/>
        </w:rPr>
        <w:t xml:space="preserve"> - </w:t>
      </w:r>
      <w:r w:rsidR="00035FAD" w:rsidRPr="00937595">
        <w:rPr>
          <w:rFonts w:ascii="Arial" w:hAnsi="Arial" w:cs="Arial"/>
        </w:rPr>
        <w:fldChar w:fldCharType="begin"/>
      </w:r>
      <w:r w:rsidR="00035FAD" w:rsidRPr="00937595">
        <w:rPr>
          <w:rFonts w:ascii="Arial" w:hAnsi="Arial" w:cs="Arial"/>
        </w:rPr>
        <w:instrText xml:space="preserve"> TIME \@ "dddd d. MMMM yyyy" </w:instrText>
      </w:r>
      <w:r w:rsidR="00035FAD" w:rsidRPr="00937595">
        <w:rPr>
          <w:rFonts w:ascii="Arial" w:hAnsi="Arial" w:cs="Arial"/>
        </w:rPr>
        <w:fldChar w:fldCharType="separate"/>
      </w:r>
      <w:r w:rsidR="00AB3B4C">
        <w:rPr>
          <w:rFonts w:ascii="Arial" w:hAnsi="Arial" w:cs="Arial"/>
          <w:noProof/>
        </w:rPr>
        <w:t>pátek 8. dubna 2022</w:t>
      </w:r>
      <w:r w:rsidR="00035FAD" w:rsidRPr="00937595">
        <w:rPr>
          <w:rFonts w:ascii="Arial" w:hAnsi="Arial" w:cs="Arial"/>
        </w:rPr>
        <w:fldChar w:fldCharType="end"/>
      </w:r>
    </w:p>
    <w:p w14:paraId="050954DE" w14:textId="77777777" w:rsidR="00E67B7E" w:rsidRPr="00E67B7E" w:rsidRDefault="00E67B7E" w:rsidP="00E67B7E"/>
    <w:p w14:paraId="52098856" w14:textId="77777777" w:rsidR="00035FAD" w:rsidRPr="00587417" w:rsidRDefault="00035FAD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SRBSKO</w:t>
      </w:r>
    </w:p>
    <w:p w14:paraId="52C03437" w14:textId="77777777" w:rsidR="00DB3BA7" w:rsidRPr="00587417" w:rsidRDefault="002A2D85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Vladimír Váňa</w:t>
      </w:r>
      <w:r w:rsidR="00035FAD" w:rsidRPr="00587417">
        <w:rPr>
          <w:rFonts w:cs="Arial"/>
        </w:rPr>
        <w:t>, Z</w:t>
      </w:r>
      <w:r w:rsidR="00DB3BA7" w:rsidRPr="00587417">
        <w:rPr>
          <w:rFonts w:cs="Arial"/>
        </w:rPr>
        <w:t>emědělský diplomat</w:t>
      </w:r>
      <w:r w:rsidR="00035FAD" w:rsidRPr="00587417">
        <w:rPr>
          <w:rFonts w:cs="Arial"/>
        </w:rPr>
        <w:t>,</w:t>
      </w:r>
      <w:r w:rsidR="00DB3BA7" w:rsidRPr="00587417">
        <w:rPr>
          <w:rFonts w:cs="Arial"/>
        </w:rPr>
        <w:t xml:space="preserve"> velvyslanectví ČR v</w:t>
      </w:r>
      <w:r w:rsidR="000F24FC">
        <w:rPr>
          <w:rFonts w:cs="Arial"/>
        </w:rPr>
        <w:t> </w:t>
      </w:r>
      <w:r w:rsidR="00DB3BA7" w:rsidRPr="00587417">
        <w:rPr>
          <w:rFonts w:cs="Arial"/>
        </w:rPr>
        <w:t>Bělehradě</w:t>
      </w:r>
      <w:r w:rsidR="000F24FC">
        <w:rPr>
          <w:rFonts w:cs="Arial"/>
        </w:rPr>
        <w:t>,</w:t>
      </w:r>
      <w:r w:rsidR="00DB3BA7" w:rsidRPr="00587417">
        <w:rPr>
          <w:rFonts w:cs="Arial"/>
        </w:rPr>
        <w:t xml:space="preserve"> </w:t>
      </w:r>
    </w:p>
    <w:p w14:paraId="32A00E2E" w14:textId="77777777" w:rsidR="00DB3BA7" w:rsidRPr="00587417" w:rsidRDefault="00DB3BA7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</w:t>
      </w:r>
      <w:r w:rsidR="005D5E3F" w:rsidRPr="00587417">
        <w:rPr>
          <w:rFonts w:cs="Arial"/>
        </w:rPr>
        <w:t>.</w:t>
      </w:r>
      <w:r w:rsidRPr="00587417">
        <w:rPr>
          <w:rFonts w:cs="Arial"/>
        </w:rPr>
        <w:t xml:space="preserve">:+381  63 388931, </w:t>
      </w:r>
      <w:r w:rsidR="00D4434C">
        <w:rPr>
          <w:rFonts w:cs="Arial"/>
        </w:rPr>
        <w:t xml:space="preserve">e-mail: </w:t>
      </w:r>
      <w:hyperlink r:id="rId8" w:history="1">
        <w:r w:rsidR="00656C69" w:rsidRPr="00F00B6D">
          <w:rPr>
            <w:rStyle w:val="Hypertextovodkaz"/>
            <w:rFonts w:cs="Arial"/>
          </w:rPr>
          <w:t>vladimir_vana@mzv.cz</w:t>
        </w:r>
      </w:hyperlink>
      <w:r w:rsidR="00B554B9" w:rsidRPr="00587417">
        <w:rPr>
          <w:rFonts w:cs="Arial"/>
        </w:rPr>
        <w:t xml:space="preserve"> </w:t>
      </w:r>
    </w:p>
    <w:p w14:paraId="414CB947" w14:textId="77777777" w:rsidR="00AB382A" w:rsidRPr="00AB382A" w:rsidRDefault="00AB382A" w:rsidP="00AB382A">
      <w:pPr>
        <w:pStyle w:val="Nadpis3"/>
        <w:spacing w:line="276" w:lineRule="auto"/>
      </w:pPr>
      <w:r w:rsidRPr="00AB382A">
        <w:t>SRBSKO – osevní plocha slunečnice roční bude letos výrazně vyšší</w:t>
      </w:r>
    </w:p>
    <w:p w14:paraId="376CA5F8" w14:textId="77777777" w:rsidR="00D85D3C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 w:rsidRPr="00AB382A">
        <w:rPr>
          <w:rFonts w:ascii="Arial" w:hAnsi="Arial" w:cs="Arial"/>
        </w:rPr>
        <w:t>Sdružení „Žito Srbije“ ohlásilo v těchto dnech prognózy jarní setby. Zajímavá je zejména predikce setby slunečnice roční, u níž je v plánu výrazné navýšení osevních ploch. Očekává se, že letos bude oseto až o 30 000 hektarů více než v loňském roce. Celková plocha, na které bude zaseta slunečnice, by tak v Srbsku měla letos být kolem 245 000 hektarů. Při očekávaném průměrném výnosu tři tuny na hektar by letošní sklizeň mohla být na úrovni 735</w:t>
      </w:r>
      <w:r w:rsidR="00840888">
        <w:rPr>
          <w:rFonts w:ascii="Arial" w:hAnsi="Arial" w:cs="Arial"/>
        </w:rPr>
        <w:t> </w:t>
      </w:r>
      <w:r w:rsidRPr="00AB382A">
        <w:rPr>
          <w:rFonts w:ascii="Arial" w:hAnsi="Arial" w:cs="Arial"/>
        </w:rPr>
        <w:t>000 tun. Slunečnice se stala letos v Srbsku populární, protože se očekává zvýšená poptávka ze zemí západní Evropy (Německo, Rakousko a další), které byly doposud hodně orientovány na dodávky slunečnicového semínka i oleje z Ukrajiny. Sluneč</w:t>
      </w:r>
      <w:r>
        <w:rPr>
          <w:rFonts w:ascii="Arial" w:hAnsi="Arial" w:cs="Arial"/>
        </w:rPr>
        <w:t>nice má oproti jiným plodinám i </w:t>
      </w:r>
      <w:r w:rsidRPr="00AB382A">
        <w:rPr>
          <w:rFonts w:ascii="Arial" w:hAnsi="Arial" w:cs="Arial"/>
        </w:rPr>
        <w:t>tu výhodu, že potřebuje méně hnojiva, jehož cena letos výrazně narostla. V Srbsku již nyní probíhají jednání a uzavírají se předkupní smlouvy na nákup slunečnicové</w:t>
      </w:r>
      <w:r w:rsidR="0060788E">
        <w:rPr>
          <w:rFonts w:ascii="Arial" w:hAnsi="Arial" w:cs="Arial"/>
        </w:rPr>
        <w:t>ho</w:t>
      </w:r>
      <w:r w:rsidRPr="00AB382A">
        <w:rPr>
          <w:rFonts w:ascii="Arial" w:hAnsi="Arial" w:cs="Arial"/>
        </w:rPr>
        <w:t xml:space="preserve"> semínka z letošní sklizně. Aktuální prodejní cena je v rozmezí 0,68 – 0,76 EU</w:t>
      </w:r>
      <w:r>
        <w:rPr>
          <w:rFonts w:ascii="Arial" w:hAnsi="Arial" w:cs="Arial"/>
        </w:rPr>
        <w:t>R/kg, což je výrazně více než v </w:t>
      </w:r>
      <w:r w:rsidRPr="00AB382A">
        <w:rPr>
          <w:rFonts w:ascii="Arial" w:hAnsi="Arial" w:cs="Arial"/>
        </w:rPr>
        <w:t>loňském roce. Kromě slunečnice se očekává také růst cen řepky olejky, která se podle aktuální prognózy bude prodávat za 800 -1000 EUR/tunu. Obě tyto plodiny kupuje ze Srbska i Česká republika a nárůst cen se tak dotkne i českých společností. Ty v loňském roce ze Srbska dovezly skoro deset tisíc tun semene řepky olejky v</w:t>
      </w:r>
      <w:r>
        <w:rPr>
          <w:rFonts w:ascii="Arial" w:hAnsi="Arial" w:cs="Arial"/>
        </w:rPr>
        <w:t xml:space="preserve"> hodnotě skoro 130 milionů Kč a </w:t>
      </w:r>
      <w:r w:rsidRPr="00AB382A">
        <w:rPr>
          <w:rFonts w:ascii="Arial" w:hAnsi="Arial" w:cs="Arial"/>
        </w:rPr>
        <w:t>necelé tři a půl tisíce tun slunečnicového oleje za skoro 114 milionů Kč.</w:t>
      </w:r>
    </w:p>
    <w:p w14:paraId="5E27F861" w14:textId="77777777" w:rsidR="00035FAD" w:rsidRPr="00587417" w:rsidRDefault="007A531E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587417">
        <w:rPr>
          <w:rFonts w:ascii="Arial" w:hAnsi="Arial" w:cs="Arial"/>
        </w:rPr>
        <w:t>USA</w:t>
      </w:r>
    </w:p>
    <w:p w14:paraId="3E70808C" w14:textId="77777777" w:rsidR="00216114" w:rsidRDefault="00035FAD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Petr Ježek, Z</w:t>
      </w:r>
      <w:r w:rsidR="007A531E" w:rsidRPr="00587417">
        <w:rPr>
          <w:rFonts w:cs="Arial"/>
        </w:rPr>
        <w:t xml:space="preserve">emědělský diplomat velvyslanectví ČR ve Washingtonu, D. C., </w:t>
      </w:r>
    </w:p>
    <w:p w14:paraId="7D00567E" w14:textId="77777777" w:rsidR="006A382E" w:rsidRPr="00587417" w:rsidRDefault="007A531E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587417">
        <w:rPr>
          <w:rFonts w:cs="Arial"/>
        </w:rPr>
        <w:t>Mob: +1 202 507</w:t>
      </w:r>
      <w:r w:rsidR="005D5E3F" w:rsidRPr="00587417">
        <w:rPr>
          <w:rFonts w:cs="Arial"/>
        </w:rPr>
        <w:t xml:space="preserve">-3859, Mob.: ČR: +420 601 558 079, </w:t>
      </w:r>
      <w:r w:rsidR="00D4434C">
        <w:rPr>
          <w:rFonts w:cs="Arial"/>
        </w:rPr>
        <w:t xml:space="preserve">e-mail: </w:t>
      </w:r>
      <w:hyperlink r:id="rId9" w:history="1">
        <w:r w:rsidR="00B554B9" w:rsidRPr="00D4434C">
          <w:rPr>
            <w:rStyle w:val="Hypertextovodkaz"/>
          </w:rPr>
          <w:t>petr_jezek@mzv.cz</w:t>
        </w:r>
      </w:hyperlink>
      <w:r w:rsidR="00B554B9" w:rsidRPr="00587417">
        <w:rPr>
          <w:rFonts w:cs="Arial"/>
        </w:rPr>
        <w:t xml:space="preserve"> </w:t>
      </w:r>
    </w:p>
    <w:p w14:paraId="11032599" w14:textId="77777777" w:rsidR="00AB382A" w:rsidRPr="00AB382A" w:rsidRDefault="00AB382A" w:rsidP="00AB382A">
      <w:pPr>
        <w:pStyle w:val="Nadpis3"/>
        <w:spacing w:line="276" w:lineRule="auto"/>
      </w:pPr>
      <w:r w:rsidRPr="00AB382A">
        <w:t>Výskyt nového typu ptačí chřipky má vliv na stoupající cenu vajec</w:t>
      </w:r>
    </w:p>
    <w:p w14:paraId="40C621F1" w14:textId="77777777" w:rsidR="00AB382A" w:rsidRP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 w:rsidRPr="00AB382A">
        <w:rPr>
          <w:rFonts w:ascii="Arial" w:hAnsi="Arial" w:cs="Arial"/>
        </w:rPr>
        <w:t>V týdnu od 28. března bylo podle Úřadu pro kontrolu zdraví zvířat a rostlin amerického ministerstva zemědělství utraceno téměř 7 milionů kusů komerčně chovaných kuřat a krůt v důsledku výskytu vysoce patogenní ptačí chřipky (HPAI). Ohniska byla v průběhu týdne objevena v Iowě, Minnesotě, Severní a Jižní Dakotě, přičemž největší ohnisko se vyskytlo v provozu v Osceole ve státě Iowa, kde bylo chováno více než 5 milionů komerčních nosnic. Celkem už bylo zlikvidováno více než 17 milionů kusů drůbeže s ptačí chřipkou. Virus se šíř</w:t>
      </w:r>
      <w:r w:rsidR="0060788E">
        <w:rPr>
          <w:rFonts w:ascii="Arial" w:hAnsi="Arial" w:cs="Arial"/>
        </w:rPr>
        <w:t>í prostřednictvím volně žijících stěhovavých</w:t>
      </w:r>
      <w:r w:rsidRPr="00AB382A">
        <w:rPr>
          <w:rFonts w:ascii="Arial" w:hAnsi="Arial" w:cs="Arial"/>
        </w:rPr>
        <w:t xml:space="preserve"> pták</w:t>
      </w:r>
      <w:r w:rsidR="0060788E">
        <w:rPr>
          <w:rFonts w:ascii="Arial" w:hAnsi="Arial" w:cs="Arial"/>
        </w:rPr>
        <w:t>ů</w:t>
      </w:r>
      <w:r w:rsidRPr="00AB382A">
        <w:rPr>
          <w:rFonts w:ascii="Arial" w:hAnsi="Arial" w:cs="Arial"/>
        </w:rPr>
        <w:t xml:space="preserve">. I přes zdokonalená standardní </w:t>
      </w:r>
      <w:r w:rsidR="0060788E">
        <w:rPr>
          <w:rFonts w:ascii="Arial" w:hAnsi="Arial" w:cs="Arial"/>
        </w:rPr>
        <w:t xml:space="preserve">kontrolní </w:t>
      </w:r>
      <w:r w:rsidRPr="00AB382A">
        <w:rPr>
          <w:rFonts w:ascii="Arial" w:hAnsi="Arial" w:cs="Arial"/>
        </w:rPr>
        <w:t>opatření je kvůli vysoké míře výskytu letošního kmene chřipky obtížné kontrolovat výskyty.</w:t>
      </w:r>
    </w:p>
    <w:p w14:paraId="0C10FFB5" w14:textId="77777777" w:rsidR="00AB382A" w:rsidRP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32E7E7A" w14:textId="77777777" w:rsidR="00AB382A" w:rsidRDefault="00AB382A" w:rsidP="00AB382A">
      <w:pPr>
        <w:pStyle w:val="Bezmezer"/>
        <w:spacing w:line="276" w:lineRule="auto"/>
        <w:jc w:val="both"/>
      </w:pPr>
      <w:r w:rsidRPr="00AB382A">
        <w:rPr>
          <w:rFonts w:ascii="Arial" w:hAnsi="Arial" w:cs="Arial"/>
        </w:rPr>
        <w:t xml:space="preserve">Šíření ptačí chřipky HPAI zatěžuje i dodavatelský řetězec vajec. Ceny vajec a vaječných výrobků v průběhu tohoto týdne nadále prudce rostly. Ceny sušených vaječných výrobků se od začátku března více než zdvojnásobily. Američtí producenti vajec se v posledních dvou letech potýkají s problémy, jak sladit dodávky s poptávkou na trhu. Počty nosnic se v USA obvykle </w:t>
      </w:r>
      <w:r w:rsidR="000D56DE">
        <w:rPr>
          <w:rFonts w:ascii="Arial" w:hAnsi="Arial" w:cs="Arial"/>
        </w:rPr>
        <w:t>navyšují</w:t>
      </w:r>
      <w:r w:rsidRPr="00AB382A">
        <w:rPr>
          <w:rFonts w:ascii="Arial" w:hAnsi="Arial" w:cs="Arial"/>
        </w:rPr>
        <w:t xml:space="preserve"> před nárůstem poptávky o Velikonocích a během letních měsíců se </w:t>
      </w:r>
      <w:r w:rsidR="000D56DE">
        <w:rPr>
          <w:rFonts w:ascii="Arial" w:hAnsi="Arial" w:cs="Arial"/>
        </w:rPr>
        <w:t>snižuj</w:t>
      </w:r>
      <w:r w:rsidRPr="00AB382A">
        <w:rPr>
          <w:rFonts w:ascii="Arial" w:hAnsi="Arial" w:cs="Arial"/>
        </w:rPr>
        <w:t>í. Nedávné ztráty způsobené HPAI se však spojily s vysokými náklady na krmiva a dalšími problémy, které výrazně omezují řízení velikosti hejn.</w:t>
      </w:r>
      <w:r>
        <w:t xml:space="preserve">   </w:t>
      </w:r>
    </w:p>
    <w:p w14:paraId="29B6B8E2" w14:textId="77777777" w:rsidR="00AB382A" w:rsidRDefault="00AB382A" w:rsidP="00AB382A">
      <w:pPr>
        <w:jc w:val="both"/>
      </w:pPr>
    </w:p>
    <w:p w14:paraId="61DF702C" w14:textId="77777777" w:rsidR="00AB382A" w:rsidRDefault="00AB382A" w:rsidP="00AB382A">
      <w:pPr>
        <w:pStyle w:val="Nadpis3"/>
        <w:spacing w:line="276" w:lineRule="auto"/>
      </w:pPr>
      <w:r w:rsidRPr="00AB382A">
        <w:t>V letošním roce můžeme očekávat od amerických farmářů větší produkci sóji a menší produkci kukuřice</w:t>
      </w:r>
    </w:p>
    <w:p w14:paraId="53DF300F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 w:rsidRPr="00AB382A">
        <w:rPr>
          <w:rFonts w:ascii="Arial" w:hAnsi="Arial" w:cs="Arial"/>
        </w:rPr>
        <w:t>Američtí farmáři hodlají zasít rekordních 91 milionů akrů sóje, což je zhruba o 4,4 % více než v roce 2021. Lze tedy počítat s rekordní sklizní sójových bob</w:t>
      </w:r>
      <w:r>
        <w:rPr>
          <w:rFonts w:ascii="Arial" w:hAnsi="Arial" w:cs="Arial"/>
        </w:rPr>
        <w:t>ů, výsledná množství ale určí i </w:t>
      </w:r>
      <w:r w:rsidRPr="00AB382A">
        <w:rPr>
          <w:rFonts w:ascii="Arial" w:hAnsi="Arial" w:cs="Arial"/>
        </w:rPr>
        <w:t>proměnlivé počasí. Podle prvních odhadů amerického ministerstva zemědělství USDA se naopak jeví, že američtí zemědělci hodlají zasít pouze 89,5 milionu akrů kukuřice, což je pokles o zhruba 4,2 procenta. Na tomto odhadu můžeme pozorovat stoupající popularitu sóje. Dále je odhad, že bude zaseto 47,4 milionu akrů pšenice, což je nárůst o 1,5 % oproti roku 2021, a asi 12,2 milionu akrů bavlny.</w:t>
      </w:r>
    </w:p>
    <w:p w14:paraId="344394C1" w14:textId="77777777" w:rsidR="005A5906" w:rsidRPr="00AB382A" w:rsidRDefault="005A5906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FAE79C5" w14:textId="77777777" w:rsidR="00260021" w:rsidRPr="00260021" w:rsidRDefault="00260021" w:rsidP="00260021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ascii="Arial" w:hAnsi="Arial" w:cs="Arial"/>
        </w:rPr>
      </w:pPr>
      <w:r w:rsidRPr="00260021">
        <w:rPr>
          <w:rFonts w:ascii="Arial" w:hAnsi="Arial" w:cs="Arial"/>
        </w:rPr>
        <w:t>Spojené arabské emiráty</w:t>
      </w:r>
    </w:p>
    <w:p w14:paraId="03824340" w14:textId="77777777" w:rsid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260021">
        <w:rPr>
          <w:rFonts w:cs="Arial"/>
        </w:rPr>
        <w:t xml:space="preserve">Lukáš Zamrzla, Zemědělský diplomat velvyslanectví ČR v Abú Dhabí, </w:t>
      </w:r>
    </w:p>
    <w:p w14:paraId="375AA912" w14:textId="77777777" w:rsidR="00260021" w:rsidRPr="00260021" w:rsidRDefault="00260021" w:rsidP="002600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eastAsiaTheme="minorEastAsia" w:cs="Arial"/>
          <w:b/>
          <w:bCs/>
          <w:sz w:val="28"/>
          <w:szCs w:val="28"/>
        </w:rPr>
      </w:pPr>
      <w:r w:rsidRPr="00260021">
        <w:rPr>
          <w:rFonts w:cs="Arial"/>
        </w:rPr>
        <w:t xml:space="preserve">Mob.:+ 420 602 768 207, e-mail: </w:t>
      </w:r>
      <w:hyperlink r:id="rId10" w:history="1">
        <w:r w:rsidRPr="00260021">
          <w:rPr>
            <w:color w:val="0000FF"/>
            <w:u w:val="single"/>
          </w:rPr>
          <w:t>lukas_zamrzla@mzv.cz</w:t>
        </w:r>
      </w:hyperlink>
    </w:p>
    <w:p w14:paraId="2C14E192" w14:textId="77777777" w:rsidR="00AB382A" w:rsidRPr="00AB382A" w:rsidRDefault="00AB382A" w:rsidP="00AB382A">
      <w:pPr>
        <w:pStyle w:val="Nadpis3"/>
        <w:spacing w:line="276" w:lineRule="auto"/>
      </w:pPr>
      <w:r w:rsidRPr="00AB382A">
        <w:t>V Dubaji během EXPA 2020 certifikovali 2500 nových potravin</w:t>
      </w:r>
    </w:p>
    <w:p w14:paraId="381E6333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potřeby národních pavilonů a nasycení více jak 24 milionů návštěvníků světové výstavy EXPO 2020 bylo téměř 2500 </w:t>
      </w:r>
      <w:r w:rsidR="000D56DE">
        <w:rPr>
          <w:rFonts w:ascii="Arial" w:hAnsi="Arial" w:cs="Arial"/>
        </w:rPr>
        <w:t xml:space="preserve">druhů </w:t>
      </w:r>
      <w:r>
        <w:rPr>
          <w:rFonts w:ascii="Arial" w:hAnsi="Arial" w:cs="Arial"/>
        </w:rPr>
        <w:t>potravin importováno do Spojených arabských emirátů poprvé. Dle dat dubajského městského úřadu všechny proclené potraviny splňovaly ze 100</w:t>
      </w:r>
      <w:r w:rsidR="00E67B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% bezpečnostní nároky pro vstup na místní trh a možnost podávání v prostorách EXPO. </w:t>
      </w:r>
    </w:p>
    <w:p w14:paraId="00D0681C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převodu na celkový objem importovaných potravin šlo o 3.5 milionu tun importovaných ze 114 zemí, které musely projít schválením místním oddělením pro potravinovou bezpečnost. Speciálně pro tuto výstavu byl vyvinut systém registrace a</w:t>
      </w:r>
      <w:r w:rsidR="00E67B7E">
        <w:rPr>
          <w:rFonts w:ascii="Arial" w:hAnsi="Arial" w:cs="Arial"/>
        </w:rPr>
        <w:t> </w:t>
      </w:r>
      <w:r>
        <w:rPr>
          <w:rFonts w:ascii="Arial" w:hAnsi="Arial" w:cs="Arial"/>
        </w:rPr>
        <w:t>zrychleného proclení. Již 20 minut po obdržení povolení mohlo zboží opustit bezcelní zónu a</w:t>
      </w:r>
      <w:r w:rsidR="00E67B7E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zamířit do finálních destinací.  </w:t>
      </w:r>
    </w:p>
    <w:p w14:paraId="56369FB6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 když kontrolní úřad uvádí, že kromě pravidelných kontrol provedl i 3389 hloubkových kontrol gastronomických provozoven za pomoci speciální techniky, nebyl nalezen ani jeden závažný problém. Kontrolní zpráva se odkazuje na velmi kvalitní přípravu a systém importních povolení a celého přepravního řetězce již před začátkem konání výstavy. </w:t>
      </w:r>
    </w:p>
    <w:p w14:paraId="0899E309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Důležitým faktorem byla flexibilita a customizace nabízených služeb městským a kontrolním úřadem přímo pro potřeby této výstavy. Jeho součástí byli například i online průvodci, tištěné materiály </w:t>
      </w:r>
      <w:r w:rsidR="00FA71F3">
        <w:rPr>
          <w:rFonts w:ascii="Arial" w:hAnsi="Arial" w:cs="Arial"/>
        </w:rPr>
        <w:t>(</w:t>
      </w:r>
      <w:r>
        <w:rPr>
          <w:rFonts w:ascii="Arial" w:hAnsi="Arial" w:cs="Arial"/>
        </w:rPr>
        <w:t>jak se připravit a postupovat</w:t>
      </w:r>
      <w:r w:rsidR="00FA71F3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nebo také konferenční přednášky pro všechny vystavovatele a provozovatele. Ty se zaměřily na celý přepravní a importní řetězec, od importu, proclení, skladování, přípravu nebo transportu na výstavu, po prezentaci a podávání v restauraci. </w:t>
      </w:r>
    </w:p>
    <w:p w14:paraId="12A78E03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Pokud tedy importéři dodrželi doporučené postupy a připravili vše před samotným zasláním do Emirátů, neměli problém. Samozřejmě se občas problém vyskytl, ten ale pramenil spíše z nedodržení včasné registrace či nahlášení změn zasílané dodávky. </w:t>
      </w:r>
    </w:p>
    <w:p w14:paraId="40FFD657" w14:textId="77777777" w:rsidR="00AB382A" w:rsidRDefault="00AB382A" w:rsidP="00AB382A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Dobrou zprávou je, že nastavené systémy pro importní firmy kvůli výstavě EXPO 2020 omladily a zkvalitnily technologie a přístup kontrolních úřadů ve Spojených arabských emirátech. Dá se tedy očekávat, že se příliv nových produktů do země ještě zrychlí a rozšíří. </w:t>
      </w:r>
    </w:p>
    <w:p w14:paraId="31CEABDC" w14:textId="77777777" w:rsidR="000D56DE" w:rsidRDefault="000D56DE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0A3F21C" w14:textId="77777777" w:rsidR="000D56DE" w:rsidRDefault="000D56DE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C8BF830" w14:textId="77777777" w:rsidR="000D56DE" w:rsidRDefault="000D56DE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0BCFF02" w14:textId="77777777" w:rsidR="000D56DE" w:rsidRDefault="000D56DE" w:rsidP="00AB382A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D8FEB10" w14:textId="77777777" w:rsidR="003964FA" w:rsidRPr="00587417" w:rsidRDefault="003964FA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JAPONSKO</w:t>
      </w:r>
    </w:p>
    <w:p w14:paraId="353977B1" w14:textId="77777777" w:rsidR="00216114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Irena Leopoldová</w:t>
      </w:r>
      <w:r w:rsidRPr="00587417">
        <w:rPr>
          <w:rFonts w:cs="Arial"/>
        </w:rPr>
        <w:t>, Zemědělský diplomat, velvyslanectví ČR v </w:t>
      </w:r>
      <w:r>
        <w:rPr>
          <w:rFonts w:cs="Arial"/>
        </w:rPr>
        <w:t>Tokiu</w:t>
      </w:r>
      <w:r w:rsidRPr="00587417">
        <w:rPr>
          <w:rFonts w:cs="Arial"/>
        </w:rPr>
        <w:t xml:space="preserve">, </w:t>
      </w:r>
    </w:p>
    <w:p w14:paraId="78B18196" w14:textId="77777777" w:rsidR="003964FA" w:rsidRPr="00892E02" w:rsidRDefault="003964FA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AC33EB">
        <w:rPr>
          <w:rFonts w:cs="Arial"/>
        </w:rPr>
        <w:t>Mobil CZ a WhatsApp +420 773 743 880</w:t>
      </w:r>
      <w:r w:rsidRPr="00587417">
        <w:rPr>
          <w:rFonts w:cs="Arial"/>
        </w:rPr>
        <w:t>,</w:t>
      </w:r>
      <w:r w:rsidR="00D4434C" w:rsidRPr="00D4434C">
        <w:t xml:space="preserve"> </w:t>
      </w:r>
      <w:r w:rsidR="00D4434C">
        <w:rPr>
          <w:rFonts w:cs="Arial"/>
        </w:rPr>
        <w:t>e-mail:</w:t>
      </w:r>
      <w:r w:rsidRPr="00587417">
        <w:rPr>
          <w:rFonts w:cs="Arial"/>
        </w:rPr>
        <w:t xml:space="preserve"> </w:t>
      </w:r>
      <w:hyperlink r:id="rId11" w:history="1">
        <w:r w:rsidRPr="00D4434C">
          <w:rPr>
            <w:rStyle w:val="Hypertextovodkaz"/>
          </w:rPr>
          <w:t>irena_leopoldova@mzv.cz</w:t>
        </w:r>
      </w:hyperlink>
      <w:r w:rsidR="00D4434C">
        <w:t xml:space="preserve"> </w:t>
      </w:r>
    </w:p>
    <w:p w14:paraId="4CC551DA" w14:textId="77777777" w:rsidR="00E67B7E" w:rsidRDefault="00E67B7E" w:rsidP="00E67B7E">
      <w:pPr>
        <w:pStyle w:val="Nadpis3"/>
        <w:spacing w:line="276" w:lineRule="auto"/>
      </w:pPr>
      <w:r>
        <w:t>Důsledky ruské invaze na japonský rybářský průmysl</w:t>
      </w:r>
    </w:p>
    <w:p w14:paraId="48E1E37F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Ruská invaze na Ukrajinu negativně ovlivňuje japonský rybářský průmysl, neboť doposud nebyl stanoven harmonogram dvoustranných jednání o rybolovu lososů, pstruhů a dalších druhů ryb. Kvůli obavám o dodávky se očekává také nárůst cen dovážených ruských mořských produktů. Dopad ruské vojenské agrese se tak dotkne i japonských domácností.</w:t>
      </w:r>
    </w:p>
    <w:p w14:paraId="1CE16E08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Na základě nepsané dohody platí, že losos a pstruh patří zemi, ve které se vylíhli. Z tohoto důvodu je nutná dohoda mezi ruskou a japonskou vládou, díky níž mohou japonští rybáři lovit tyto ryby dokonce ve vzdálenosti 200 námořních mil od Japonska. S ohledem na to platí japonští rybáři podle velikosti svých úlovků ruské straně poplatky za spolupráci v oblasti rybolovu. Jednání o povolení lovu se konají obvykle v březnu a dubnu, ale v letošním roce doposud nebylo stanoveno datum jednání. Při loňských jednáních se obě země dohodly, že Japonsko může ve svých vodách ulovit až 2 050 tun lososů a pstruhů. Vzhledem k tomu, že v roce 2020 bylo v národních vodách uloveno přibližně 63 tis</w:t>
      </w:r>
      <w:r w:rsidR="00FA71F3">
        <w:rPr>
          <w:rFonts w:ascii="Arial" w:hAnsi="Arial" w:cs="Arial"/>
        </w:rPr>
        <w:t>.</w:t>
      </w:r>
      <w:r w:rsidRPr="00E67B7E">
        <w:rPr>
          <w:rFonts w:ascii="Arial" w:hAnsi="Arial" w:cs="Arial"/>
        </w:rPr>
        <w:t xml:space="preserve"> tun těchto ryb, je podíl úlovků pro letošní rok malý. Avšak pro některé rybáře je tento podíl zásadní. Každoročně v listopadu a prosinci se také konají jednání mezi Japonskem a Ruskem, na nichž se určuje roční povolený odlov makrel, tresek a dalších druhů ryb. V případě, že by se ukrajinská krize protáhla, byl by ohrožen v příštím roce japonský výlov také těchto ryb.</w:t>
      </w:r>
    </w:p>
    <w:p w14:paraId="0F46FC28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Japonská vláda oznámila, že v rámci ekonomických sankcí Rusku zruší status země s největším stupněm výhod v oblasti obchodu. Pokud se v důsledku tohoto opatření zvýší cla, na ryby a mořské plody by se mohly zvýšit o cca 2–3 %.</w:t>
      </w:r>
    </w:p>
    <w:p w14:paraId="31443671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V roce 2021 činil japonský dovoz mořských produktů z Ruska 138 mld. jenů (cca 27 mld. Kč), což je třetí největší dovoz po Číně a Čile.</w:t>
      </w:r>
    </w:p>
    <w:p w14:paraId="20E95176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  <w:i/>
        </w:rPr>
      </w:pPr>
      <w:r w:rsidRPr="00E67B7E">
        <w:rPr>
          <w:rFonts w:ascii="Arial" w:hAnsi="Arial" w:cs="Arial"/>
          <w:i/>
        </w:rPr>
        <w:t>Zdroj: The Japan news</w:t>
      </w:r>
    </w:p>
    <w:p w14:paraId="31E6EF7D" w14:textId="77777777" w:rsidR="00D4434C" w:rsidRPr="00587417" w:rsidRDefault="00D4434C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VIETNAM</w:t>
      </w:r>
    </w:p>
    <w:p w14:paraId="037E5D2A" w14:textId="77777777" w:rsidR="00216114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>
        <w:rPr>
          <w:rFonts w:cs="Arial"/>
        </w:rPr>
        <w:t>Luboš Marek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agro-potravinářství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Hanoji</w:t>
      </w:r>
      <w:r w:rsidRPr="00587417">
        <w:rPr>
          <w:rFonts w:cs="Arial"/>
        </w:rPr>
        <w:t xml:space="preserve">, </w:t>
      </w:r>
    </w:p>
    <w:p w14:paraId="21C8C410" w14:textId="77777777" w:rsidR="00D4434C" w:rsidRPr="001D3F62" w:rsidRDefault="00D4434C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>
        <w:t xml:space="preserve">tel: </w:t>
      </w:r>
      <w:r w:rsidRPr="00D4434C">
        <w:t>+84 904 099 562</w:t>
      </w:r>
      <w:r>
        <w:t xml:space="preserve">, e-mail: </w:t>
      </w:r>
      <w:hyperlink r:id="rId12" w:history="1">
        <w:r w:rsidRPr="00D54C30">
          <w:rPr>
            <w:rStyle w:val="Hypertextovodkaz"/>
          </w:rPr>
          <w:t>lubos.marek@mze.cz</w:t>
        </w:r>
      </w:hyperlink>
      <w:r>
        <w:t xml:space="preserve"> / </w:t>
      </w:r>
      <w:hyperlink r:id="rId13" w:history="1">
        <w:r w:rsidRPr="00D54C30">
          <w:rPr>
            <w:rStyle w:val="Hypertextovodkaz"/>
          </w:rPr>
          <w:t>commerce_hanoi@mzv.cz</w:t>
        </w:r>
      </w:hyperlink>
      <w:r>
        <w:t xml:space="preserve"> </w:t>
      </w:r>
    </w:p>
    <w:p w14:paraId="2E166F4F" w14:textId="77777777" w:rsidR="00E67B7E" w:rsidRPr="00E67B7E" w:rsidRDefault="00E67B7E" w:rsidP="00E67B7E">
      <w:pPr>
        <w:pStyle w:val="Nadpis3"/>
        <w:spacing w:line="276" w:lineRule="auto"/>
      </w:pPr>
      <w:r w:rsidRPr="00E67B7E">
        <w:t>Supermarkety ve Vietnamu zavádí slevové akce uprostřed rostoucích cen</w:t>
      </w:r>
    </w:p>
    <w:p w14:paraId="2DB8E6D8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Supermarkety ve Vietnamu nabízí dvouciferné slevy, přestože náklady na výrobu potravin i</w:t>
      </w:r>
      <w:r w:rsidR="005A5906">
        <w:rPr>
          <w:rFonts w:ascii="Arial" w:hAnsi="Arial" w:cs="Arial"/>
        </w:rPr>
        <w:t> </w:t>
      </w:r>
      <w:r w:rsidRPr="00E67B7E">
        <w:rPr>
          <w:rFonts w:ascii="Arial" w:hAnsi="Arial" w:cs="Arial"/>
        </w:rPr>
        <w:t>energie prudce rostou. Na seznamu produktů je vepřové maso, zelenina a rychloobrátkové zboží.</w:t>
      </w:r>
    </w:p>
    <w:p w14:paraId="297CA857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Co.opmart například oznámil snížení cen u 3 000 položek ze svého sortimentu. Prodejny MegaMarket snížily ceny hovězího masa o 5</w:t>
      </w:r>
      <w:r w:rsidR="005A5906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%, ovoce až o 30</w:t>
      </w:r>
      <w:r w:rsidR="005A5906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a oblečení o 50</w:t>
      </w:r>
      <w:r w:rsidR="005A5906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%. Big C prodávají hovězí maso, kuřecí křídla a ovoce s 10-30</w:t>
      </w:r>
      <w:r w:rsidR="00135F0E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slevou. Suroviny na vaření, jako je olej, chilli omáčky a cukr, jsou o 15–50</w:t>
      </w:r>
      <w:r w:rsidR="005A5906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nižší než dříve.</w:t>
      </w:r>
    </w:p>
    <w:p w14:paraId="2E52CA1A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Slevy jsou nabízeny, protože spotřebitelé mají často nižší příjmy než před pandemií a životní  náklady rostou (školné, pohonné hmoty atd.).</w:t>
      </w:r>
    </w:p>
    <w:p w14:paraId="39201FA3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V souvislosti se současným globálním růstem cen se ve Vietnamu mluví o tzv. importní inflaci. Importní inflace je zvyšování cen dovozu, což zvyšuje domácí výrobní náklady a vede k růstu cen zboží vyrobeného v tuzemsku. K importní inflaci v roce 2021 díky efektivní makroekonomické politice vlády nedošlo, ale letos je Vietnam pod velkým tlakem. Od začátku letošního roku výrazně rostou ceny dovážených paliv, surovin a komponentů, díky čemuž dovoz rostl rychleji než vývoz.</w:t>
      </w:r>
    </w:p>
    <w:p w14:paraId="206A820A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V lednu a únoru vykázal Vietnam obchodní deficit ve výši přes 20 mld. Kč</w:t>
      </w:r>
      <w:r w:rsidR="00FA71F3">
        <w:rPr>
          <w:rFonts w:ascii="Arial" w:hAnsi="Arial" w:cs="Arial"/>
        </w:rPr>
        <w:t xml:space="preserve"> ve srovnání s </w:t>
      </w:r>
      <w:r w:rsidRPr="00E67B7E">
        <w:rPr>
          <w:rFonts w:ascii="Arial" w:hAnsi="Arial" w:cs="Arial"/>
        </w:rPr>
        <w:t>přebytkem obchodní bilance ve výši 36 mld. Kč ve stejném období loňského roku. Nárůst hodnoty dovozu byl způsoben spíše vyššími cenami než objemem.</w:t>
      </w:r>
    </w:p>
    <w:p w14:paraId="310B7A99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>Pro vietnamskou ekonomiku jsou zvláště důležitá hnojiva a krmiva, protože je zde velká závislost na importu, zemědělství tvoří 13</w:t>
      </w:r>
      <w:r w:rsidR="00FA71F3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HDP a zaměstnává 30</w:t>
      </w:r>
      <w:r w:rsidR="00FA71F3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pracovní síly. Během prvního čtvrtletí letošního roku vzrostly ceny krmiv o 25–40</w:t>
      </w:r>
      <w:r w:rsidR="00FA71F3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a to je v centrálně kontrolované ekonomice VSR velkou zátěží pro místní farmáře, protože náklady nelze jednoduše promítnout do prodejních cen. Krmivo tvoří 65–70</w:t>
      </w:r>
      <w:r w:rsidR="00FA71F3">
        <w:rPr>
          <w:rFonts w:ascii="Arial" w:hAnsi="Arial" w:cs="Arial"/>
        </w:rPr>
        <w:t xml:space="preserve"> </w:t>
      </w:r>
      <w:r w:rsidRPr="00E67B7E">
        <w:rPr>
          <w:rFonts w:ascii="Arial" w:hAnsi="Arial" w:cs="Arial"/>
        </w:rPr>
        <w:t>% nákladů chovatelů hospodářských zvířat a zvyšování cen způsobuje farmářům nyní finanční ztráty. Vietnam dovezl v lednu a únoru krmiva</w:t>
      </w:r>
      <w:r w:rsidR="00FA71F3">
        <w:rPr>
          <w:rFonts w:ascii="Arial" w:hAnsi="Arial" w:cs="Arial"/>
        </w:rPr>
        <w:t xml:space="preserve"> a </w:t>
      </w:r>
      <w:r w:rsidRPr="00E67B7E">
        <w:rPr>
          <w:rFonts w:ascii="Arial" w:hAnsi="Arial" w:cs="Arial"/>
        </w:rPr>
        <w:t>suroviny pro výrobu krmiv v hodnotě přes 12 mld. Kč, zejména z Argentiny, Brazílie a USA. Největšími tuzemskými výrobci krmiv jsou společnosti CP Vietnam, CJ VinaAgri a GreenFeed Vietnam.</w:t>
      </w:r>
    </w:p>
    <w:p w14:paraId="206B0591" w14:textId="77777777" w:rsidR="00457E05" w:rsidRPr="00587417" w:rsidRDefault="00457E05" w:rsidP="00457E05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KAZACHSTÁN</w:t>
      </w:r>
    </w:p>
    <w:p w14:paraId="44C1582D" w14:textId="77777777" w:rsidR="00457E05" w:rsidRPr="00BD647F" w:rsidRDefault="00457E05" w:rsidP="00457E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</w:pPr>
      <w:r w:rsidRPr="00505C2E">
        <w:rPr>
          <w:rFonts w:cs="Arial"/>
        </w:rPr>
        <w:t>Artyom Lukashov</w:t>
      </w:r>
      <w:r w:rsidRPr="00587417">
        <w:rPr>
          <w:rFonts w:cs="Arial"/>
        </w:rPr>
        <w:t xml:space="preserve">, </w:t>
      </w:r>
      <w:r>
        <w:rPr>
          <w:rFonts w:cs="Arial"/>
        </w:rPr>
        <w:t>Místní zástupce</w:t>
      </w:r>
      <w:r w:rsidRPr="00505C2E">
        <w:rPr>
          <w:rFonts w:cs="Arial"/>
        </w:rPr>
        <w:t xml:space="preserve"> ČR pro agro-potravinářství</w:t>
      </w:r>
      <w:r w:rsidRPr="00587417">
        <w:rPr>
          <w:rFonts w:cs="Arial"/>
        </w:rPr>
        <w:t>, velvyslanectví ČR v </w:t>
      </w:r>
      <w:r>
        <w:rPr>
          <w:rFonts w:cs="Arial"/>
        </w:rPr>
        <w:t>Almatě</w:t>
      </w:r>
      <w:r w:rsidRPr="00587417">
        <w:rPr>
          <w:rFonts w:cs="Arial"/>
        </w:rPr>
        <w:t xml:space="preserve">, </w:t>
      </w:r>
      <w:r>
        <w:t xml:space="preserve">tel: </w:t>
      </w:r>
      <w:r w:rsidRPr="00505C2E">
        <w:t>+7 701 5150541</w:t>
      </w:r>
      <w:r>
        <w:t xml:space="preserve">, e-mail: </w:t>
      </w:r>
      <w:hyperlink r:id="rId14" w:history="1">
        <w:r w:rsidRPr="00D54C30">
          <w:rPr>
            <w:rStyle w:val="Hypertextovodkaz"/>
          </w:rPr>
          <w:t>artom_lukasov@mzv.cz</w:t>
        </w:r>
      </w:hyperlink>
      <w:r>
        <w:t xml:space="preserve"> – komunikace v angličtině nebo ruštině</w:t>
      </w:r>
    </w:p>
    <w:p w14:paraId="4860A1A5" w14:textId="77777777" w:rsidR="00E67B7E" w:rsidRPr="00E67B7E" w:rsidRDefault="00E67B7E" w:rsidP="00E67B7E">
      <w:pPr>
        <w:pStyle w:val="Nadpis3"/>
        <w:spacing w:line="276" w:lineRule="auto"/>
      </w:pPr>
      <w:r>
        <w:t xml:space="preserve">Kazachstán připravuje vývozní kvóty na obilí a mouku </w:t>
      </w:r>
    </w:p>
    <w:p w14:paraId="3E2614FA" w14:textId="77777777" w:rsidR="00E67B7E" w:rsidRPr="00E67B7E" w:rsidRDefault="00E67B7E" w:rsidP="00E67B7E">
      <w:pPr>
        <w:pStyle w:val="Bezmezer"/>
        <w:spacing w:line="276" w:lineRule="auto"/>
        <w:jc w:val="both"/>
        <w:rPr>
          <w:rFonts w:ascii="Arial" w:hAnsi="Arial" w:cs="Arial"/>
        </w:rPr>
      </w:pPr>
      <w:r w:rsidRPr="00E67B7E">
        <w:rPr>
          <w:rFonts w:ascii="Arial" w:hAnsi="Arial" w:cs="Arial"/>
        </w:rPr>
        <w:t xml:space="preserve">Ministerstvo zemědělství Kazachstánu připravuje nová pravidla pro vývozní kvóty </w:t>
      </w:r>
      <w:r w:rsidRPr="00E67B7E">
        <w:rPr>
          <w:rFonts w:ascii="Arial" w:hAnsi="Arial" w:cs="Arial"/>
        </w:rPr>
        <w:br/>
        <w:t>na obilí a mouku. Kvóta u obilí na žadatele nesmí přesáhnout 50 tis. tun a mouka 15 tis. tun. Předpokládá se, že po zavedení kvót se vytvoří množstevní limit podle druhu zboží. U každého konkrétního případu budou kvóty rozdělovány v jednotném automatizovaném systému řízení agrokomplexu tzv. „e-Agriculture“, a to automaticky při vydávání rostlinolékařských osvědčení. V tuto chvíli jsou vývozní kvóty stanoveny do 15. června v těchto objemech — 1 mil. tun pšenice a 300 tis. tun mouky. Dosavadní omezení byla přijata kvůli zvýšené poptávce po zemědělských produktech a také kvůli riziku potravinové krize v důsledku války na Ukrajině.</w:t>
      </w:r>
    </w:p>
    <w:p w14:paraId="55FF9316" w14:textId="77777777" w:rsidR="00E67B7E" w:rsidRPr="00E67B7E" w:rsidRDefault="00E67B7E" w:rsidP="00E67B7E">
      <w:pPr>
        <w:pStyle w:val="Nadpis3"/>
        <w:spacing w:line="276" w:lineRule="auto"/>
      </w:pPr>
      <w:r>
        <w:t xml:space="preserve">Produkce a spotřeba masa v Kazachstánu </w:t>
      </w:r>
    </w:p>
    <w:p w14:paraId="48BA8BC8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4F0FC0">
        <w:t xml:space="preserve">Výroba čerstvého nebo chlazeného drůbežího masa v </w:t>
      </w:r>
      <w:r>
        <w:t>Kazachstánu</w:t>
      </w:r>
      <w:r w:rsidRPr="004F0FC0">
        <w:t xml:space="preserve"> meziročně vzrostla </w:t>
      </w:r>
      <w:r>
        <w:br/>
        <w:t xml:space="preserve">o 6,4 %; </w:t>
      </w:r>
    </w:p>
    <w:p w14:paraId="37915ADD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4F0FC0">
        <w:t xml:space="preserve">I přes zvýšení produkce se však ceny masa a drůbeže do konce února 2022 meziročně zvýšily o 11,1 %. Nejvíce zdražila drůbež – o 19,2 %. </w:t>
      </w:r>
    </w:p>
    <w:p w14:paraId="5E5796A4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4F0FC0">
        <w:t xml:space="preserve">Spotřeba masa a masných výrobků byla v roce 2021 </w:t>
      </w:r>
      <w:r>
        <w:t>v průměru 82,3 kg na obyvatele, tj. meziroční propad o 1,9 %;</w:t>
      </w:r>
    </w:p>
    <w:p w14:paraId="613B00EB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>
        <w:t xml:space="preserve">Spotřeba masa a </w:t>
      </w:r>
      <w:r w:rsidRPr="004F0FC0">
        <w:t>masných výrobků</w:t>
      </w:r>
      <w:r>
        <w:t xml:space="preserve"> na obyvatele</w:t>
      </w:r>
      <w:r w:rsidRPr="004F0FC0">
        <w:t xml:space="preserve"> </w:t>
      </w:r>
      <w:r>
        <w:t xml:space="preserve">činila 82,3 kg, z toho </w:t>
      </w:r>
      <w:r w:rsidRPr="004F0FC0">
        <w:t xml:space="preserve">drůbež </w:t>
      </w:r>
      <w:r>
        <w:t xml:space="preserve">43,89 kg, </w:t>
      </w:r>
      <w:r w:rsidRPr="004F0FC0">
        <w:t xml:space="preserve">hovězí 24,26 kg, koňské 5,89 kg, jehněčí </w:t>
      </w:r>
      <w:r>
        <w:t>o něco méně, tj.</w:t>
      </w:r>
      <w:r w:rsidRPr="004F0FC0">
        <w:t xml:space="preserve"> 5,56 kg, </w:t>
      </w:r>
      <w:r>
        <w:t xml:space="preserve">vepřové </w:t>
      </w:r>
      <w:r w:rsidRPr="004F0FC0">
        <w:t>3,5 kg. Oproti r</w:t>
      </w:r>
      <w:r>
        <w:t>.</w:t>
      </w:r>
      <w:r w:rsidRPr="004F0FC0">
        <w:t xml:space="preserve"> 2020 se </w:t>
      </w:r>
      <w:r>
        <w:t xml:space="preserve">zvýšila spotřeba hovězího masa </w:t>
      </w:r>
      <w:r w:rsidRPr="004F0FC0">
        <w:t>o 3,6 %</w:t>
      </w:r>
      <w:r>
        <w:t xml:space="preserve">, vepřového masa </w:t>
      </w:r>
      <w:r w:rsidRPr="004F0FC0">
        <w:t>o 1 %</w:t>
      </w:r>
      <w:r w:rsidR="00FA71F3">
        <w:t xml:space="preserve"> a </w:t>
      </w:r>
      <w:r>
        <w:t>kuřat o 0,4 %</w:t>
      </w:r>
      <w:r w:rsidRPr="004F0FC0">
        <w:t>. Zároveň</w:t>
      </w:r>
      <w:r>
        <w:t xml:space="preserve"> se snížila spotřeba jehněčího masa o 10,6 % a koňského masa </w:t>
      </w:r>
      <w:r w:rsidRPr="004F0FC0">
        <w:t xml:space="preserve">o 3,6 %. </w:t>
      </w:r>
    </w:p>
    <w:p w14:paraId="2F9F346E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4F0FC0">
        <w:t>Jehněčí maso podle analytiků meziročně zdražilo o 14,9 %, koňské maso o 11,7 %, vep</w:t>
      </w:r>
      <w:r>
        <w:t xml:space="preserve">řové </w:t>
      </w:r>
      <w:r w:rsidRPr="004F0FC0">
        <w:t xml:space="preserve">o 10,3 %, hovězí o 7,7 %. </w:t>
      </w:r>
    </w:p>
    <w:p w14:paraId="09AB1982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 w:rsidRPr="004F0FC0">
        <w:t xml:space="preserve">Průměrná maloobchodní cena hovězího masa v únoru 2022 byla 4,11 </w:t>
      </w:r>
      <w:r>
        <w:t>€/kg; k</w:t>
      </w:r>
      <w:r w:rsidRPr="004F0FC0">
        <w:t xml:space="preserve">oňské maso stálo 4,63 </w:t>
      </w:r>
      <w:r>
        <w:t>€/kg</w:t>
      </w:r>
      <w:r w:rsidRPr="004F0FC0">
        <w:t>, skopové – 4,16</w:t>
      </w:r>
      <w:r>
        <w:t xml:space="preserve"> €/kg</w:t>
      </w:r>
      <w:r w:rsidRPr="004F0FC0">
        <w:t xml:space="preserve">, vepřové – 3,33 </w:t>
      </w:r>
      <w:r>
        <w:t>€/kg</w:t>
      </w:r>
      <w:r w:rsidRPr="004F0FC0">
        <w:t xml:space="preserve">, kuřata – 1,87 </w:t>
      </w:r>
      <w:r>
        <w:t>€/kg</w:t>
      </w:r>
      <w:r w:rsidRPr="004F0FC0">
        <w:t xml:space="preserve">. </w:t>
      </w:r>
    </w:p>
    <w:p w14:paraId="03FE56E3" w14:textId="77777777" w:rsidR="00E67B7E" w:rsidRDefault="00E67B7E" w:rsidP="00E67B7E">
      <w:pPr>
        <w:pStyle w:val="Odstavecseseznamem"/>
        <w:numPr>
          <w:ilvl w:val="0"/>
          <w:numId w:val="32"/>
        </w:numPr>
        <w:spacing w:line="276" w:lineRule="auto"/>
        <w:jc w:val="both"/>
      </w:pPr>
      <w:r>
        <w:t>Dle analytiků se</w:t>
      </w:r>
      <w:r w:rsidRPr="004F0FC0">
        <w:t xml:space="preserve"> v městských oblastech ve srovnání s venkovem spotřebuje</w:t>
      </w:r>
      <w:r>
        <w:t xml:space="preserve"> (na osobu)</w:t>
      </w:r>
      <w:r w:rsidRPr="004F0FC0">
        <w:t xml:space="preserve"> více hovězího </w:t>
      </w:r>
      <w:r>
        <w:t xml:space="preserve">– </w:t>
      </w:r>
      <w:r w:rsidRPr="004F0FC0">
        <w:t xml:space="preserve">24,56 kg vs. 23,84 kg, vepřového masa </w:t>
      </w:r>
      <w:r>
        <w:t xml:space="preserve">– </w:t>
      </w:r>
      <w:r w:rsidRPr="004F0FC0">
        <w:t xml:space="preserve">3,88 kg vs. 2,95 kg a kuřat </w:t>
      </w:r>
      <w:r>
        <w:t xml:space="preserve">– 5,52 kg vs. 3,51 </w:t>
      </w:r>
      <w:r w:rsidRPr="004F0FC0">
        <w:t xml:space="preserve">kg. Ve venkovských oblastech </w:t>
      </w:r>
      <w:r>
        <w:t xml:space="preserve">naopak konzumují více skopového – </w:t>
      </w:r>
      <w:r w:rsidRPr="004F0FC0">
        <w:t>8,77 kg vs. 3,29 kg</w:t>
      </w:r>
      <w:r>
        <w:t xml:space="preserve"> a koňského masa – </w:t>
      </w:r>
      <w:r w:rsidRPr="004F0FC0">
        <w:t>5,97 kg vs. 5,83 kg</w:t>
      </w:r>
      <w:r>
        <w:t xml:space="preserve"> než v městských oblastech</w:t>
      </w:r>
      <w:r w:rsidRPr="004F0FC0">
        <w:t>.</w:t>
      </w:r>
    </w:p>
    <w:p w14:paraId="4F5800F4" w14:textId="77777777" w:rsidR="00D85D3C" w:rsidRPr="00C051BA" w:rsidRDefault="00D85D3C" w:rsidP="00D85D3C">
      <w:pPr>
        <w:pStyle w:val="Odstavecseseznamem"/>
        <w:spacing w:line="276" w:lineRule="auto"/>
        <w:jc w:val="both"/>
        <w:rPr>
          <w:rFonts w:cs="Arial"/>
        </w:rPr>
      </w:pPr>
    </w:p>
    <w:p w14:paraId="7E297D35" w14:textId="77777777" w:rsidR="00F36E50" w:rsidRPr="00587417" w:rsidRDefault="00F36E50" w:rsidP="00EF76D8">
      <w:pPr>
        <w:pStyle w:val="Nadpis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VELKÁ BRITÁNIE</w:t>
      </w:r>
    </w:p>
    <w:p w14:paraId="18B56207" w14:textId="77777777" w:rsidR="005A5906" w:rsidRDefault="00F36E50" w:rsidP="00EF76D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both"/>
        <w:rPr>
          <w:rFonts w:cs="Arial"/>
        </w:rPr>
      </w:pPr>
      <w:r w:rsidRPr="00BC015D">
        <w:rPr>
          <w:rFonts w:cs="Arial"/>
        </w:rPr>
        <w:t>Paul Wilkins</w:t>
      </w:r>
      <w:r w:rsidR="00062DAB">
        <w:rPr>
          <w:rFonts w:cs="Arial"/>
        </w:rPr>
        <w:t xml:space="preserve"> a </w:t>
      </w:r>
      <w:r w:rsidR="00062DAB" w:rsidRPr="00062DAB">
        <w:rPr>
          <w:rFonts w:cs="Arial"/>
        </w:rPr>
        <w:t xml:space="preserve">Tibor </w:t>
      </w:r>
      <w:r w:rsidR="00062DAB">
        <w:rPr>
          <w:rFonts w:cs="Arial"/>
        </w:rPr>
        <w:t>A</w:t>
      </w:r>
      <w:r w:rsidR="00062DAB" w:rsidRPr="00062DAB">
        <w:rPr>
          <w:rFonts w:cs="Arial"/>
        </w:rPr>
        <w:t>ngyal</w:t>
      </w:r>
      <w:r w:rsidR="00062DAB">
        <w:rPr>
          <w:rFonts w:cs="Arial"/>
        </w:rPr>
        <w:t xml:space="preserve">, </w:t>
      </w:r>
      <w:r w:rsidRPr="00BC015D">
        <w:rPr>
          <w:rFonts w:cs="Arial"/>
        </w:rPr>
        <w:t>Místní zástupc</w:t>
      </w:r>
      <w:r w:rsidR="00062DAB">
        <w:rPr>
          <w:rFonts w:cs="Arial"/>
        </w:rPr>
        <w:t>i</w:t>
      </w:r>
      <w:r w:rsidRPr="00BC015D">
        <w:rPr>
          <w:rFonts w:cs="Arial"/>
        </w:rPr>
        <w:t xml:space="preserve"> ČR pro agro-potravinářství, velvyslanectví ČR v</w:t>
      </w:r>
      <w:r w:rsidR="00062DAB">
        <w:rPr>
          <w:rFonts w:cs="Arial"/>
        </w:rPr>
        <w:t> </w:t>
      </w:r>
      <w:r w:rsidRPr="00BC015D">
        <w:rPr>
          <w:rFonts w:cs="Arial"/>
        </w:rPr>
        <w:t>Londýně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>tel.: +44 749 533 9811</w:t>
      </w:r>
      <w:r w:rsidR="00062DAB">
        <w:rPr>
          <w:rFonts w:cs="Arial"/>
        </w:rPr>
        <w:t xml:space="preserve">, </w:t>
      </w:r>
      <w:r w:rsidR="00062DAB" w:rsidRPr="00062DAB">
        <w:rPr>
          <w:rFonts w:cs="Arial"/>
        </w:rPr>
        <w:t xml:space="preserve">e-mail: </w:t>
      </w:r>
      <w:hyperlink r:id="rId15" w:history="1">
        <w:r w:rsidR="00062DAB" w:rsidRPr="007C45BF">
          <w:rPr>
            <w:rStyle w:val="Hypertextovodkaz"/>
            <w:rFonts w:cs="Arial"/>
          </w:rPr>
          <w:t>uktrade@mze.cz</w:t>
        </w:r>
      </w:hyperlink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 –</w:t>
      </w:r>
      <w:r w:rsidR="00062DAB">
        <w:rPr>
          <w:rFonts w:cs="Arial"/>
        </w:rPr>
        <w:t xml:space="preserve"> </w:t>
      </w:r>
      <w:r w:rsidR="00062DAB" w:rsidRPr="00062DAB">
        <w:rPr>
          <w:rFonts w:cs="Arial"/>
        </w:rPr>
        <w:t xml:space="preserve">komunikace v angličtině </w:t>
      </w:r>
    </w:p>
    <w:p w14:paraId="017E5F1E" w14:textId="77777777" w:rsidR="005A5906" w:rsidRPr="005A5906" w:rsidRDefault="005A5906" w:rsidP="005A5906">
      <w:pPr>
        <w:pStyle w:val="Nadpis3"/>
        <w:spacing w:line="276" w:lineRule="auto"/>
      </w:pPr>
      <w:r w:rsidRPr="005A5906">
        <w:t>Zavedení povinného označování kalorií u jídel v pohostinství v Anglii</w:t>
      </w:r>
    </w:p>
    <w:p w14:paraId="6813BAB1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</w:t>
      </w:r>
      <w:r w:rsidRPr="005A5906">
        <w:rPr>
          <w:rFonts w:ascii="Arial" w:hAnsi="Arial" w:cs="Arial"/>
        </w:rPr>
        <w:t xml:space="preserve">6. dubna 2022 vstoupily v Anglii v platnost nové předpisy o označování kalorií, což znamená, že mnoho podniků v oblasti pohostinství a veřejného stravování bude muset zákazníkům poskytovat informace o kaloriích v jídle. </w:t>
      </w:r>
    </w:p>
    <w:p w14:paraId="57EE0C5D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>Nařízení o označování kalorií v Anglii, které bylo přijato již v roce 2021</w:t>
      </w:r>
      <w:r w:rsidR="00FA71F3">
        <w:rPr>
          <w:rFonts w:ascii="Arial" w:hAnsi="Arial" w:cs="Arial"/>
        </w:rPr>
        <w:t>,</w:t>
      </w:r>
      <w:r w:rsidRPr="005A5906">
        <w:rPr>
          <w:rFonts w:ascii="Arial" w:hAnsi="Arial" w:cs="Arial"/>
        </w:rPr>
        <w:t xml:space="preserve"> vyžaduje, aby podniky v oblasti pohostinství a veřejného stravování s více než 250 zaměstnanci uváděly na jídelních lístcích, online jídelních lístcích, platformách pro rozvoz potravin nebo na etiketách potravin, informace o kaloriích. </w:t>
      </w:r>
    </w:p>
    <w:p w14:paraId="625D3EF3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 xml:space="preserve">V souladu s nařízením o označování kalorií jsou podniky povinny uvádět energetický obsah potraviny v kilokaloriích (kcal), informovat o velikosti porce, které se informace o kaloriích týkají, a uvádět větu: „Dospělí potřebují přibližně 2 000 kcal denně“. </w:t>
      </w:r>
    </w:p>
    <w:p w14:paraId="2E44D116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>Opatření vychází ze skutečnosti, že 28 % dospělých v Anglii je obézních a dalších 36 % má nadváhu. Cílem této nové legislativy je řešit rostoucí počty lidí s nadváhou nebo obezitou tím, že pomůže lidem vybírat si informovaněji a volit zdravější jídla.</w:t>
      </w:r>
    </w:p>
    <w:p w14:paraId="2116068C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>Manažer pro potraviny ze společnosti Bureau Veritas, která se zabývá dodržováním předpisů v potravinářství, George Macfie uvádí:</w:t>
      </w:r>
    </w:p>
    <w:p w14:paraId="6505DC42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>„Zdraví dospělých i dětí je již dlouho aktuálním tématem, přičemž v průběhu let byly zavedeny různé postupy, jejichž cílem je omezit nezdravé stravování, včetně omezení televizní reklamy. Avšak vzhledem k tomu, že údaje nyní ukazují ohromující počet dospělých, kteří mají nadváhu nebo jsou obézní, přijala vláda UK opatření vůči větším potravinářským podnikům, aby zajistila, že se i ony budou podílet na podpoře informovaného a chytřejšího výběru potravin. Legislativa bude mít dopad na značný počet potravinářských podniků, včetně restaurací, kaváren, prodejen rychlého občerstvení, specializovaných obchodů s potravinami – jako jsou lahůdkářství a cukrárny – a také na vnitrostátní dopravní su</w:t>
      </w:r>
      <w:r>
        <w:rPr>
          <w:rFonts w:ascii="Arial" w:hAnsi="Arial" w:cs="Arial"/>
        </w:rPr>
        <w:t>bjekty, včetně letadel, vlaků a </w:t>
      </w:r>
      <w:r w:rsidRPr="005A5906">
        <w:rPr>
          <w:rFonts w:ascii="Arial" w:hAnsi="Arial" w:cs="Arial"/>
        </w:rPr>
        <w:t>trajektů.“</w:t>
      </w:r>
    </w:p>
    <w:p w14:paraId="2CDFC10B" w14:textId="77777777" w:rsidR="005A5906" w:rsidRPr="005A5906" w:rsidRDefault="005A5906" w:rsidP="005A5906">
      <w:pPr>
        <w:pStyle w:val="Bezmezer"/>
        <w:spacing w:line="276" w:lineRule="auto"/>
        <w:jc w:val="both"/>
        <w:rPr>
          <w:rFonts w:ascii="Arial" w:hAnsi="Arial" w:cs="Arial"/>
        </w:rPr>
      </w:pPr>
      <w:r w:rsidRPr="005A5906">
        <w:rPr>
          <w:rFonts w:ascii="Arial" w:hAnsi="Arial" w:cs="Arial"/>
        </w:rPr>
        <w:t>Podle společnosti Bureau Veritas bude pro podniky klíčové, aby vzdělávaly své zaměstnance a připravily tak půdu pro úspěšný přechod na nová pravidla. Ti budou zodpovědní za informování návštěvníků o informacích o obsahu kalorií a o tom, kde je lze nalézt. Dodává, že je také nezbytné, aby informace o kaloriích byly vypočí</w:t>
      </w:r>
      <w:r>
        <w:rPr>
          <w:rFonts w:ascii="Arial" w:hAnsi="Arial" w:cs="Arial"/>
        </w:rPr>
        <w:t>tány pomocí průměrných hodnot a </w:t>
      </w:r>
      <w:r w:rsidRPr="005A5906">
        <w:rPr>
          <w:rFonts w:ascii="Arial" w:hAnsi="Arial" w:cs="Arial"/>
        </w:rPr>
        <w:t>podloženy údaji, které vycházejí buď z analýzy potravin provedené výrobcem, z výpočtu ze známých použitých složek, nebo ze zavedených a uznávaných údajů.</w:t>
      </w:r>
    </w:p>
    <w:p w14:paraId="1EFDA082" w14:textId="77777777" w:rsidR="00AB3AE2" w:rsidRPr="005A5906" w:rsidRDefault="00AB3AE2" w:rsidP="005A5906">
      <w:pPr>
        <w:rPr>
          <w:rFonts w:cs="Arial"/>
        </w:rPr>
      </w:pPr>
    </w:p>
    <w:sectPr w:rsidR="00AB3AE2" w:rsidRPr="005A5906" w:rsidSect="00505C2E">
      <w:footerReference w:type="default" r:id="rId16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6CCAE" w14:textId="77777777" w:rsidR="00F565EE" w:rsidRDefault="00F565EE" w:rsidP="00D4434C">
      <w:r>
        <w:separator/>
      </w:r>
    </w:p>
  </w:endnote>
  <w:endnote w:type="continuationSeparator" w:id="0">
    <w:p w14:paraId="560D4173" w14:textId="77777777" w:rsidR="00F565EE" w:rsidRDefault="00F565EE" w:rsidP="00D44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39510708"/>
      <w:docPartObj>
        <w:docPartGallery w:val="Page Numbers (Bottom of Page)"/>
        <w:docPartUnique/>
      </w:docPartObj>
    </w:sdtPr>
    <w:sdtEndPr/>
    <w:sdtContent>
      <w:p w14:paraId="111547C4" w14:textId="77777777" w:rsidR="00D4434C" w:rsidRDefault="00D4434C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50F6">
          <w:rPr>
            <w:noProof/>
          </w:rPr>
          <w:t>4</w:t>
        </w:r>
        <w:r>
          <w:fldChar w:fldCharType="end"/>
        </w:r>
      </w:p>
    </w:sdtContent>
  </w:sdt>
  <w:p w14:paraId="786EF0C8" w14:textId="77777777" w:rsidR="00D4434C" w:rsidRDefault="00D4434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6789E" w14:textId="77777777" w:rsidR="00F565EE" w:rsidRDefault="00F565EE" w:rsidP="00D4434C">
      <w:r>
        <w:separator/>
      </w:r>
    </w:p>
  </w:footnote>
  <w:footnote w:type="continuationSeparator" w:id="0">
    <w:p w14:paraId="2A89C3A4" w14:textId="77777777" w:rsidR="00F565EE" w:rsidRDefault="00F565EE" w:rsidP="00D443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0510"/>
    <w:multiLevelType w:val="hybridMultilevel"/>
    <w:tmpl w:val="B43AA0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87BAA"/>
    <w:multiLevelType w:val="hybridMultilevel"/>
    <w:tmpl w:val="10A268CA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EBE30D0"/>
    <w:multiLevelType w:val="hybridMultilevel"/>
    <w:tmpl w:val="220449CA"/>
    <w:lvl w:ilvl="0" w:tplc="AD588B22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661C8"/>
    <w:multiLevelType w:val="hybridMultilevel"/>
    <w:tmpl w:val="E7A07C20"/>
    <w:lvl w:ilvl="0" w:tplc="04090001">
      <w:start w:val="1"/>
      <w:numFmt w:val="bullet"/>
      <w:lvlText w:val=""/>
      <w:lvlJc w:val="left"/>
      <w:pPr>
        <w:ind w:left="1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6" w:hanging="360"/>
      </w:pPr>
      <w:rPr>
        <w:rFonts w:ascii="Wingdings" w:hAnsi="Wingdings" w:hint="default"/>
      </w:rPr>
    </w:lvl>
  </w:abstractNum>
  <w:abstractNum w:abstractNumId="4" w15:restartNumberingAfterBreak="0">
    <w:nsid w:val="12B43C48"/>
    <w:multiLevelType w:val="hybridMultilevel"/>
    <w:tmpl w:val="C608DE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C1955"/>
    <w:multiLevelType w:val="hybridMultilevel"/>
    <w:tmpl w:val="FA5A06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F62"/>
    <w:multiLevelType w:val="hybridMultilevel"/>
    <w:tmpl w:val="4D90FB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16524"/>
    <w:multiLevelType w:val="hybridMultilevel"/>
    <w:tmpl w:val="ACA23D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01275"/>
    <w:multiLevelType w:val="hybridMultilevel"/>
    <w:tmpl w:val="7BBEB5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C7C90"/>
    <w:multiLevelType w:val="hybridMultilevel"/>
    <w:tmpl w:val="314698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346EB"/>
    <w:multiLevelType w:val="hybridMultilevel"/>
    <w:tmpl w:val="624685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26D14"/>
    <w:multiLevelType w:val="hybridMultilevel"/>
    <w:tmpl w:val="DCDEEE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A8342A"/>
    <w:multiLevelType w:val="hybridMultilevel"/>
    <w:tmpl w:val="51709462"/>
    <w:lvl w:ilvl="0" w:tplc="B93E11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C392C"/>
    <w:multiLevelType w:val="hybridMultilevel"/>
    <w:tmpl w:val="23F00D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1263BC"/>
    <w:multiLevelType w:val="hybridMultilevel"/>
    <w:tmpl w:val="059EB79A"/>
    <w:lvl w:ilvl="0" w:tplc="07E8B292">
      <w:start w:val="2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2E4DB7"/>
    <w:multiLevelType w:val="hybridMultilevel"/>
    <w:tmpl w:val="73D2AE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F35FB5"/>
    <w:multiLevelType w:val="hybridMultilevel"/>
    <w:tmpl w:val="472CF2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B31404"/>
    <w:multiLevelType w:val="hybridMultilevel"/>
    <w:tmpl w:val="1C9C02A4"/>
    <w:lvl w:ilvl="0" w:tplc="7E4CB84E">
      <w:start w:val="1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CC52E2"/>
    <w:multiLevelType w:val="hybridMultilevel"/>
    <w:tmpl w:val="E5AC72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111E3"/>
    <w:multiLevelType w:val="hybridMultilevel"/>
    <w:tmpl w:val="D72E815E"/>
    <w:lvl w:ilvl="0" w:tplc="22BCE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71289B"/>
    <w:multiLevelType w:val="hybridMultilevel"/>
    <w:tmpl w:val="F6EA17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2F00D2"/>
    <w:multiLevelType w:val="hybridMultilevel"/>
    <w:tmpl w:val="03066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835D68"/>
    <w:multiLevelType w:val="hybridMultilevel"/>
    <w:tmpl w:val="3ABA6D7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00398"/>
    <w:multiLevelType w:val="hybridMultilevel"/>
    <w:tmpl w:val="78B2E7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524A9B"/>
    <w:multiLevelType w:val="hybridMultilevel"/>
    <w:tmpl w:val="D108D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782095"/>
    <w:multiLevelType w:val="hybridMultilevel"/>
    <w:tmpl w:val="0A92E9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D4797C"/>
    <w:multiLevelType w:val="hybridMultilevel"/>
    <w:tmpl w:val="B49E9D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E240C6"/>
    <w:multiLevelType w:val="hybridMultilevel"/>
    <w:tmpl w:val="65CA6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324AFC"/>
    <w:multiLevelType w:val="hybridMultilevel"/>
    <w:tmpl w:val="10AC0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34692F"/>
    <w:multiLevelType w:val="hybridMultilevel"/>
    <w:tmpl w:val="B810C3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11097C"/>
    <w:multiLevelType w:val="hybridMultilevel"/>
    <w:tmpl w:val="CD8041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5429F1"/>
    <w:multiLevelType w:val="hybridMultilevel"/>
    <w:tmpl w:val="200CF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1D5EF0"/>
    <w:multiLevelType w:val="hybridMultilevel"/>
    <w:tmpl w:val="B7AE1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0"/>
  </w:num>
  <w:num w:numId="3">
    <w:abstractNumId w:val="22"/>
  </w:num>
  <w:num w:numId="4">
    <w:abstractNumId w:val="11"/>
  </w:num>
  <w:num w:numId="5">
    <w:abstractNumId w:val="26"/>
  </w:num>
  <w:num w:numId="6">
    <w:abstractNumId w:val="27"/>
  </w:num>
  <w:num w:numId="7">
    <w:abstractNumId w:val="23"/>
  </w:num>
  <w:num w:numId="8">
    <w:abstractNumId w:val="4"/>
  </w:num>
  <w:num w:numId="9">
    <w:abstractNumId w:val="10"/>
  </w:num>
  <w:num w:numId="10">
    <w:abstractNumId w:val="7"/>
  </w:num>
  <w:num w:numId="11">
    <w:abstractNumId w:val="21"/>
  </w:num>
  <w:num w:numId="12">
    <w:abstractNumId w:val="13"/>
  </w:num>
  <w:num w:numId="13">
    <w:abstractNumId w:val="32"/>
  </w:num>
  <w:num w:numId="14">
    <w:abstractNumId w:val="9"/>
  </w:num>
  <w:num w:numId="15">
    <w:abstractNumId w:val="3"/>
  </w:num>
  <w:num w:numId="16">
    <w:abstractNumId w:val="16"/>
  </w:num>
  <w:num w:numId="17">
    <w:abstractNumId w:val="8"/>
  </w:num>
  <w:num w:numId="18">
    <w:abstractNumId w:val="1"/>
  </w:num>
  <w:num w:numId="19">
    <w:abstractNumId w:val="30"/>
  </w:num>
  <w:num w:numId="20">
    <w:abstractNumId w:val="29"/>
  </w:num>
  <w:num w:numId="21">
    <w:abstractNumId w:val="0"/>
  </w:num>
  <w:num w:numId="22">
    <w:abstractNumId w:val="6"/>
  </w:num>
  <w:num w:numId="23">
    <w:abstractNumId w:val="31"/>
  </w:num>
  <w:num w:numId="24">
    <w:abstractNumId w:val="15"/>
  </w:num>
  <w:num w:numId="25">
    <w:abstractNumId w:val="5"/>
  </w:num>
  <w:num w:numId="26">
    <w:abstractNumId w:val="25"/>
  </w:num>
  <w:num w:numId="27">
    <w:abstractNumId w:val="28"/>
  </w:num>
  <w:num w:numId="28">
    <w:abstractNumId w:val="19"/>
  </w:num>
  <w:num w:numId="29">
    <w:abstractNumId w:val="12"/>
  </w:num>
  <w:num w:numId="30">
    <w:abstractNumId w:val="14"/>
  </w:num>
  <w:num w:numId="31">
    <w:abstractNumId w:val="1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33A"/>
    <w:rsid w:val="000070E8"/>
    <w:rsid w:val="00035FAD"/>
    <w:rsid w:val="000458E0"/>
    <w:rsid w:val="00056BBE"/>
    <w:rsid w:val="00061EED"/>
    <w:rsid w:val="00062DAB"/>
    <w:rsid w:val="000663DF"/>
    <w:rsid w:val="000A4F06"/>
    <w:rsid w:val="000B199E"/>
    <w:rsid w:val="000D56DE"/>
    <w:rsid w:val="000F24FC"/>
    <w:rsid w:val="000F717B"/>
    <w:rsid w:val="00126ADE"/>
    <w:rsid w:val="00135F0E"/>
    <w:rsid w:val="001419A2"/>
    <w:rsid w:val="00146BCF"/>
    <w:rsid w:val="001D3F62"/>
    <w:rsid w:val="001E5189"/>
    <w:rsid w:val="001F023C"/>
    <w:rsid w:val="001F29AF"/>
    <w:rsid w:val="00216114"/>
    <w:rsid w:val="00223F87"/>
    <w:rsid w:val="002550D0"/>
    <w:rsid w:val="00260021"/>
    <w:rsid w:val="002616B5"/>
    <w:rsid w:val="00267D97"/>
    <w:rsid w:val="0029182F"/>
    <w:rsid w:val="002A2D85"/>
    <w:rsid w:val="002A56DF"/>
    <w:rsid w:val="002E5EAD"/>
    <w:rsid w:val="00370E34"/>
    <w:rsid w:val="003964FA"/>
    <w:rsid w:val="003D2B3B"/>
    <w:rsid w:val="003D56E1"/>
    <w:rsid w:val="003E50F6"/>
    <w:rsid w:val="004232BE"/>
    <w:rsid w:val="004559E3"/>
    <w:rsid w:val="00457E05"/>
    <w:rsid w:val="004962CD"/>
    <w:rsid w:val="004A6C5B"/>
    <w:rsid w:val="004E6FCD"/>
    <w:rsid w:val="004F1D9E"/>
    <w:rsid w:val="00505C2E"/>
    <w:rsid w:val="005248F4"/>
    <w:rsid w:val="00524BA5"/>
    <w:rsid w:val="00587417"/>
    <w:rsid w:val="005A5906"/>
    <w:rsid w:val="005C3BF7"/>
    <w:rsid w:val="005C7667"/>
    <w:rsid w:val="005D5E3F"/>
    <w:rsid w:val="005D69CD"/>
    <w:rsid w:val="005D7F74"/>
    <w:rsid w:val="005E20B4"/>
    <w:rsid w:val="00601729"/>
    <w:rsid w:val="0060788E"/>
    <w:rsid w:val="00613A7D"/>
    <w:rsid w:val="00624467"/>
    <w:rsid w:val="00631587"/>
    <w:rsid w:val="00636521"/>
    <w:rsid w:val="00640BD1"/>
    <w:rsid w:val="00656C69"/>
    <w:rsid w:val="00661DC5"/>
    <w:rsid w:val="0067358D"/>
    <w:rsid w:val="006805F4"/>
    <w:rsid w:val="006931C2"/>
    <w:rsid w:val="006A353A"/>
    <w:rsid w:val="006A382E"/>
    <w:rsid w:val="006F79AC"/>
    <w:rsid w:val="00715795"/>
    <w:rsid w:val="00717F96"/>
    <w:rsid w:val="00780119"/>
    <w:rsid w:val="0078308B"/>
    <w:rsid w:val="00790E93"/>
    <w:rsid w:val="00795E13"/>
    <w:rsid w:val="007A531E"/>
    <w:rsid w:val="007F3E9B"/>
    <w:rsid w:val="007F44D0"/>
    <w:rsid w:val="007F5F98"/>
    <w:rsid w:val="00807D31"/>
    <w:rsid w:val="00840888"/>
    <w:rsid w:val="00886E98"/>
    <w:rsid w:val="00892A59"/>
    <w:rsid w:val="00892E02"/>
    <w:rsid w:val="00897840"/>
    <w:rsid w:val="008A6BB3"/>
    <w:rsid w:val="008A799A"/>
    <w:rsid w:val="008B3F8F"/>
    <w:rsid w:val="00937595"/>
    <w:rsid w:val="00952BF6"/>
    <w:rsid w:val="009677BC"/>
    <w:rsid w:val="00974743"/>
    <w:rsid w:val="00993C8E"/>
    <w:rsid w:val="00A43583"/>
    <w:rsid w:val="00A53226"/>
    <w:rsid w:val="00A57E6D"/>
    <w:rsid w:val="00A91B8F"/>
    <w:rsid w:val="00AB1996"/>
    <w:rsid w:val="00AB382A"/>
    <w:rsid w:val="00AB3AE2"/>
    <w:rsid w:val="00AB3B4C"/>
    <w:rsid w:val="00AD54F3"/>
    <w:rsid w:val="00AE3F61"/>
    <w:rsid w:val="00AF51BE"/>
    <w:rsid w:val="00B05BDF"/>
    <w:rsid w:val="00B167F4"/>
    <w:rsid w:val="00B173B4"/>
    <w:rsid w:val="00B208A7"/>
    <w:rsid w:val="00B2558D"/>
    <w:rsid w:val="00B27E33"/>
    <w:rsid w:val="00B318F6"/>
    <w:rsid w:val="00B554B9"/>
    <w:rsid w:val="00BA6A5B"/>
    <w:rsid w:val="00BC341A"/>
    <w:rsid w:val="00BC4BD8"/>
    <w:rsid w:val="00BD647F"/>
    <w:rsid w:val="00BD6ED0"/>
    <w:rsid w:val="00BD7227"/>
    <w:rsid w:val="00BE6CBB"/>
    <w:rsid w:val="00C0233A"/>
    <w:rsid w:val="00C051BA"/>
    <w:rsid w:val="00C34CC6"/>
    <w:rsid w:val="00C57B4E"/>
    <w:rsid w:val="00C833B6"/>
    <w:rsid w:val="00CA1C10"/>
    <w:rsid w:val="00CA2C8C"/>
    <w:rsid w:val="00CA478D"/>
    <w:rsid w:val="00CC18E4"/>
    <w:rsid w:val="00D05C35"/>
    <w:rsid w:val="00D4434C"/>
    <w:rsid w:val="00D71800"/>
    <w:rsid w:val="00D85D3C"/>
    <w:rsid w:val="00DA01A0"/>
    <w:rsid w:val="00DA25B0"/>
    <w:rsid w:val="00DB022E"/>
    <w:rsid w:val="00DB0371"/>
    <w:rsid w:val="00DB24CC"/>
    <w:rsid w:val="00DB3BA7"/>
    <w:rsid w:val="00E0689A"/>
    <w:rsid w:val="00E52E29"/>
    <w:rsid w:val="00E67B7E"/>
    <w:rsid w:val="00E853BA"/>
    <w:rsid w:val="00E87201"/>
    <w:rsid w:val="00E96F76"/>
    <w:rsid w:val="00E973C5"/>
    <w:rsid w:val="00E97C5D"/>
    <w:rsid w:val="00EA44BE"/>
    <w:rsid w:val="00EA7FE6"/>
    <w:rsid w:val="00EB12F4"/>
    <w:rsid w:val="00ED2A93"/>
    <w:rsid w:val="00EF76D8"/>
    <w:rsid w:val="00F03535"/>
    <w:rsid w:val="00F04621"/>
    <w:rsid w:val="00F36E50"/>
    <w:rsid w:val="00F4313C"/>
    <w:rsid w:val="00F565EE"/>
    <w:rsid w:val="00F7570B"/>
    <w:rsid w:val="00FA52AF"/>
    <w:rsid w:val="00FA71F3"/>
    <w:rsid w:val="00FD6CF3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453CBC"/>
  <w15:docId w15:val="{86C8BBE8-8E29-4454-BC2B-62778C353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4434C"/>
    <w:rPr>
      <w:rFonts w:ascii="Arial" w:hAnsi="Arial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035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35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35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035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6A382E"/>
    <w:rPr>
      <w:b/>
      <w:bCs/>
    </w:rPr>
  </w:style>
  <w:style w:type="character" w:styleId="Hypertextovodkaz">
    <w:name w:val="Hyperlink"/>
    <w:uiPriority w:val="99"/>
    <w:unhideWhenUsed/>
    <w:rsid w:val="007A531E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35FAD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035FAD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035FAD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035FAD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035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035FA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784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7840"/>
    <w:rPr>
      <w:rFonts w:ascii="Segoe UI" w:hAnsi="Segoe UI" w:cs="Segoe UI"/>
      <w:sz w:val="18"/>
      <w:szCs w:val="18"/>
      <w:lang w:eastAsia="en-US"/>
    </w:rPr>
  </w:style>
  <w:style w:type="character" w:customStyle="1" w:styleId="normaltextrun">
    <w:name w:val="normaltextrun"/>
    <w:basedOn w:val="Standardnpsmoodstavce"/>
    <w:rsid w:val="006931C2"/>
  </w:style>
  <w:style w:type="paragraph" w:styleId="Odstavecseseznamem">
    <w:name w:val="List Paragraph"/>
    <w:basedOn w:val="Normln"/>
    <w:uiPriority w:val="34"/>
    <w:qFormat/>
    <w:rsid w:val="00937595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4559E3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434C"/>
    <w:rPr>
      <w:rFonts w:ascii="Arial" w:hAnsi="Arial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D443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4434C"/>
    <w:rPr>
      <w:rFonts w:ascii="Arial" w:hAnsi="Arial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62DAB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524BA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rmtovanvHTML">
    <w:name w:val="HTML Preformatted"/>
    <w:basedOn w:val="Normln"/>
    <w:link w:val="FormtovanvHTMLChar"/>
    <w:uiPriority w:val="99"/>
    <w:unhideWhenUsed/>
    <w:rsid w:val="006315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631587"/>
    <w:rPr>
      <w:rFonts w:ascii="Courier New" w:eastAsia="Times New Roman" w:hAnsi="Courier New" w:cs="Courier New"/>
      <w:lang w:val="en-US" w:eastAsia="en-US"/>
    </w:rPr>
  </w:style>
  <w:style w:type="character" w:customStyle="1" w:styleId="y2iqfc">
    <w:name w:val="y2iqfc"/>
    <w:basedOn w:val="Standardnpsmoodstavce"/>
    <w:rsid w:val="00631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9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ladimir_vana@mzv.cz" TargetMode="External"/><Relationship Id="rId13" Type="http://schemas.openxmlformats.org/officeDocument/2006/relationships/hyperlink" Target="mailto:commerce_hanoi@mzv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bos.marek@mze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rena_leopoldova@mzv.cz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ktrade@mze.cz" TargetMode="External"/><Relationship Id="rId10" Type="http://schemas.openxmlformats.org/officeDocument/2006/relationships/hyperlink" Target="mailto:lukas_zamrzla@mzv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etr_jezek@mzv.cz" TargetMode="External"/><Relationship Id="rId14" Type="http://schemas.openxmlformats.org/officeDocument/2006/relationships/hyperlink" Target="mailto:artom_lukasov@mzv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004801\Documents\Vlastn&#237;%20&#353;ablony%20Office\TERITORIA%20ZD-MS_ze%20dn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68FB8EAB-041A-4349-B517-C987392A7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TERITORIA ZD-MS_ze dne</Template>
  <TotalTime>0</TotalTime>
  <Pages>5</Pages>
  <Words>2282</Words>
  <Characters>13469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ČR</Company>
  <LinksUpToDate>false</LinksUpToDate>
  <CharactersWithSpaces>15720</CharactersWithSpaces>
  <SharedDoc>false</SharedDoc>
  <HLinks>
    <vt:vector size="24" baseType="variant">
      <vt:variant>
        <vt:i4>3407926</vt:i4>
      </vt:variant>
      <vt:variant>
        <vt:i4>9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3407926</vt:i4>
      </vt:variant>
      <vt:variant>
        <vt:i4>6</vt:i4>
      </vt:variant>
      <vt:variant>
        <vt:i4>0</vt:i4>
      </vt:variant>
      <vt:variant>
        <vt:i4>5</vt:i4>
      </vt:variant>
      <vt:variant>
        <vt:lpwstr>mailto:petr_sochor@mzv.cz</vt:lpwstr>
      </vt:variant>
      <vt:variant>
        <vt:lpwstr/>
      </vt:variant>
      <vt:variant>
        <vt:i4>4259897</vt:i4>
      </vt:variant>
      <vt:variant>
        <vt:i4>3</vt:i4>
      </vt:variant>
      <vt:variant>
        <vt:i4>0</vt:i4>
      </vt:variant>
      <vt:variant>
        <vt:i4>5</vt:i4>
      </vt:variant>
      <vt:variant>
        <vt:lpwstr>mailto:nikola.hruskova@mze.cz</vt:lpwstr>
      </vt:variant>
      <vt:variant>
        <vt:lpwstr/>
      </vt:variant>
      <vt:variant>
        <vt:i4>7602216</vt:i4>
      </vt:variant>
      <vt:variant>
        <vt:i4>0</vt:i4>
      </vt:variant>
      <vt:variant>
        <vt:i4>0</vt:i4>
      </vt:variant>
      <vt:variant>
        <vt:i4>5</vt:i4>
      </vt:variant>
      <vt:variant>
        <vt:lpwstr>mailto:pavel_svoboda1@mzv.cz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Eliášová Eva</dc:creator>
  <cp:lastModifiedBy>Bartošová Karolína</cp:lastModifiedBy>
  <cp:revision>2</cp:revision>
  <dcterms:created xsi:type="dcterms:W3CDTF">2022-04-08T13:25:00Z</dcterms:created>
  <dcterms:modified xsi:type="dcterms:W3CDTF">2022-04-08T13:25:00Z</dcterms:modified>
</cp:coreProperties>
</file>