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29EB7" w14:textId="13BFB643" w:rsidR="00937595"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B679F7">
        <w:rPr>
          <w:rFonts w:ascii="Arial" w:hAnsi="Arial" w:cs="Arial"/>
          <w:noProof/>
        </w:rPr>
        <w:t>pátek 5. srpna 2022</w:t>
      </w:r>
      <w:r w:rsidR="00035FAD" w:rsidRPr="00937595">
        <w:rPr>
          <w:rFonts w:ascii="Arial" w:hAnsi="Arial" w:cs="Arial"/>
        </w:rPr>
        <w:fldChar w:fldCharType="end"/>
      </w:r>
    </w:p>
    <w:p w14:paraId="785F9FCE" w14:textId="77777777" w:rsidR="008559B7" w:rsidRPr="008559B7" w:rsidRDefault="008559B7" w:rsidP="008559B7"/>
    <w:p w14:paraId="07828D10"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366A4F97"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277C3736" w14:textId="77777777"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proofErr w:type="gramStart"/>
      <w:r w:rsidRPr="00587417">
        <w:rPr>
          <w:rFonts w:cs="Arial"/>
        </w:rPr>
        <w:t>Mob</w:t>
      </w:r>
      <w:r w:rsidR="005D5E3F" w:rsidRPr="00587417">
        <w:rPr>
          <w:rFonts w:cs="Arial"/>
        </w:rPr>
        <w:t>.</w:t>
      </w:r>
      <w:r w:rsidRPr="00587417">
        <w:rPr>
          <w:rFonts w:cs="Arial"/>
        </w:rPr>
        <w:t>:+</w:t>
      </w:r>
      <w:proofErr w:type="gramEnd"/>
      <w:r w:rsidRPr="00587417">
        <w:rPr>
          <w:rFonts w:cs="Arial"/>
        </w:rPr>
        <w:t xml:space="preserve">381  63 388931, </w:t>
      </w:r>
      <w:r w:rsidR="00D4434C">
        <w:rPr>
          <w:rFonts w:cs="Arial"/>
        </w:rPr>
        <w:t xml:space="preserve">e-mail: </w:t>
      </w:r>
      <w:hyperlink r:id="rId8" w:history="1">
        <w:r w:rsidR="00656C69" w:rsidRPr="00F00B6D">
          <w:rPr>
            <w:rStyle w:val="Hypertextovodkaz"/>
            <w:rFonts w:cs="Arial"/>
          </w:rPr>
          <w:t>vladimir_vana@mzv.cz</w:t>
        </w:r>
      </w:hyperlink>
      <w:r w:rsidR="00B554B9" w:rsidRPr="00587417">
        <w:rPr>
          <w:rFonts w:cs="Arial"/>
        </w:rPr>
        <w:t xml:space="preserve"> </w:t>
      </w:r>
    </w:p>
    <w:p w14:paraId="635EE6E9" w14:textId="77777777" w:rsidR="007132A4" w:rsidRPr="007132A4" w:rsidRDefault="007132A4" w:rsidP="007132A4">
      <w:pPr>
        <w:pStyle w:val="Nadpis3"/>
        <w:spacing w:line="276" w:lineRule="auto"/>
      </w:pPr>
      <w:r w:rsidRPr="007132A4">
        <w:t>SRBSKO – pokračuje v omezování maximálních cen základních potravin</w:t>
      </w:r>
    </w:p>
    <w:p w14:paraId="4ACD5FBF" w14:textId="77777777" w:rsidR="007132A4" w:rsidRPr="007132A4" w:rsidRDefault="007132A4" w:rsidP="007132A4">
      <w:pPr>
        <w:spacing w:line="276" w:lineRule="auto"/>
        <w:jc w:val="both"/>
      </w:pPr>
      <w:r w:rsidRPr="007132A4">
        <w:t xml:space="preserve">Srbská vláda na svém posledním jednání upravila maximální možné ceny základních potravin pro koncové spotřebitele. Takto je nyní do konce srpna omezena maximální maloobchodní cena u některých kategorií vepřového masa, kde u nejdražší vepřové kýty je maximální maloobchodní cena stanovena na 6,39 EUR/kg.  Je omezena také cena UHT mléka s podílem tuku 2,8 % v balení jeden litr, cena mouky typ </w:t>
      </w:r>
      <w:proofErr w:type="gramStart"/>
      <w:r w:rsidRPr="007132A4">
        <w:t>T - 400</w:t>
      </w:r>
      <w:proofErr w:type="gramEnd"/>
      <w:r w:rsidRPr="007132A4">
        <w:t xml:space="preserve"> a T - 500 a také bílý cukr krystal v balení jeden kilogram. U cukru jsou omezeny i výrobní ceny a velkoobchod má stanoveno, že cukr v balení 1 kg, 5 kg a 10 kg musí dodat do maloobchodní sítě do 15 dnů od jeho nákupu od výrobců. Nově byla také stanovena i maximální výrobní a maloobchodní cena neporcovaného kuřecího masa (celé kuře). Cena za kuře tak v maloobchodním prodeji nesmí přesáhnout 2,55 EUR/kg. První omezení cen některých základních potravin byla zavedena již v listopadu loňského roku, kdy ceny začaly skokově růst. Tato omezení mají za cíl snížení dopadů růstu cen na životní standard obyvatel Srbska. Na druhou stranu například omezení cen u masa má negativní vliv na jeho domácí produkci, kde rostou náklady na chov především kvůli růstu cen krmiv. Nahrává to tak dovozu levného masa ze zahraničí. Jenom za první čtyři měsíce tohoto roku dovezlo Srbsko 12 769 tun vepřového masa v hodnotě 27,6 </w:t>
      </w:r>
      <w:r w:rsidR="00105E34">
        <w:t>mil.</w:t>
      </w:r>
      <w:r w:rsidRPr="007132A4">
        <w:t xml:space="preserve"> EUR. Zároveň se v Srbsku v prvním kvartálu letošního roku oproti stejnému období loňského roku snížila produkce vepřového masa o 48,2 %, uvedl deník „Novosti“. Tato situace má nepříjemný dopad i na české technologické firmy, které do Srbska dodávají vybavení stájí pro chov prasat, protože byla pozastavena řada projektů na budování nových nebo modernizaci stávajících provozů.</w:t>
      </w:r>
    </w:p>
    <w:p w14:paraId="43DEF9D4" w14:textId="77777777" w:rsidR="007132A4" w:rsidRPr="007132A4" w:rsidRDefault="007132A4" w:rsidP="007132A4">
      <w:pPr>
        <w:pStyle w:val="Nadpis3"/>
        <w:spacing w:line="276" w:lineRule="auto"/>
      </w:pPr>
      <w:r w:rsidRPr="007132A4">
        <w:t>SRBSKO – začíná sklizeň švestek</w:t>
      </w:r>
    </w:p>
    <w:p w14:paraId="5C2312E1" w14:textId="77777777" w:rsidR="007132A4" w:rsidRPr="007132A4" w:rsidRDefault="007132A4" w:rsidP="007132A4">
      <w:pPr>
        <w:spacing w:line="276" w:lineRule="auto"/>
        <w:jc w:val="both"/>
      </w:pPr>
      <w:r w:rsidRPr="007132A4">
        <w:t>V těchto dnech byla zahájena sklizeň tradičního srbského ovoce – švestek. Probíhá sklizeň odrůd „</w:t>
      </w:r>
      <w:proofErr w:type="spellStart"/>
      <w:r w:rsidRPr="007132A4">
        <w:t>Čačanska</w:t>
      </w:r>
      <w:proofErr w:type="spellEnd"/>
      <w:r w:rsidRPr="007132A4">
        <w:t xml:space="preserve"> </w:t>
      </w:r>
      <w:proofErr w:type="spellStart"/>
      <w:r w:rsidRPr="007132A4">
        <w:t>lepotica</w:t>
      </w:r>
      <w:proofErr w:type="spellEnd"/>
      <w:r w:rsidRPr="007132A4">
        <w:t>“ a „</w:t>
      </w:r>
      <w:proofErr w:type="spellStart"/>
      <w:r w:rsidRPr="007132A4">
        <w:t>Čačanska</w:t>
      </w:r>
      <w:proofErr w:type="spellEnd"/>
      <w:r w:rsidRPr="007132A4">
        <w:t xml:space="preserve"> </w:t>
      </w:r>
      <w:proofErr w:type="spellStart"/>
      <w:r w:rsidRPr="007132A4">
        <w:t>rana</w:t>
      </w:r>
      <w:proofErr w:type="spellEnd"/>
      <w:r w:rsidRPr="007132A4">
        <w:t xml:space="preserve">“ a za řádově deset dní bude zahájena i sklizeň nejrozšířenější odrůdy „Stanley“. Rané odrůdy se letos vykupují v rozmezí 0,09 - 0,13 EUR/kg. U odrůdy „Stanley“, která je více ceněná, se očekává, že letošní cena bude o něco nižší než loňských cca 0,34 EUR/kg. Pěstitelé švestek jsou však spekulacemi ohledně nízkých výkupních cen rozhořčeni, protože jim nepokrývají ani výrobní náklady, a mají obavy, že řada švestek zůstane nesklizena. Podobná situace nastala již u letošní úrody třešní, kdy kvůli nízké výkupní ceně a drahé pracovní síle někteří srbští pěstitelé část úrody nechali napospas přírodě. Odhady nízké výkupní ceny švestek nedávají logiku, protože kvůli nepříznivému počasí, především velkému suchu, se očekává, že letošní úroda bude v porovnání s loňskou úrodou o </w:t>
      </w:r>
      <w:proofErr w:type="gramStart"/>
      <w:r w:rsidRPr="007132A4">
        <w:t>20 – 30</w:t>
      </w:r>
      <w:proofErr w:type="gramEnd"/>
      <w:r w:rsidRPr="007132A4">
        <w:t xml:space="preserve"> % menší. Nižší výkupní cena švestek by naopak mohla být zajímavá pro české firmy, které v Srbsku nakupují jak čerstvé plody</w:t>
      </w:r>
      <w:r w:rsidR="00D55D6C">
        <w:t>,</w:t>
      </w:r>
      <w:r w:rsidRPr="007132A4">
        <w:t xml:space="preserve"> tak zpracované švestky v podobě švestkového destilátu.  V roce 2021 se ze Srbska do České republiky dovezlo 2 tisíce tun švestek za více než </w:t>
      </w:r>
      <w:r w:rsidR="00D55D6C">
        <w:t>23 mil. Kč a cca</w:t>
      </w:r>
      <w:r w:rsidRPr="007132A4">
        <w:t xml:space="preserve"> 60 tun</w:t>
      </w:r>
      <w:r w:rsidR="00D55D6C">
        <w:t xml:space="preserve"> destilátu za řádově 8,4 mil.</w:t>
      </w:r>
      <w:r w:rsidRPr="007132A4">
        <w:t xml:space="preserve"> Kč.</w:t>
      </w:r>
    </w:p>
    <w:p w14:paraId="48982BE9" w14:textId="77777777" w:rsidR="007132A4" w:rsidRPr="007132A4" w:rsidRDefault="007132A4" w:rsidP="007132A4">
      <w:pPr>
        <w:pStyle w:val="Nadpis3"/>
        <w:spacing w:line="276" w:lineRule="auto"/>
      </w:pPr>
      <w:r w:rsidRPr="007132A4">
        <w:lastRenderedPageBreak/>
        <w:t xml:space="preserve">ČERNÁ HORA – ruský výrobce vodky </w:t>
      </w:r>
      <w:proofErr w:type="spellStart"/>
      <w:r w:rsidRPr="007132A4">
        <w:t>Beluga</w:t>
      </w:r>
      <w:proofErr w:type="spellEnd"/>
      <w:r w:rsidRPr="007132A4">
        <w:t xml:space="preserve"> koupil </w:t>
      </w:r>
      <w:proofErr w:type="spellStart"/>
      <w:r w:rsidRPr="007132A4">
        <w:t>destilérku</w:t>
      </w:r>
      <w:proofErr w:type="spellEnd"/>
      <w:r w:rsidRPr="007132A4">
        <w:t xml:space="preserve"> společnosti </w:t>
      </w:r>
      <w:proofErr w:type="spellStart"/>
      <w:r w:rsidRPr="007132A4">
        <w:t>Neksan</w:t>
      </w:r>
      <w:proofErr w:type="spellEnd"/>
    </w:p>
    <w:p w14:paraId="10D9723F" w14:textId="77777777" w:rsidR="00524BA5" w:rsidRPr="007132A4" w:rsidRDefault="007132A4" w:rsidP="007132A4">
      <w:pPr>
        <w:spacing w:line="276" w:lineRule="auto"/>
        <w:jc w:val="both"/>
      </w:pPr>
      <w:r w:rsidRPr="007132A4">
        <w:t xml:space="preserve">Jak v těchto dnech uvedl regionální tisk, Aleksandr </w:t>
      </w:r>
      <w:proofErr w:type="spellStart"/>
      <w:r w:rsidRPr="007132A4">
        <w:t>Mečetin</w:t>
      </w:r>
      <w:proofErr w:type="spellEnd"/>
      <w:r w:rsidRPr="007132A4">
        <w:t>, majitel ruské společnosti „</w:t>
      </w:r>
      <w:proofErr w:type="spellStart"/>
      <w:r w:rsidRPr="007132A4">
        <w:t>Beluga</w:t>
      </w:r>
      <w:proofErr w:type="spellEnd"/>
      <w:r w:rsidRPr="007132A4">
        <w:t xml:space="preserve">“, koupil černohorskou </w:t>
      </w:r>
      <w:proofErr w:type="spellStart"/>
      <w:r w:rsidRPr="007132A4">
        <w:t>destilérku</w:t>
      </w:r>
      <w:proofErr w:type="spellEnd"/>
      <w:r w:rsidRPr="007132A4">
        <w:t xml:space="preserve"> </w:t>
      </w:r>
      <w:proofErr w:type="spellStart"/>
      <w:r w:rsidRPr="007132A4">
        <w:t>Neksan</w:t>
      </w:r>
      <w:proofErr w:type="spellEnd"/>
      <w:r w:rsidRPr="007132A4">
        <w:t>. Firma vyrábí různé destiláty, likéry a také vína. Prodejní cena nebyla zveřejněna, ale při podpisu smlouvy, kterému byli přítomni i dva ministři vlády Černé Hory, bylo oznámeno že „</w:t>
      </w:r>
      <w:proofErr w:type="spellStart"/>
      <w:r w:rsidRPr="007132A4">
        <w:t>Beluga</w:t>
      </w:r>
      <w:proofErr w:type="spellEnd"/>
      <w:r w:rsidRPr="007132A4">
        <w:t>“ bude do modernizace provozu investovat 50 mi</w:t>
      </w:r>
      <w:r w:rsidR="00D55D6C">
        <w:t>l.</w:t>
      </w:r>
      <w:r w:rsidRPr="007132A4">
        <w:t xml:space="preserve"> EUR a bude zaměstnávat 300 lidí. To je pro město </w:t>
      </w:r>
      <w:proofErr w:type="spellStart"/>
      <w:r w:rsidRPr="007132A4">
        <w:t>Nikšić</w:t>
      </w:r>
      <w:proofErr w:type="spellEnd"/>
      <w:r w:rsidRPr="007132A4">
        <w:t xml:space="preserve">, kde se </w:t>
      </w:r>
      <w:proofErr w:type="spellStart"/>
      <w:r w:rsidRPr="007132A4">
        <w:t>destilérka</w:t>
      </w:r>
      <w:proofErr w:type="spellEnd"/>
      <w:r w:rsidRPr="007132A4">
        <w:t xml:space="preserve"> nachází, významná informace. Černohorské noviny „Dan“ uvedly, že „</w:t>
      </w:r>
      <w:proofErr w:type="spellStart"/>
      <w:r w:rsidRPr="007132A4">
        <w:t>Beluga</w:t>
      </w:r>
      <w:proofErr w:type="spellEnd"/>
      <w:r w:rsidRPr="007132A4">
        <w:t>“ je jedním z největších výrobců alkoholických nápojů v Rusku a v loňském roce měla obrat 1,2 mld. EUR. „</w:t>
      </w:r>
      <w:proofErr w:type="spellStart"/>
      <w:r w:rsidRPr="007132A4">
        <w:t>Beluga</w:t>
      </w:r>
      <w:proofErr w:type="spellEnd"/>
      <w:r w:rsidRPr="007132A4">
        <w:t>“ chce v Černé Hoře vyrábět vodku, gin a likéry. Je tak možné, že tato i v České republice známá vodka, se v budoucnosti objeví na pultech českých obchodů, tentokráte jako výrobek z Černé Hory.</w:t>
      </w:r>
    </w:p>
    <w:p w14:paraId="0100A43F" w14:textId="77777777" w:rsidR="00035FAD" w:rsidRPr="00587417" w:rsidRDefault="007A531E"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USA</w:t>
      </w:r>
    </w:p>
    <w:p w14:paraId="10A9B1B2" w14:textId="77777777" w:rsidR="006A382E" w:rsidRPr="00587417"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Ježek, Z</w:t>
      </w:r>
      <w:r w:rsidR="007A531E" w:rsidRPr="00587417">
        <w:rPr>
          <w:rFonts w:cs="Arial"/>
        </w:rPr>
        <w:t>emědělský diplomat velvyslanectví ČR ve Washingtonu, D. C., Mob: +1 202 507</w:t>
      </w:r>
      <w:r w:rsidR="005D5E3F" w:rsidRPr="00587417">
        <w:rPr>
          <w:rFonts w:cs="Arial"/>
        </w:rPr>
        <w:t xml:space="preserve">-3859, Mob.: ČR: +420 601 558 079, </w:t>
      </w:r>
      <w:r w:rsidR="00D4434C">
        <w:rPr>
          <w:rFonts w:cs="Arial"/>
        </w:rPr>
        <w:t xml:space="preserve">e-mail: </w:t>
      </w:r>
      <w:hyperlink r:id="rId9" w:history="1">
        <w:r w:rsidR="00B554B9" w:rsidRPr="00D4434C">
          <w:rPr>
            <w:rStyle w:val="Hypertextovodkaz"/>
          </w:rPr>
          <w:t>petr_jezek@mzv.cz</w:t>
        </w:r>
      </w:hyperlink>
      <w:r w:rsidR="00B554B9" w:rsidRPr="00587417">
        <w:rPr>
          <w:rFonts w:cs="Arial"/>
        </w:rPr>
        <w:t xml:space="preserve"> </w:t>
      </w:r>
    </w:p>
    <w:p w14:paraId="5912C4F8" w14:textId="77777777" w:rsidR="007132A4" w:rsidRPr="007132A4" w:rsidRDefault="007132A4" w:rsidP="007132A4">
      <w:pPr>
        <w:pStyle w:val="Nadpis3"/>
        <w:spacing w:line="276" w:lineRule="auto"/>
      </w:pPr>
      <w:r w:rsidRPr="007132A4">
        <w:t>Kvóta na vývoz hovězího masa z USA do EU plněna z poloviny</w:t>
      </w:r>
    </w:p>
    <w:p w14:paraId="401B3220" w14:textId="77777777" w:rsidR="007132A4" w:rsidRPr="007132A4" w:rsidRDefault="007132A4" w:rsidP="007132A4">
      <w:pPr>
        <w:spacing w:line="276" w:lineRule="auto"/>
        <w:jc w:val="both"/>
      </w:pPr>
      <w:r w:rsidRPr="007132A4">
        <w:t xml:space="preserve">Podle nejnovějších údajů jsou američtí vývozci schopni plnit kvótu na vysoce kvalitní hovězí maso do EU z 53 %. Pro kvótový rok 2021/22 bylo alokováno 24,2 tis. tun pro maso z USA, přičemž celkové vývozy činily 12,9 tis. tun. </w:t>
      </w:r>
    </w:p>
    <w:p w14:paraId="6E5ED77B" w14:textId="77777777" w:rsidR="007132A4" w:rsidRPr="007132A4" w:rsidRDefault="007132A4" w:rsidP="007132A4">
      <w:pPr>
        <w:spacing w:line="276" w:lineRule="auto"/>
        <w:jc w:val="both"/>
      </w:pPr>
    </w:p>
    <w:tbl>
      <w:tblPr>
        <w:tblStyle w:val="Mkatabulky"/>
        <w:tblW w:w="0" w:type="auto"/>
        <w:tblLayout w:type="fixed"/>
        <w:tblLook w:val="0000" w:firstRow="0" w:lastRow="0" w:firstColumn="0" w:lastColumn="0" w:noHBand="0" w:noVBand="0"/>
      </w:tblPr>
      <w:tblGrid>
        <w:gridCol w:w="1696"/>
        <w:gridCol w:w="1701"/>
        <w:gridCol w:w="2043"/>
        <w:gridCol w:w="1813"/>
        <w:gridCol w:w="1814"/>
      </w:tblGrid>
      <w:tr w:rsidR="007132A4" w:rsidRPr="009C103C" w14:paraId="31A78EAF" w14:textId="77777777" w:rsidTr="00DF56C3">
        <w:trPr>
          <w:trHeight w:val="88"/>
        </w:trPr>
        <w:tc>
          <w:tcPr>
            <w:tcW w:w="9067" w:type="dxa"/>
            <w:gridSpan w:val="5"/>
          </w:tcPr>
          <w:p w14:paraId="477D6C10" w14:textId="77777777" w:rsidR="007132A4" w:rsidRPr="00EA6542" w:rsidRDefault="007132A4" w:rsidP="00DF56C3">
            <w:pPr>
              <w:pStyle w:val="Default"/>
              <w:jc w:val="center"/>
              <w:rPr>
                <w:rFonts w:ascii="Arial" w:hAnsi="Arial" w:cs="Arial"/>
                <w:b/>
                <w:sz w:val="20"/>
                <w:szCs w:val="20"/>
                <w:lang w:val="cs-CZ"/>
              </w:rPr>
            </w:pPr>
            <w:r w:rsidRPr="00EA6542">
              <w:rPr>
                <w:rFonts w:ascii="Arial" w:hAnsi="Arial" w:cs="Arial"/>
                <w:b/>
                <w:sz w:val="20"/>
                <w:szCs w:val="20"/>
                <w:lang w:val="cs-CZ"/>
              </w:rPr>
              <w:t>Vývoz vysoce kvalitního hovězího masa z USA do EU (v tis. tun)</w:t>
            </w:r>
          </w:p>
        </w:tc>
      </w:tr>
      <w:tr w:rsidR="007132A4" w:rsidRPr="009C103C" w14:paraId="09FF72CA" w14:textId="77777777" w:rsidTr="00DF56C3">
        <w:trPr>
          <w:trHeight w:val="134"/>
        </w:trPr>
        <w:tc>
          <w:tcPr>
            <w:tcW w:w="1696" w:type="dxa"/>
          </w:tcPr>
          <w:p w14:paraId="0419A67F" w14:textId="77777777" w:rsidR="007132A4" w:rsidRPr="00EA6542" w:rsidRDefault="007132A4" w:rsidP="00DF56C3">
            <w:pPr>
              <w:pStyle w:val="Default"/>
              <w:jc w:val="center"/>
              <w:rPr>
                <w:rFonts w:ascii="Arial" w:hAnsi="Arial" w:cs="Arial"/>
                <w:sz w:val="20"/>
                <w:szCs w:val="20"/>
                <w:lang w:val="cs-CZ"/>
              </w:rPr>
            </w:pPr>
            <w:r w:rsidRPr="00EA6542">
              <w:rPr>
                <w:rFonts w:ascii="Arial" w:hAnsi="Arial" w:cs="Arial"/>
                <w:b/>
                <w:bCs/>
                <w:sz w:val="20"/>
                <w:szCs w:val="20"/>
                <w:lang w:val="cs-CZ"/>
              </w:rPr>
              <w:t>Období</w:t>
            </w:r>
          </w:p>
        </w:tc>
        <w:tc>
          <w:tcPr>
            <w:tcW w:w="1701" w:type="dxa"/>
          </w:tcPr>
          <w:p w14:paraId="6714FE39" w14:textId="77777777" w:rsidR="007132A4" w:rsidRPr="00EA6542" w:rsidRDefault="007132A4" w:rsidP="00DF56C3">
            <w:pPr>
              <w:pStyle w:val="Default"/>
              <w:jc w:val="center"/>
              <w:rPr>
                <w:rFonts w:ascii="Arial" w:hAnsi="Arial" w:cs="Arial"/>
                <w:sz w:val="20"/>
                <w:szCs w:val="20"/>
                <w:lang w:val="cs-CZ"/>
              </w:rPr>
            </w:pPr>
            <w:r w:rsidRPr="00EA6542">
              <w:rPr>
                <w:rFonts w:ascii="Arial" w:hAnsi="Arial" w:cs="Arial"/>
                <w:b/>
                <w:bCs/>
                <w:sz w:val="20"/>
                <w:szCs w:val="20"/>
                <w:lang w:val="cs-CZ"/>
              </w:rPr>
              <w:t>Alokace</w:t>
            </w:r>
          </w:p>
        </w:tc>
        <w:tc>
          <w:tcPr>
            <w:tcW w:w="2043" w:type="dxa"/>
          </w:tcPr>
          <w:p w14:paraId="2B69B15E" w14:textId="77777777" w:rsidR="007132A4" w:rsidRPr="00EA6542" w:rsidRDefault="007132A4" w:rsidP="00DF56C3">
            <w:pPr>
              <w:pStyle w:val="Default"/>
              <w:jc w:val="center"/>
              <w:rPr>
                <w:rFonts w:ascii="Arial" w:hAnsi="Arial" w:cs="Arial"/>
                <w:sz w:val="20"/>
                <w:szCs w:val="20"/>
                <w:lang w:val="cs-CZ"/>
              </w:rPr>
            </w:pPr>
            <w:r w:rsidRPr="00EA6542">
              <w:rPr>
                <w:rFonts w:ascii="Arial" w:hAnsi="Arial" w:cs="Arial"/>
                <w:b/>
                <w:bCs/>
                <w:sz w:val="20"/>
                <w:szCs w:val="20"/>
                <w:lang w:val="cs-CZ"/>
              </w:rPr>
              <w:t>Vývozy z USA do EU</w:t>
            </w:r>
          </w:p>
        </w:tc>
        <w:tc>
          <w:tcPr>
            <w:tcW w:w="1813" w:type="dxa"/>
          </w:tcPr>
          <w:p w14:paraId="10C622C4" w14:textId="77777777" w:rsidR="007132A4" w:rsidRPr="00EA6542" w:rsidRDefault="007132A4" w:rsidP="00DF56C3">
            <w:pPr>
              <w:pStyle w:val="Default"/>
              <w:jc w:val="center"/>
              <w:rPr>
                <w:rFonts w:ascii="Arial" w:hAnsi="Arial" w:cs="Arial"/>
                <w:sz w:val="20"/>
                <w:szCs w:val="20"/>
                <w:lang w:val="cs-CZ"/>
              </w:rPr>
            </w:pPr>
            <w:r w:rsidRPr="00EA6542">
              <w:rPr>
                <w:rFonts w:ascii="Arial" w:hAnsi="Arial" w:cs="Arial"/>
                <w:b/>
                <w:bCs/>
                <w:sz w:val="20"/>
                <w:szCs w:val="20"/>
                <w:lang w:val="cs-CZ"/>
              </w:rPr>
              <w:t>Nevyužitá kvóta</w:t>
            </w:r>
          </w:p>
        </w:tc>
        <w:tc>
          <w:tcPr>
            <w:tcW w:w="1814" w:type="dxa"/>
          </w:tcPr>
          <w:p w14:paraId="1C3074D9" w14:textId="77777777" w:rsidR="007132A4" w:rsidRPr="00EA6542" w:rsidRDefault="007132A4" w:rsidP="00DF56C3">
            <w:pPr>
              <w:pStyle w:val="Default"/>
              <w:jc w:val="center"/>
              <w:rPr>
                <w:rFonts w:ascii="Arial" w:hAnsi="Arial" w:cs="Arial"/>
                <w:b/>
                <w:bCs/>
                <w:sz w:val="20"/>
                <w:szCs w:val="20"/>
                <w:lang w:val="cs-CZ"/>
              </w:rPr>
            </w:pPr>
            <w:r w:rsidRPr="00EA6542">
              <w:rPr>
                <w:rFonts w:ascii="Arial" w:hAnsi="Arial" w:cs="Arial"/>
                <w:b/>
                <w:bCs/>
                <w:sz w:val="20"/>
                <w:szCs w:val="20"/>
                <w:lang w:val="cs-CZ"/>
              </w:rPr>
              <w:t>% využití</w:t>
            </w:r>
          </w:p>
        </w:tc>
      </w:tr>
      <w:tr w:rsidR="007132A4" w:rsidRPr="009C103C" w14:paraId="461F6A4C" w14:textId="77777777" w:rsidTr="00DF56C3">
        <w:trPr>
          <w:trHeight w:val="90"/>
        </w:trPr>
        <w:tc>
          <w:tcPr>
            <w:tcW w:w="1696" w:type="dxa"/>
          </w:tcPr>
          <w:p w14:paraId="27E36D93" w14:textId="77777777" w:rsidR="007132A4" w:rsidRPr="00EA6542" w:rsidRDefault="007132A4" w:rsidP="00DF56C3">
            <w:pPr>
              <w:pStyle w:val="Default"/>
              <w:rPr>
                <w:rFonts w:ascii="Arial" w:hAnsi="Arial" w:cs="Arial"/>
                <w:sz w:val="20"/>
                <w:szCs w:val="20"/>
                <w:lang w:val="cs-CZ"/>
              </w:rPr>
            </w:pPr>
            <w:r w:rsidRPr="00EA6542">
              <w:rPr>
                <w:rFonts w:ascii="Arial" w:hAnsi="Arial" w:cs="Arial"/>
                <w:sz w:val="20"/>
                <w:szCs w:val="20"/>
                <w:lang w:val="cs-CZ"/>
              </w:rPr>
              <w:t xml:space="preserve">čtvrtletí 1 </w:t>
            </w:r>
          </w:p>
        </w:tc>
        <w:tc>
          <w:tcPr>
            <w:tcW w:w="1701" w:type="dxa"/>
          </w:tcPr>
          <w:p w14:paraId="5AEF7119" w14:textId="77777777" w:rsidR="007132A4" w:rsidRPr="00EA6542" w:rsidRDefault="007132A4" w:rsidP="00DF56C3">
            <w:pPr>
              <w:pStyle w:val="Default"/>
              <w:jc w:val="right"/>
              <w:rPr>
                <w:rFonts w:ascii="Arial" w:hAnsi="Arial" w:cs="Arial"/>
                <w:sz w:val="20"/>
                <w:szCs w:val="20"/>
                <w:lang w:val="cs-CZ"/>
              </w:rPr>
            </w:pPr>
            <w:r w:rsidRPr="00EA6542">
              <w:rPr>
                <w:rFonts w:ascii="Arial" w:hAnsi="Arial" w:cs="Arial"/>
                <w:sz w:val="20"/>
                <w:szCs w:val="20"/>
                <w:lang w:val="cs-CZ"/>
              </w:rPr>
              <w:t xml:space="preserve">5 750  </w:t>
            </w:r>
          </w:p>
        </w:tc>
        <w:tc>
          <w:tcPr>
            <w:tcW w:w="2043" w:type="dxa"/>
          </w:tcPr>
          <w:p w14:paraId="2ED2BDF9" w14:textId="77777777" w:rsidR="007132A4" w:rsidRPr="00EA6542" w:rsidRDefault="007132A4" w:rsidP="00DF56C3">
            <w:pPr>
              <w:pStyle w:val="Default"/>
              <w:jc w:val="right"/>
              <w:rPr>
                <w:rFonts w:ascii="Arial" w:hAnsi="Arial" w:cs="Arial"/>
                <w:sz w:val="20"/>
                <w:szCs w:val="20"/>
                <w:lang w:val="cs-CZ"/>
              </w:rPr>
            </w:pPr>
            <w:r w:rsidRPr="00EA6542">
              <w:rPr>
                <w:rFonts w:ascii="Arial" w:hAnsi="Arial" w:cs="Arial"/>
                <w:sz w:val="20"/>
                <w:szCs w:val="20"/>
                <w:lang w:val="cs-CZ"/>
              </w:rPr>
              <w:t xml:space="preserve">2 998,27  </w:t>
            </w:r>
          </w:p>
        </w:tc>
        <w:tc>
          <w:tcPr>
            <w:tcW w:w="1813" w:type="dxa"/>
          </w:tcPr>
          <w:p w14:paraId="65CED6E4" w14:textId="77777777" w:rsidR="007132A4" w:rsidRPr="00EA6542" w:rsidRDefault="007132A4" w:rsidP="00DF56C3">
            <w:pPr>
              <w:pStyle w:val="Default"/>
              <w:jc w:val="right"/>
              <w:rPr>
                <w:rFonts w:ascii="Arial" w:hAnsi="Arial" w:cs="Arial"/>
                <w:sz w:val="20"/>
                <w:szCs w:val="20"/>
                <w:lang w:val="cs-CZ"/>
              </w:rPr>
            </w:pPr>
            <w:r w:rsidRPr="00EA6542">
              <w:rPr>
                <w:rFonts w:ascii="Arial" w:hAnsi="Arial" w:cs="Arial"/>
                <w:sz w:val="20"/>
                <w:szCs w:val="20"/>
                <w:lang w:val="cs-CZ"/>
              </w:rPr>
              <w:t xml:space="preserve">2 751,73  </w:t>
            </w:r>
          </w:p>
        </w:tc>
        <w:tc>
          <w:tcPr>
            <w:tcW w:w="1814" w:type="dxa"/>
          </w:tcPr>
          <w:p w14:paraId="4B16D613" w14:textId="77777777" w:rsidR="007132A4" w:rsidRPr="00EA6542" w:rsidRDefault="007132A4" w:rsidP="00DF56C3">
            <w:pPr>
              <w:pStyle w:val="Default"/>
              <w:jc w:val="right"/>
              <w:rPr>
                <w:rFonts w:ascii="Arial" w:hAnsi="Arial" w:cs="Arial"/>
                <w:sz w:val="20"/>
                <w:szCs w:val="20"/>
                <w:lang w:val="cs-CZ"/>
              </w:rPr>
            </w:pPr>
            <w:r w:rsidRPr="00EA6542">
              <w:rPr>
                <w:rFonts w:ascii="Arial" w:hAnsi="Arial" w:cs="Arial"/>
                <w:sz w:val="20"/>
                <w:szCs w:val="20"/>
                <w:lang w:val="cs-CZ"/>
              </w:rPr>
              <w:t>52,1</w:t>
            </w:r>
          </w:p>
        </w:tc>
      </w:tr>
      <w:tr w:rsidR="007132A4" w:rsidRPr="009C103C" w14:paraId="323FBD64" w14:textId="77777777" w:rsidTr="00DF56C3">
        <w:trPr>
          <w:trHeight w:val="90"/>
        </w:trPr>
        <w:tc>
          <w:tcPr>
            <w:tcW w:w="1696" w:type="dxa"/>
          </w:tcPr>
          <w:p w14:paraId="3E3DC5D1" w14:textId="77777777" w:rsidR="007132A4" w:rsidRPr="00EA6542" w:rsidRDefault="007132A4" w:rsidP="00DF56C3">
            <w:pPr>
              <w:pStyle w:val="Default"/>
              <w:rPr>
                <w:rFonts w:ascii="Arial" w:hAnsi="Arial" w:cs="Arial"/>
                <w:sz w:val="20"/>
                <w:szCs w:val="20"/>
                <w:lang w:val="cs-CZ"/>
              </w:rPr>
            </w:pPr>
            <w:r w:rsidRPr="00EA6542">
              <w:rPr>
                <w:rFonts w:ascii="Arial" w:hAnsi="Arial" w:cs="Arial"/>
                <w:sz w:val="20"/>
                <w:szCs w:val="20"/>
                <w:lang w:val="cs-CZ"/>
              </w:rPr>
              <w:t xml:space="preserve">čtvrtletí 2 </w:t>
            </w:r>
          </w:p>
        </w:tc>
        <w:tc>
          <w:tcPr>
            <w:tcW w:w="1701" w:type="dxa"/>
          </w:tcPr>
          <w:p w14:paraId="62DAC574" w14:textId="77777777" w:rsidR="007132A4" w:rsidRPr="00EA6542" w:rsidRDefault="007132A4" w:rsidP="00DF56C3">
            <w:pPr>
              <w:pStyle w:val="Default"/>
              <w:jc w:val="right"/>
              <w:rPr>
                <w:rFonts w:ascii="Arial" w:hAnsi="Arial" w:cs="Arial"/>
                <w:sz w:val="20"/>
                <w:szCs w:val="20"/>
                <w:lang w:val="cs-CZ"/>
              </w:rPr>
            </w:pPr>
            <w:r w:rsidRPr="00EA6542">
              <w:rPr>
                <w:rFonts w:ascii="Arial" w:hAnsi="Arial" w:cs="Arial"/>
                <w:sz w:val="20"/>
                <w:szCs w:val="20"/>
                <w:lang w:val="cs-CZ"/>
              </w:rPr>
              <w:t xml:space="preserve">5 750  </w:t>
            </w:r>
          </w:p>
        </w:tc>
        <w:tc>
          <w:tcPr>
            <w:tcW w:w="2043" w:type="dxa"/>
          </w:tcPr>
          <w:p w14:paraId="7DD5EDDF" w14:textId="77777777" w:rsidR="007132A4" w:rsidRPr="00EA6542" w:rsidRDefault="007132A4" w:rsidP="00DF56C3">
            <w:pPr>
              <w:pStyle w:val="Default"/>
              <w:jc w:val="right"/>
              <w:rPr>
                <w:rFonts w:ascii="Arial" w:hAnsi="Arial" w:cs="Arial"/>
                <w:sz w:val="20"/>
                <w:szCs w:val="20"/>
                <w:lang w:val="cs-CZ"/>
              </w:rPr>
            </w:pPr>
            <w:r w:rsidRPr="00EA6542">
              <w:rPr>
                <w:rFonts w:ascii="Arial" w:hAnsi="Arial" w:cs="Arial"/>
                <w:sz w:val="20"/>
                <w:szCs w:val="20"/>
                <w:lang w:val="cs-CZ"/>
              </w:rPr>
              <w:t xml:space="preserve">3 558,97  </w:t>
            </w:r>
          </w:p>
        </w:tc>
        <w:tc>
          <w:tcPr>
            <w:tcW w:w="1813" w:type="dxa"/>
          </w:tcPr>
          <w:p w14:paraId="13137216" w14:textId="77777777" w:rsidR="007132A4" w:rsidRPr="00EA6542" w:rsidRDefault="007132A4" w:rsidP="00DF56C3">
            <w:pPr>
              <w:pStyle w:val="Default"/>
              <w:jc w:val="right"/>
              <w:rPr>
                <w:rFonts w:ascii="Arial" w:hAnsi="Arial" w:cs="Arial"/>
                <w:sz w:val="20"/>
                <w:szCs w:val="20"/>
                <w:lang w:val="cs-CZ"/>
              </w:rPr>
            </w:pPr>
            <w:r w:rsidRPr="00EA6542">
              <w:rPr>
                <w:rFonts w:ascii="Arial" w:hAnsi="Arial" w:cs="Arial"/>
                <w:sz w:val="20"/>
                <w:szCs w:val="20"/>
                <w:lang w:val="cs-CZ"/>
              </w:rPr>
              <w:t xml:space="preserve">2 191,03  </w:t>
            </w:r>
          </w:p>
        </w:tc>
        <w:tc>
          <w:tcPr>
            <w:tcW w:w="1814" w:type="dxa"/>
          </w:tcPr>
          <w:p w14:paraId="6C0C6306" w14:textId="77777777" w:rsidR="007132A4" w:rsidRPr="00EA6542" w:rsidRDefault="007132A4" w:rsidP="00DF56C3">
            <w:pPr>
              <w:pStyle w:val="Default"/>
              <w:jc w:val="right"/>
              <w:rPr>
                <w:rFonts w:ascii="Arial" w:hAnsi="Arial" w:cs="Arial"/>
                <w:sz w:val="20"/>
                <w:szCs w:val="20"/>
                <w:lang w:val="cs-CZ"/>
              </w:rPr>
            </w:pPr>
            <w:r w:rsidRPr="00EA6542">
              <w:rPr>
                <w:rFonts w:ascii="Arial" w:hAnsi="Arial" w:cs="Arial"/>
                <w:sz w:val="20"/>
                <w:szCs w:val="20"/>
                <w:lang w:val="cs-CZ"/>
              </w:rPr>
              <w:t>61,9</w:t>
            </w:r>
          </w:p>
        </w:tc>
      </w:tr>
      <w:tr w:rsidR="007132A4" w:rsidRPr="009C103C" w14:paraId="483CC4DD" w14:textId="77777777" w:rsidTr="00DF56C3">
        <w:trPr>
          <w:trHeight w:val="90"/>
        </w:trPr>
        <w:tc>
          <w:tcPr>
            <w:tcW w:w="1696" w:type="dxa"/>
          </w:tcPr>
          <w:p w14:paraId="5251617F" w14:textId="77777777" w:rsidR="007132A4" w:rsidRPr="00EA6542" w:rsidRDefault="007132A4" w:rsidP="00DF56C3">
            <w:pPr>
              <w:pStyle w:val="Default"/>
              <w:rPr>
                <w:rFonts w:ascii="Arial" w:hAnsi="Arial" w:cs="Arial"/>
                <w:sz w:val="20"/>
                <w:szCs w:val="20"/>
                <w:lang w:val="cs-CZ"/>
              </w:rPr>
            </w:pPr>
            <w:r w:rsidRPr="00EA6542">
              <w:rPr>
                <w:rFonts w:ascii="Arial" w:hAnsi="Arial" w:cs="Arial"/>
                <w:sz w:val="20"/>
                <w:szCs w:val="20"/>
                <w:lang w:val="cs-CZ"/>
              </w:rPr>
              <w:t xml:space="preserve">čtvrtletí 3 </w:t>
            </w:r>
          </w:p>
        </w:tc>
        <w:tc>
          <w:tcPr>
            <w:tcW w:w="1701" w:type="dxa"/>
          </w:tcPr>
          <w:p w14:paraId="17161982" w14:textId="77777777" w:rsidR="007132A4" w:rsidRPr="00EA6542" w:rsidRDefault="007132A4" w:rsidP="00DF56C3">
            <w:pPr>
              <w:pStyle w:val="Default"/>
              <w:jc w:val="right"/>
              <w:rPr>
                <w:rFonts w:ascii="Arial" w:hAnsi="Arial" w:cs="Arial"/>
                <w:sz w:val="20"/>
                <w:szCs w:val="20"/>
                <w:lang w:val="cs-CZ"/>
              </w:rPr>
            </w:pPr>
            <w:r w:rsidRPr="00EA6542">
              <w:rPr>
                <w:rFonts w:ascii="Arial" w:hAnsi="Arial" w:cs="Arial"/>
                <w:sz w:val="20"/>
                <w:szCs w:val="20"/>
                <w:lang w:val="cs-CZ"/>
              </w:rPr>
              <w:t xml:space="preserve">6 350  </w:t>
            </w:r>
          </w:p>
        </w:tc>
        <w:tc>
          <w:tcPr>
            <w:tcW w:w="2043" w:type="dxa"/>
          </w:tcPr>
          <w:p w14:paraId="45DD57EF" w14:textId="77777777" w:rsidR="007132A4" w:rsidRPr="00EA6542" w:rsidRDefault="007132A4" w:rsidP="00DF56C3">
            <w:pPr>
              <w:pStyle w:val="Default"/>
              <w:jc w:val="right"/>
              <w:rPr>
                <w:rFonts w:ascii="Arial" w:hAnsi="Arial" w:cs="Arial"/>
                <w:sz w:val="20"/>
                <w:szCs w:val="20"/>
                <w:lang w:val="cs-CZ"/>
              </w:rPr>
            </w:pPr>
            <w:r w:rsidRPr="00EA6542">
              <w:rPr>
                <w:rFonts w:ascii="Arial" w:hAnsi="Arial" w:cs="Arial"/>
                <w:sz w:val="20"/>
                <w:szCs w:val="20"/>
                <w:lang w:val="cs-CZ"/>
              </w:rPr>
              <w:t xml:space="preserve">2 437,93  </w:t>
            </w:r>
          </w:p>
        </w:tc>
        <w:tc>
          <w:tcPr>
            <w:tcW w:w="1813" w:type="dxa"/>
          </w:tcPr>
          <w:p w14:paraId="57833F25" w14:textId="77777777" w:rsidR="007132A4" w:rsidRPr="00EA6542" w:rsidRDefault="007132A4" w:rsidP="00DF56C3">
            <w:pPr>
              <w:pStyle w:val="Default"/>
              <w:jc w:val="right"/>
              <w:rPr>
                <w:rFonts w:ascii="Arial" w:hAnsi="Arial" w:cs="Arial"/>
                <w:sz w:val="20"/>
                <w:szCs w:val="20"/>
                <w:lang w:val="cs-CZ"/>
              </w:rPr>
            </w:pPr>
            <w:r w:rsidRPr="00EA6542">
              <w:rPr>
                <w:rFonts w:ascii="Arial" w:hAnsi="Arial" w:cs="Arial"/>
                <w:sz w:val="20"/>
                <w:szCs w:val="20"/>
                <w:lang w:val="cs-CZ"/>
              </w:rPr>
              <w:t xml:space="preserve">3 912,07  </w:t>
            </w:r>
          </w:p>
        </w:tc>
        <w:tc>
          <w:tcPr>
            <w:tcW w:w="1814" w:type="dxa"/>
          </w:tcPr>
          <w:p w14:paraId="611A47AE" w14:textId="77777777" w:rsidR="007132A4" w:rsidRPr="00EA6542" w:rsidRDefault="007132A4" w:rsidP="00DF56C3">
            <w:pPr>
              <w:pStyle w:val="Default"/>
              <w:jc w:val="right"/>
              <w:rPr>
                <w:rFonts w:ascii="Arial" w:hAnsi="Arial" w:cs="Arial"/>
                <w:sz w:val="20"/>
                <w:szCs w:val="20"/>
                <w:lang w:val="cs-CZ"/>
              </w:rPr>
            </w:pPr>
            <w:r w:rsidRPr="00EA6542">
              <w:rPr>
                <w:rFonts w:ascii="Arial" w:hAnsi="Arial" w:cs="Arial"/>
                <w:sz w:val="20"/>
                <w:szCs w:val="20"/>
                <w:lang w:val="cs-CZ"/>
              </w:rPr>
              <w:t>38,4</w:t>
            </w:r>
          </w:p>
        </w:tc>
      </w:tr>
      <w:tr w:rsidR="007132A4" w:rsidRPr="009C103C" w14:paraId="40E8EBED" w14:textId="77777777" w:rsidTr="00DF56C3">
        <w:trPr>
          <w:trHeight w:val="90"/>
        </w:trPr>
        <w:tc>
          <w:tcPr>
            <w:tcW w:w="1696" w:type="dxa"/>
          </w:tcPr>
          <w:p w14:paraId="5E592647" w14:textId="77777777" w:rsidR="007132A4" w:rsidRPr="00EA6542" w:rsidRDefault="007132A4" w:rsidP="00DF56C3">
            <w:pPr>
              <w:pStyle w:val="Default"/>
              <w:rPr>
                <w:rFonts w:ascii="Arial" w:hAnsi="Arial" w:cs="Arial"/>
                <w:sz w:val="20"/>
                <w:szCs w:val="20"/>
                <w:lang w:val="cs-CZ"/>
              </w:rPr>
            </w:pPr>
            <w:r w:rsidRPr="00EA6542">
              <w:rPr>
                <w:rFonts w:ascii="Arial" w:hAnsi="Arial" w:cs="Arial"/>
                <w:sz w:val="20"/>
                <w:szCs w:val="20"/>
                <w:lang w:val="cs-CZ"/>
              </w:rPr>
              <w:t xml:space="preserve">čtvrtletí 4 </w:t>
            </w:r>
          </w:p>
        </w:tc>
        <w:tc>
          <w:tcPr>
            <w:tcW w:w="1701" w:type="dxa"/>
          </w:tcPr>
          <w:p w14:paraId="1D1E6363" w14:textId="77777777" w:rsidR="007132A4" w:rsidRPr="00EA6542" w:rsidRDefault="007132A4" w:rsidP="00DF56C3">
            <w:pPr>
              <w:pStyle w:val="Default"/>
              <w:jc w:val="right"/>
              <w:rPr>
                <w:rFonts w:ascii="Arial" w:hAnsi="Arial" w:cs="Arial"/>
                <w:sz w:val="20"/>
                <w:szCs w:val="20"/>
                <w:lang w:val="cs-CZ"/>
              </w:rPr>
            </w:pPr>
            <w:r w:rsidRPr="00EA6542">
              <w:rPr>
                <w:rFonts w:ascii="Arial" w:hAnsi="Arial" w:cs="Arial"/>
                <w:sz w:val="20"/>
                <w:szCs w:val="20"/>
                <w:lang w:val="cs-CZ"/>
              </w:rPr>
              <w:t xml:space="preserve">6 350  </w:t>
            </w:r>
          </w:p>
        </w:tc>
        <w:tc>
          <w:tcPr>
            <w:tcW w:w="2043" w:type="dxa"/>
          </w:tcPr>
          <w:p w14:paraId="31D78E87" w14:textId="77777777" w:rsidR="007132A4" w:rsidRPr="00EA6542" w:rsidRDefault="007132A4" w:rsidP="00DF56C3">
            <w:pPr>
              <w:pStyle w:val="Default"/>
              <w:jc w:val="right"/>
              <w:rPr>
                <w:rFonts w:ascii="Arial" w:hAnsi="Arial" w:cs="Arial"/>
                <w:sz w:val="20"/>
                <w:szCs w:val="20"/>
                <w:lang w:val="cs-CZ"/>
              </w:rPr>
            </w:pPr>
            <w:r w:rsidRPr="00EA6542">
              <w:rPr>
                <w:rFonts w:ascii="Arial" w:hAnsi="Arial" w:cs="Arial"/>
                <w:sz w:val="20"/>
                <w:szCs w:val="20"/>
                <w:lang w:val="cs-CZ"/>
              </w:rPr>
              <w:t xml:space="preserve">3 928,22  </w:t>
            </w:r>
          </w:p>
        </w:tc>
        <w:tc>
          <w:tcPr>
            <w:tcW w:w="1813" w:type="dxa"/>
          </w:tcPr>
          <w:p w14:paraId="3583A869" w14:textId="77777777" w:rsidR="007132A4" w:rsidRPr="00EA6542" w:rsidRDefault="007132A4" w:rsidP="00DF56C3">
            <w:pPr>
              <w:pStyle w:val="Default"/>
              <w:jc w:val="right"/>
              <w:rPr>
                <w:rFonts w:ascii="Arial" w:hAnsi="Arial" w:cs="Arial"/>
                <w:sz w:val="20"/>
                <w:szCs w:val="20"/>
                <w:lang w:val="cs-CZ"/>
              </w:rPr>
            </w:pPr>
            <w:r w:rsidRPr="00EA6542">
              <w:rPr>
                <w:rFonts w:ascii="Arial" w:hAnsi="Arial" w:cs="Arial"/>
                <w:sz w:val="20"/>
                <w:szCs w:val="20"/>
                <w:lang w:val="cs-CZ"/>
              </w:rPr>
              <w:t xml:space="preserve">2 421,78  </w:t>
            </w:r>
          </w:p>
        </w:tc>
        <w:tc>
          <w:tcPr>
            <w:tcW w:w="1814" w:type="dxa"/>
          </w:tcPr>
          <w:p w14:paraId="16E0960B" w14:textId="77777777" w:rsidR="007132A4" w:rsidRPr="00EA6542" w:rsidRDefault="007132A4" w:rsidP="00DF56C3">
            <w:pPr>
              <w:pStyle w:val="Default"/>
              <w:jc w:val="right"/>
              <w:rPr>
                <w:rFonts w:ascii="Arial" w:hAnsi="Arial" w:cs="Arial"/>
                <w:sz w:val="20"/>
                <w:szCs w:val="20"/>
                <w:lang w:val="cs-CZ"/>
              </w:rPr>
            </w:pPr>
            <w:r w:rsidRPr="00EA6542">
              <w:rPr>
                <w:rFonts w:ascii="Arial" w:hAnsi="Arial" w:cs="Arial"/>
                <w:sz w:val="20"/>
                <w:szCs w:val="20"/>
                <w:lang w:val="cs-CZ"/>
              </w:rPr>
              <w:t>61,9</w:t>
            </w:r>
          </w:p>
        </w:tc>
      </w:tr>
      <w:tr w:rsidR="007132A4" w:rsidRPr="009C103C" w14:paraId="3EE6B71F" w14:textId="77777777" w:rsidTr="00DF56C3">
        <w:trPr>
          <w:trHeight w:val="88"/>
        </w:trPr>
        <w:tc>
          <w:tcPr>
            <w:tcW w:w="1696" w:type="dxa"/>
          </w:tcPr>
          <w:p w14:paraId="42AFCB53" w14:textId="77777777" w:rsidR="007132A4" w:rsidRPr="00EA6542" w:rsidRDefault="007132A4" w:rsidP="00DF56C3">
            <w:pPr>
              <w:pStyle w:val="Default"/>
              <w:rPr>
                <w:rFonts w:ascii="Arial" w:hAnsi="Arial" w:cs="Arial"/>
                <w:sz w:val="20"/>
                <w:szCs w:val="20"/>
                <w:lang w:val="cs-CZ"/>
              </w:rPr>
            </w:pPr>
            <w:r w:rsidRPr="00EA6542">
              <w:rPr>
                <w:rFonts w:ascii="Arial" w:hAnsi="Arial" w:cs="Arial"/>
                <w:b/>
                <w:bCs/>
                <w:sz w:val="20"/>
                <w:szCs w:val="20"/>
                <w:lang w:val="cs-CZ"/>
              </w:rPr>
              <w:t xml:space="preserve">Celkem 2021/22 </w:t>
            </w:r>
          </w:p>
        </w:tc>
        <w:tc>
          <w:tcPr>
            <w:tcW w:w="1701" w:type="dxa"/>
          </w:tcPr>
          <w:p w14:paraId="6D17FC07" w14:textId="77777777" w:rsidR="007132A4" w:rsidRPr="00EA6542" w:rsidRDefault="007132A4" w:rsidP="00DF56C3">
            <w:pPr>
              <w:pStyle w:val="Default"/>
              <w:jc w:val="right"/>
              <w:rPr>
                <w:rFonts w:ascii="Arial" w:hAnsi="Arial" w:cs="Arial"/>
                <w:sz w:val="20"/>
                <w:szCs w:val="20"/>
                <w:lang w:val="cs-CZ"/>
              </w:rPr>
            </w:pPr>
            <w:r w:rsidRPr="00EA6542">
              <w:rPr>
                <w:rFonts w:ascii="Arial" w:hAnsi="Arial" w:cs="Arial"/>
                <w:b/>
                <w:bCs/>
                <w:sz w:val="20"/>
                <w:szCs w:val="20"/>
                <w:lang w:val="cs-CZ"/>
              </w:rPr>
              <w:t xml:space="preserve">24 200  </w:t>
            </w:r>
          </w:p>
        </w:tc>
        <w:tc>
          <w:tcPr>
            <w:tcW w:w="2043" w:type="dxa"/>
          </w:tcPr>
          <w:p w14:paraId="4C2C8051" w14:textId="77777777" w:rsidR="007132A4" w:rsidRPr="00EA6542" w:rsidRDefault="007132A4" w:rsidP="00DF56C3">
            <w:pPr>
              <w:pStyle w:val="Default"/>
              <w:jc w:val="right"/>
              <w:rPr>
                <w:rFonts w:ascii="Arial" w:hAnsi="Arial" w:cs="Arial"/>
                <w:sz w:val="20"/>
                <w:szCs w:val="20"/>
                <w:lang w:val="cs-CZ"/>
              </w:rPr>
            </w:pPr>
            <w:r w:rsidRPr="00EA6542">
              <w:rPr>
                <w:rFonts w:ascii="Arial" w:hAnsi="Arial" w:cs="Arial"/>
                <w:b/>
                <w:bCs/>
                <w:sz w:val="20"/>
                <w:szCs w:val="20"/>
                <w:lang w:val="cs-CZ"/>
              </w:rPr>
              <w:t xml:space="preserve">12 923,39  </w:t>
            </w:r>
          </w:p>
        </w:tc>
        <w:tc>
          <w:tcPr>
            <w:tcW w:w="1813" w:type="dxa"/>
          </w:tcPr>
          <w:p w14:paraId="6243934B" w14:textId="77777777" w:rsidR="007132A4" w:rsidRPr="00EA6542" w:rsidRDefault="007132A4" w:rsidP="00DF56C3">
            <w:pPr>
              <w:pStyle w:val="Default"/>
              <w:jc w:val="right"/>
              <w:rPr>
                <w:rFonts w:ascii="Arial" w:hAnsi="Arial" w:cs="Arial"/>
                <w:sz w:val="20"/>
                <w:szCs w:val="20"/>
                <w:lang w:val="cs-CZ"/>
              </w:rPr>
            </w:pPr>
            <w:r w:rsidRPr="00EA6542">
              <w:rPr>
                <w:rFonts w:ascii="Arial" w:hAnsi="Arial" w:cs="Arial"/>
                <w:b/>
                <w:bCs/>
                <w:sz w:val="20"/>
                <w:szCs w:val="20"/>
                <w:lang w:val="cs-CZ"/>
              </w:rPr>
              <w:t xml:space="preserve">11 276,61  </w:t>
            </w:r>
          </w:p>
        </w:tc>
        <w:tc>
          <w:tcPr>
            <w:tcW w:w="1814" w:type="dxa"/>
          </w:tcPr>
          <w:p w14:paraId="5576855A" w14:textId="77777777" w:rsidR="007132A4" w:rsidRPr="00EA6542" w:rsidRDefault="007132A4" w:rsidP="00DF56C3">
            <w:pPr>
              <w:pStyle w:val="Default"/>
              <w:jc w:val="right"/>
              <w:rPr>
                <w:rFonts w:ascii="Arial" w:hAnsi="Arial" w:cs="Arial"/>
                <w:b/>
                <w:bCs/>
                <w:sz w:val="20"/>
                <w:szCs w:val="20"/>
                <w:lang w:val="cs-CZ"/>
              </w:rPr>
            </w:pPr>
            <w:r w:rsidRPr="00EA6542">
              <w:rPr>
                <w:rFonts w:ascii="Arial" w:hAnsi="Arial" w:cs="Arial"/>
                <w:b/>
                <w:sz w:val="20"/>
                <w:szCs w:val="20"/>
                <w:lang w:val="cs-CZ"/>
              </w:rPr>
              <w:t>53,4</w:t>
            </w:r>
          </w:p>
        </w:tc>
      </w:tr>
    </w:tbl>
    <w:p w14:paraId="340BE98B" w14:textId="77777777" w:rsidR="007132A4" w:rsidRPr="009C103C" w:rsidRDefault="007132A4" w:rsidP="007132A4">
      <w:pPr>
        <w:spacing w:after="120" w:line="240" w:lineRule="exact"/>
        <w:rPr>
          <w:rFonts w:cs="Arial"/>
          <w:i/>
          <w:sz w:val="20"/>
          <w:szCs w:val="20"/>
        </w:rPr>
      </w:pPr>
      <w:r w:rsidRPr="009C103C">
        <w:rPr>
          <w:rFonts w:cs="Arial"/>
          <w:i/>
          <w:sz w:val="20"/>
          <w:szCs w:val="20"/>
        </w:rPr>
        <w:t>Zdroj: USDA</w:t>
      </w:r>
    </w:p>
    <w:p w14:paraId="480B45B3" w14:textId="77777777" w:rsidR="007132A4" w:rsidRPr="007132A4" w:rsidRDefault="007132A4" w:rsidP="007132A4">
      <w:pPr>
        <w:spacing w:line="276" w:lineRule="auto"/>
        <w:jc w:val="both"/>
      </w:pPr>
      <w:r w:rsidRPr="007132A4">
        <w:t>V posledním kvótovém kvartálu (tedy 2. čtvrtletí roku 2022) činil vývoz 3,9 tis. tun, což je nejvyšší kvartální vývoz od počátku pandemie covid-19. Meziročně tak došlo k desetiprocentnímu nárůstu oproti vývozu v kvótovém roce 2020/21. Příchod pandemie na jaře 2020 znamenal ochlazení vývozů, protože pohostinský sektor v EU byl zasažen opatřeními (uzávěry) a poptávka po hovězím mase z USA v EU klesla.</w:t>
      </w:r>
    </w:p>
    <w:p w14:paraId="737DB373" w14:textId="77777777" w:rsidR="007132A4" w:rsidRPr="007132A4" w:rsidRDefault="007132A4" w:rsidP="007132A4">
      <w:pPr>
        <w:spacing w:line="276" w:lineRule="auto"/>
        <w:jc w:val="both"/>
      </w:pPr>
      <w:r w:rsidRPr="007132A4">
        <w:t>Zavedení kvóty se datuje až do doby prvního českého předsednictví v Radě EU v roce 2009. Díky jejímu zavedení, které bylo výsledkem sporu mezi USA a EU v rámci Světové obchodní organizace ohledně používání hormonů při výkrmu hospodářských zvířat</w:t>
      </w:r>
      <w:r w:rsidRPr="009C103C">
        <w:rPr>
          <w:rFonts w:cs="Arial"/>
        </w:rPr>
        <w:t xml:space="preserve"> (</w:t>
      </w:r>
      <w:hyperlink r:id="rId10" w:history="1">
        <w:r w:rsidRPr="009C103C">
          <w:rPr>
            <w:rStyle w:val="Hypertextovodkaz"/>
            <w:rFonts w:cs="Arial"/>
          </w:rPr>
          <w:t>spor DS 26</w:t>
        </w:r>
      </w:hyperlink>
      <w:r w:rsidRPr="009C103C">
        <w:rPr>
          <w:rFonts w:cs="Arial"/>
        </w:rPr>
        <w:t xml:space="preserve">), </w:t>
      </w:r>
      <w:r w:rsidRPr="007132A4">
        <w:t>USA upustily od zvýšení cel na vývoz určitých produktů z EU do USA.</w:t>
      </w:r>
    </w:p>
    <w:p w14:paraId="385A314C" w14:textId="77777777" w:rsidR="007132A4" w:rsidRPr="007132A4" w:rsidRDefault="007132A4" w:rsidP="007132A4">
      <w:pPr>
        <w:spacing w:line="276" w:lineRule="auto"/>
        <w:jc w:val="both"/>
      </w:pPr>
      <w:r w:rsidRPr="007132A4">
        <w:t>Kvóta začala na úrovni 20 tis. tun a postupně byla navýšena až na úroveň 45 tis. tun. Určité spory mezi EU a USA ještě vyvolávala možnost dalších exportních zemí vyvážet hovězí maso v rámci kvóty do EU. K dohodě mezi oběma stranami došlo v roce 2019 a od roku 2020 se postupně navyšuje alokace z celkových 45 tis. tun pouze pro americké vývozce z objemu 18,5 tis. tun v roce 2020 na konečných 35 tis. tun v roce 2026 a letech dalších. Z celkové kvóty tak budou USA mít od roku 2026 k dispozici 77,78 %.</w:t>
      </w:r>
    </w:p>
    <w:p w14:paraId="77220773" w14:textId="77777777" w:rsidR="00E87201" w:rsidRPr="00587417" w:rsidRDefault="00E87201" w:rsidP="00EF76D8">
      <w:pPr>
        <w:spacing w:line="276" w:lineRule="auto"/>
        <w:jc w:val="both"/>
        <w:rPr>
          <w:rFonts w:cs="Arial"/>
        </w:rPr>
      </w:pPr>
    </w:p>
    <w:p w14:paraId="6F84B49F"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lastRenderedPageBreak/>
        <w:t>S</w:t>
      </w:r>
      <w:r w:rsidR="00587417">
        <w:rPr>
          <w:rFonts w:ascii="Arial" w:hAnsi="Arial" w:cs="Arial"/>
        </w:rPr>
        <w:t>pojené arabské emiráty</w:t>
      </w:r>
    </w:p>
    <w:p w14:paraId="51121CB0" w14:textId="77777777" w:rsidR="00A53226" w:rsidRPr="00D4434C"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Lukáš </w:t>
      </w:r>
      <w:r w:rsidR="00715795" w:rsidRPr="00587417">
        <w:rPr>
          <w:rFonts w:cs="Arial"/>
        </w:rPr>
        <w:t xml:space="preserve">Zamrzla, </w:t>
      </w:r>
      <w:r w:rsidRPr="00587417">
        <w:rPr>
          <w:rFonts w:cs="Arial"/>
        </w:rPr>
        <w:t>Zemědělský diplomat velvyslanectví ČR</w:t>
      </w:r>
      <w:r w:rsidR="005D5E3F" w:rsidRPr="00587417">
        <w:rPr>
          <w:rFonts w:cs="Arial"/>
        </w:rPr>
        <w:t xml:space="preserve"> v Abú Dhabí</w:t>
      </w:r>
      <w:r w:rsidR="00E853BA" w:rsidRPr="00587417">
        <w:rPr>
          <w:rFonts w:cs="Arial"/>
        </w:rPr>
        <w:t>,</w:t>
      </w:r>
      <w:r w:rsidR="005D5E3F" w:rsidRPr="00587417">
        <w:rPr>
          <w:rFonts w:cs="Arial"/>
        </w:rPr>
        <w:t xml:space="preserve"> </w:t>
      </w:r>
      <w:proofErr w:type="gramStart"/>
      <w:r w:rsidR="005D5E3F" w:rsidRPr="00587417">
        <w:rPr>
          <w:rFonts w:cs="Arial"/>
        </w:rPr>
        <w:t>Mob.:</w:t>
      </w:r>
      <w:r w:rsidR="00715795" w:rsidRPr="00587417">
        <w:rPr>
          <w:rFonts w:cs="Arial"/>
        </w:rPr>
        <w:t>+</w:t>
      </w:r>
      <w:proofErr w:type="gramEnd"/>
      <w:r w:rsidR="00715795" w:rsidRPr="00587417">
        <w:rPr>
          <w:rFonts w:cs="Arial"/>
        </w:rPr>
        <w:t xml:space="preserve"> 420 602 768</w:t>
      </w:r>
      <w:r w:rsidR="005D5E3F" w:rsidRPr="00587417">
        <w:rPr>
          <w:rFonts w:cs="Arial"/>
        </w:rPr>
        <w:t> </w:t>
      </w:r>
      <w:r w:rsidR="00715795" w:rsidRPr="00587417">
        <w:rPr>
          <w:rFonts w:cs="Arial"/>
        </w:rPr>
        <w:t>207</w:t>
      </w:r>
      <w:r w:rsidR="005D5E3F" w:rsidRPr="00587417">
        <w:rPr>
          <w:rFonts w:cs="Arial"/>
        </w:rPr>
        <w:t xml:space="preserve">, </w:t>
      </w:r>
      <w:r w:rsidR="00D4434C">
        <w:rPr>
          <w:rFonts w:cs="Arial"/>
        </w:rPr>
        <w:t xml:space="preserve">e-mail: </w:t>
      </w:r>
      <w:hyperlink r:id="rId11" w:history="1">
        <w:r w:rsidR="005D5E3F" w:rsidRPr="00D4434C">
          <w:rPr>
            <w:rStyle w:val="Hypertextovodkaz"/>
          </w:rPr>
          <w:t>lukas_zamrzla@mzv.cz</w:t>
        </w:r>
      </w:hyperlink>
      <w:r w:rsidR="00D4434C">
        <w:rPr>
          <w:rStyle w:val="Hypertextovodkaz"/>
          <w:rFonts w:cs="Arial"/>
          <w:color w:val="auto"/>
        </w:rPr>
        <w:t xml:space="preserve"> </w:t>
      </w:r>
    </w:p>
    <w:p w14:paraId="3EE37F8D" w14:textId="77777777" w:rsidR="007132A4" w:rsidRDefault="007132A4" w:rsidP="007132A4">
      <w:pPr>
        <w:pStyle w:val="Nadpis3"/>
        <w:spacing w:line="276" w:lineRule="auto"/>
        <w:jc w:val="both"/>
        <w:rPr>
          <w:rFonts w:ascii="Arial" w:eastAsia="Times New Roman" w:hAnsi="Arial" w:cs="Arial"/>
          <w:sz w:val="22"/>
          <w:szCs w:val="22"/>
          <w:lang w:eastAsia="cs-CZ"/>
        </w:rPr>
      </w:pPr>
      <w:r w:rsidRPr="007132A4">
        <w:t xml:space="preserve">Ministerstvo pro klimatické změny a </w:t>
      </w:r>
      <w:proofErr w:type="spellStart"/>
      <w:r w:rsidRPr="007132A4">
        <w:t>emirátská</w:t>
      </w:r>
      <w:proofErr w:type="spellEnd"/>
      <w:r w:rsidRPr="007132A4">
        <w:t xml:space="preserve"> rozvojová banka podpoří rozvoj zemědělství</w:t>
      </w:r>
    </w:p>
    <w:p w14:paraId="38A1287A" w14:textId="77777777" w:rsidR="007132A4" w:rsidRPr="007132A4" w:rsidRDefault="007132A4" w:rsidP="007132A4">
      <w:pPr>
        <w:spacing w:line="276" w:lineRule="auto"/>
        <w:jc w:val="both"/>
      </w:pPr>
      <w:proofErr w:type="spellStart"/>
      <w:r w:rsidRPr="007132A4">
        <w:t>Emirátská</w:t>
      </w:r>
      <w:proofErr w:type="spellEnd"/>
      <w:r w:rsidRPr="007132A4">
        <w:t xml:space="preserve"> obdoba Ministerstva zemědělství spojuje své síly s rozvojovou bankou </w:t>
      </w:r>
      <w:proofErr w:type="spellStart"/>
      <w:r w:rsidRPr="007132A4">
        <w:t>Emirates</w:t>
      </w:r>
      <w:proofErr w:type="spellEnd"/>
      <w:r w:rsidRPr="007132A4">
        <w:t xml:space="preserve"> Development Bank ve snaze podpořit potravinovou soběstačnost a bezpečnost. Je to tak další z mnoha kroků, jak se snaží tato blízkovýchodní země bojovat se současnou situací ve světě, ale také jak plnit své závazky a plány národní strategie 2050. </w:t>
      </w:r>
    </w:p>
    <w:p w14:paraId="199AAB83" w14:textId="77777777" w:rsidR="007132A4" w:rsidRPr="007132A4" w:rsidRDefault="007132A4" w:rsidP="007132A4">
      <w:pPr>
        <w:spacing w:line="276" w:lineRule="auto"/>
        <w:jc w:val="both"/>
      </w:pPr>
      <w:r w:rsidRPr="007132A4">
        <w:t xml:space="preserve">V tomto případě jde o podepsání dohody ve finanční a nefinanční podpoře moderních přístupů k zemědělství a </w:t>
      </w:r>
      <w:proofErr w:type="spellStart"/>
      <w:r w:rsidRPr="007132A4">
        <w:t>agrotechnologií</w:t>
      </w:r>
      <w:proofErr w:type="spellEnd"/>
      <w:r w:rsidRPr="007132A4">
        <w:t>, především skr</w:t>
      </w:r>
      <w:r w:rsidR="008559B7">
        <w:t>ze malé a střední podniky či st</w:t>
      </w:r>
      <w:r w:rsidRPr="007132A4">
        <w:t>a</w:t>
      </w:r>
      <w:r w:rsidR="008559B7">
        <w:t>r</w:t>
      </w:r>
      <w:r w:rsidRPr="007132A4">
        <w:t>t-upy. Obě strany mají jasně rozdělené úlohy. Zatímco rozvojová banka bude dohlížet na dostatečné financování zajímavých projektů, ministerstvo bude zajišťovat pořádání profesionálních seminářů a kurzů, které budou zaměřeny na moderní me</w:t>
      </w:r>
      <w:r w:rsidR="008559B7">
        <w:t>tody zemědělství, technologie a </w:t>
      </w:r>
      <w:r w:rsidRPr="007132A4">
        <w:t xml:space="preserve">současné přístupy k tomuto řemeslu. Pro dodržování dohody, dohledu na skutečných realizacích a podpoře projektů sestavují obě strany smíšenou komisi. </w:t>
      </w:r>
    </w:p>
    <w:p w14:paraId="5DB2763D" w14:textId="77777777" w:rsidR="007132A4" w:rsidRDefault="007132A4" w:rsidP="007132A4">
      <w:pPr>
        <w:spacing w:line="276" w:lineRule="auto"/>
        <w:jc w:val="both"/>
        <w:rPr>
          <w:rFonts w:eastAsia="Times New Roman" w:cs="Arial"/>
          <w:lang w:eastAsia="cs-CZ"/>
        </w:rPr>
      </w:pPr>
      <w:r w:rsidRPr="007132A4">
        <w:t>Další státní podpora zemědělství by měla podpořit podnikatele a profesionály k většímu zaměření na tento sektor. Od loňského roku pouze vláda hlavního města Abú Dhabí rozdala do zemědělsk</w:t>
      </w:r>
      <w:r w:rsidR="008559B7">
        <w:t>ých projektů více jak 41 mil.</w:t>
      </w:r>
      <w:r w:rsidRPr="007132A4">
        <w:t xml:space="preserve"> dolarů formou grantů a přes půl miliardy dolarů díky přímým investicím. Díky tomu zaujímají </w:t>
      </w:r>
      <w:proofErr w:type="spellStart"/>
      <w:r w:rsidRPr="007132A4">
        <w:t>emirátské</w:t>
      </w:r>
      <w:proofErr w:type="spellEnd"/>
      <w:r w:rsidRPr="007132A4">
        <w:t xml:space="preserve"> zemědělské produkty stále větší místa v obchodech a na menu místních restaurací. Největší přínos má obrovský nárůst počtu hydroponických farem a krytého zemědělství, které produkují ovoce a zeleninu. </w:t>
      </w:r>
    </w:p>
    <w:p w14:paraId="226EDE19"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124B3A0E" w14:textId="77777777" w:rsidR="00897840" w:rsidRPr="00587417" w:rsidRDefault="00DB022E"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Petr Sochor,</w:t>
      </w:r>
      <w:r w:rsidR="005D5E3F" w:rsidRPr="00587417">
        <w:rPr>
          <w:rFonts w:cs="Arial"/>
        </w:rPr>
        <w:t xml:space="preserve"> Zemědělský diplomat, velvyslanectví ČR v Bejrútu, Mob.: 00961 70 258 310, </w:t>
      </w:r>
      <w:r w:rsidR="00D4434C">
        <w:rPr>
          <w:rFonts w:cs="Arial"/>
        </w:rPr>
        <w:t xml:space="preserve">e-mail: </w:t>
      </w:r>
      <w:hyperlink r:id="rId12" w:history="1">
        <w:r w:rsidRPr="00D4434C">
          <w:rPr>
            <w:rStyle w:val="Hypertextovodkaz"/>
          </w:rPr>
          <w:t>petr_sochor@mzv.cz</w:t>
        </w:r>
      </w:hyperlink>
    </w:p>
    <w:p w14:paraId="6AFEDDCF" w14:textId="77777777" w:rsidR="007132A4" w:rsidRPr="007132A4" w:rsidRDefault="007132A4" w:rsidP="007132A4">
      <w:pPr>
        <w:pStyle w:val="Nadpis3"/>
        <w:spacing w:line="276" w:lineRule="auto"/>
      </w:pPr>
      <w:r w:rsidRPr="007132A4">
        <w:t>Snaha o řešení potravinové krize na Blízkém východě</w:t>
      </w:r>
    </w:p>
    <w:p w14:paraId="4E904D47" w14:textId="77777777" w:rsidR="007132A4" w:rsidRPr="007132A4" w:rsidRDefault="007132A4" w:rsidP="007132A4">
      <w:pPr>
        <w:spacing w:line="276" w:lineRule="auto"/>
        <w:jc w:val="both"/>
      </w:pPr>
      <w:r w:rsidRPr="007132A4">
        <w:t xml:space="preserve">Odjezd první nákladní </w:t>
      </w:r>
      <w:r w:rsidR="007A245F">
        <w:t>lodi převážející 26 tis.</w:t>
      </w:r>
      <w:r w:rsidRPr="007132A4">
        <w:t xml:space="preserve"> tun kukuřice z ukrajinského přístavu Oděsa do Libanonu je velmi dobrou zprávou pro Blízký východ a zejména pro Libanon, který trpí potravinovou krizí způsobenou nejenom válečným konfliktem na Ukrajině, ale i krizí místního bankovního sektoru. Dnes je libanonské hospodářství na hraně klinické smrti. Aby bylo dosaženo trvalého zlepšení současné potravinové krize, je v prvé řadě potřeba garantovat nákladním lodím, které uvízly v ukrajinských černomořských přístavech, bezpečný průjezd Černým mořem. V prvé řadě musí Rusko dlouhodobě dodržet svůj slib, že nebude útočit na obchodní lodě a jiná civilní plavidla a na černomořská přístavní zařízení. Vše záleží na tom, jak rychle bude průlomová dohoda, zprostředkovaná OSN a Tureckem, v příštích 120 dnech naplněna.</w:t>
      </w:r>
    </w:p>
    <w:p w14:paraId="10F17908" w14:textId="77777777" w:rsidR="00BD647F" w:rsidRPr="007132A4" w:rsidRDefault="007132A4" w:rsidP="00EF76D8">
      <w:pPr>
        <w:spacing w:line="276" w:lineRule="auto"/>
        <w:jc w:val="both"/>
      </w:pPr>
      <w:r w:rsidRPr="007132A4">
        <w:t xml:space="preserve">Co se týká zásob pšenice, je situace v Libanonu uspokojivá. V současné době je v Libanonu 12 obilných mlýnů, které mají zásoby pšenice </w:t>
      </w:r>
      <w:proofErr w:type="gramStart"/>
      <w:r w:rsidRPr="007132A4">
        <w:t>pro  zpracování</w:t>
      </w:r>
      <w:proofErr w:type="gramEnd"/>
      <w:r w:rsidRPr="007132A4">
        <w:t xml:space="preserve"> na další cca 2 měsíce.  Celkové zásoby jso</w:t>
      </w:r>
      <w:r w:rsidR="007A245F">
        <w:t xml:space="preserve">u odhadovány na min. </w:t>
      </w:r>
      <w:proofErr w:type="gramStart"/>
      <w:r w:rsidR="007A245F">
        <w:t>65 – 70</w:t>
      </w:r>
      <w:proofErr w:type="gramEnd"/>
      <w:r w:rsidR="007A245F">
        <w:t xml:space="preserve"> tis.</w:t>
      </w:r>
      <w:r w:rsidRPr="007132A4">
        <w:t xml:space="preserve"> tun pšenice uskladněné v jednotlivých mlýnech. Průměrná měsíční spotřeba mouky, zejména na výrobu tzv. arabsk</w:t>
      </w:r>
      <w:r w:rsidR="007A245F">
        <w:t>ého bílého chleba, je cca 27 tis.</w:t>
      </w:r>
      <w:r w:rsidRPr="007132A4">
        <w:t xml:space="preserve"> tun. Problémem Libanonu není </w:t>
      </w:r>
      <w:proofErr w:type="gramStart"/>
      <w:r w:rsidRPr="007132A4">
        <w:t>jenom  pšenice</w:t>
      </w:r>
      <w:proofErr w:type="gramEnd"/>
      <w:r w:rsidRPr="007132A4">
        <w:t xml:space="preserve"> jako taková, ale hlavně nedostatečné zdroje elektrické energie. Mlýny jsou napojeny na soukromé firmy </w:t>
      </w:r>
      <w:proofErr w:type="gramStart"/>
      <w:r w:rsidRPr="007132A4">
        <w:t>provozující  diesel</w:t>
      </w:r>
      <w:proofErr w:type="gramEnd"/>
      <w:r w:rsidRPr="007132A4">
        <w:t xml:space="preserve">-generátory.  Elektrický proud </w:t>
      </w:r>
      <w:proofErr w:type="gramStart"/>
      <w:r w:rsidRPr="007132A4">
        <w:t>ze</w:t>
      </w:r>
      <w:proofErr w:type="gramEnd"/>
      <w:r w:rsidRPr="007132A4">
        <w:t xml:space="preserve"> státem provozovaných elektr</w:t>
      </w:r>
      <w:r w:rsidR="00047361">
        <w:t>áren je dodáván do sítě pouze 2 </w:t>
      </w:r>
      <w:r w:rsidRPr="007132A4">
        <w:t xml:space="preserve">hodiny denně. Při vysokých cenách paliv je produkce mouky při závislosti na soukromých </w:t>
      </w:r>
      <w:r w:rsidRPr="007132A4">
        <w:lastRenderedPageBreak/>
        <w:t>poskytovatelích elektrické energie cenově velmi nákladná, což je důvod, proč místní trh začíná zaplavovat mouka dovážená z Turecka. Obchodníci využívají situace, kdy turecká vláda silně dotuje výrobu mouky v té podobě, že dovoz pšenice z Ruska a Ukrajiny je bez cla pro ty zpracovatele, kteří následně mouku exportují. Je fakt, že obchodní aktivity, a to za každé situace, se Libanoncům nedají zapřít. Libanonští obchodníci využívají svých dlouholetých obchodních kontaktů, díky kterým se Libanon, i přes s</w:t>
      </w:r>
      <w:r w:rsidR="00047361">
        <w:t>oučasné hospodářské, finanční i </w:t>
      </w:r>
      <w:r w:rsidRPr="007132A4">
        <w:t xml:space="preserve">politické problémy, stále drží nad vodou. </w:t>
      </w:r>
    </w:p>
    <w:p w14:paraId="1ABCF263"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5DAB8892" w14:textId="77777777"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Pr>
          <w:rFonts w:cs="Arial"/>
        </w:rPr>
        <w:t>Irena Leopoldová</w:t>
      </w:r>
      <w:r w:rsidRPr="00587417">
        <w:rPr>
          <w:rFonts w:cs="Arial"/>
        </w:rPr>
        <w:t>, Zemědělský diplomat, velvyslanectví ČR v </w:t>
      </w:r>
      <w:r>
        <w:rPr>
          <w:rFonts w:cs="Arial"/>
        </w:rPr>
        <w:t>Tokiu</w:t>
      </w:r>
      <w:r w:rsidRPr="00587417">
        <w:rPr>
          <w:rFonts w:cs="Arial"/>
        </w:rPr>
        <w:t xml:space="preserve">, </w:t>
      </w: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3" w:history="1">
        <w:r w:rsidRPr="00D4434C">
          <w:rPr>
            <w:rStyle w:val="Hypertextovodkaz"/>
          </w:rPr>
          <w:t>irena_leopoldova@mzv.cz</w:t>
        </w:r>
      </w:hyperlink>
      <w:r w:rsidR="00D4434C">
        <w:t xml:space="preserve"> </w:t>
      </w:r>
    </w:p>
    <w:p w14:paraId="18A32341" w14:textId="77777777" w:rsidR="00CB3E83" w:rsidRPr="00CB3E83" w:rsidRDefault="00CB3E83" w:rsidP="00CB3E83">
      <w:pPr>
        <w:pStyle w:val="Nadpis3"/>
        <w:spacing w:line="276" w:lineRule="auto"/>
      </w:pPr>
      <w:r w:rsidRPr="00CB3E83">
        <w:t>Rozmach automatů s mraženými potravinami v Japonsku</w:t>
      </w:r>
    </w:p>
    <w:p w14:paraId="458C42C3" w14:textId="77777777" w:rsidR="00CB3E83" w:rsidRPr="00CB3E83" w:rsidRDefault="00CB3E83" w:rsidP="00CB3E83">
      <w:pPr>
        <w:spacing w:line="276" w:lineRule="auto"/>
        <w:jc w:val="both"/>
      </w:pPr>
      <w:r w:rsidRPr="00CB3E83">
        <w:t xml:space="preserve">Japonsko je zemí prodejních automatů. Ty nápojové, které tvoří více než 50 % všech automatů, jsou rozmístěny doslova na každém kroku. Kromě konkurenčních obchodů s rychlým občerstvením se toto odvětví potýká s nedostatkem personálu doplňující prodávané produkty. Statistiky Japonské asociace výrobců prodejních automatů ukazují, že počet prodejních automatů, včetně těch, které prodávají cigarety, potraviny i jízdenky, klesl z přibližně 5,6 milionů kusů v roce 2000 na asi 4 miliony v roce 2021. Řada výrobců tento obor opustila a v současnosti v Japonsku vyrábějí prodejní automaty na nápoje a potraviny pouze společnosti </w:t>
      </w:r>
      <w:proofErr w:type="spellStart"/>
      <w:r w:rsidRPr="00CB3E83">
        <w:t>Sanden</w:t>
      </w:r>
      <w:proofErr w:type="spellEnd"/>
      <w:r w:rsidRPr="00CB3E83">
        <w:t xml:space="preserve"> Retail Systems </w:t>
      </w:r>
      <w:proofErr w:type="spellStart"/>
      <w:r w:rsidRPr="00CB3E83">
        <w:t>Corp</w:t>
      </w:r>
      <w:proofErr w:type="spellEnd"/>
      <w:r w:rsidRPr="00CB3E83">
        <w:t>. a Fuji Electric Co., obě sídlící v Tokiu.</w:t>
      </w:r>
    </w:p>
    <w:p w14:paraId="30EA1DFD" w14:textId="77777777" w:rsidR="00CB3E83" w:rsidRPr="00CB3E83" w:rsidRDefault="00CB3E83" w:rsidP="00CB3E83">
      <w:pPr>
        <w:spacing w:line="276" w:lineRule="auto"/>
        <w:jc w:val="both"/>
      </w:pPr>
      <w:r w:rsidRPr="00CB3E83">
        <w:t xml:space="preserve">Na pozadí stále se </w:t>
      </w:r>
      <w:r w:rsidR="007A245F">
        <w:t xml:space="preserve">zmenšujícího </w:t>
      </w:r>
      <w:r w:rsidRPr="00CB3E83">
        <w:t>trhu s prodejními automaty se ale v poslední době po celém Japonsku rozmáhají automaty na nejrůznější mražená jídla, jako např. nudle ramen, misky</w:t>
      </w:r>
      <w:r w:rsidR="007A245F">
        <w:t xml:space="preserve"> s </w:t>
      </w:r>
      <w:r w:rsidRPr="00CB3E83">
        <w:t xml:space="preserve">mořskými plody, vařený úhoř nebo koláče. Společnost </w:t>
      </w:r>
      <w:proofErr w:type="spellStart"/>
      <w:r w:rsidRPr="00CB3E83">
        <w:t>Sanden</w:t>
      </w:r>
      <w:proofErr w:type="spellEnd"/>
      <w:r w:rsidRPr="00CB3E83">
        <w:t xml:space="preserve">, která se zabývá také výrobou </w:t>
      </w:r>
      <w:proofErr w:type="gramStart"/>
      <w:r w:rsidRPr="00CB3E83">
        <w:t>skleněných vitrín</w:t>
      </w:r>
      <w:proofErr w:type="gramEnd"/>
      <w:r w:rsidRPr="00CB3E83">
        <w:t xml:space="preserve"> pro prodejny smíšeného zboží, začala v lednu 2021 prodávat nový automat nazvaný </w:t>
      </w:r>
      <w:proofErr w:type="spellStart"/>
      <w:r w:rsidRPr="00CB3E83">
        <w:t>Dohiemon</w:t>
      </w:r>
      <w:proofErr w:type="spellEnd"/>
      <w:r w:rsidRPr="00CB3E83">
        <w:t xml:space="preserve">. Ten pojme výrobky různých velkostí díky kombinaci uvnitř zabudovaných přepážek a může tak prodávat širokou škálu výrobků, od malých sladkostí po velké obědové </w:t>
      </w:r>
      <w:proofErr w:type="spellStart"/>
      <w:r w:rsidRPr="00CB3E83">
        <w:t>bento</w:t>
      </w:r>
      <w:proofErr w:type="spellEnd"/>
      <w:r w:rsidRPr="00CB3E83">
        <w:t xml:space="preserve"> boxy. Do letošního března uvedli do provozu více než 3 tisíce těchto automatů. A v únoru letošního roku zahájila prodej mrazících automatů také společnost Fuji Electric, která jich dosud prodala přibližně 500.</w:t>
      </w:r>
    </w:p>
    <w:p w14:paraId="208D4303" w14:textId="77777777" w:rsidR="00CB3E83" w:rsidRPr="00CB3E83" w:rsidRDefault="00CB3E83" w:rsidP="00CB3E83">
      <w:pPr>
        <w:spacing w:line="276" w:lineRule="auto"/>
        <w:jc w:val="both"/>
      </w:pPr>
      <w:r w:rsidRPr="00CB3E83">
        <w:t>Automaty byly rozmístěny v komerčních objektech, na parkovištích, stanicích metra, nádražích i v ulicích. Jeden automat zpravidla obsahuje 60 produktů a provozovatelé nestíhají jídla doplňovat. Ačkoliv byla původně hnací silou jejich rozšíření pandemie, počty automatů nyní rostou bez ohledu na ni, a předpokládá se, že rozmach automatů s mraženými potravinami tak bude dál pokračovat.</w:t>
      </w:r>
    </w:p>
    <w:p w14:paraId="6650843B" w14:textId="77777777" w:rsidR="007132A4" w:rsidRPr="00CB3E83" w:rsidRDefault="00CB3E83" w:rsidP="00CB3E83">
      <w:pPr>
        <w:spacing w:before="120" w:line="276" w:lineRule="auto"/>
        <w:jc w:val="both"/>
      </w:pPr>
      <w:r w:rsidRPr="00CB3E83">
        <w:t xml:space="preserve">Zdroj: </w:t>
      </w:r>
      <w:proofErr w:type="spellStart"/>
      <w:r w:rsidRPr="00CB3E83">
        <w:t>Mainichi</w:t>
      </w:r>
      <w:proofErr w:type="spellEnd"/>
    </w:p>
    <w:p w14:paraId="39EDC9D7" w14:textId="77777777" w:rsidR="00505C2E" w:rsidRPr="00587417" w:rsidRDefault="00505C2E" w:rsidP="007132A4">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726500FD" w14:textId="77777777"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proofErr w:type="spellStart"/>
      <w:r w:rsidRPr="00505C2E">
        <w:rPr>
          <w:rFonts w:cs="Arial"/>
        </w:rPr>
        <w:t>Artyom</w:t>
      </w:r>
      <w:proofErr w:type="spellEnd"/>
      <w:r w:rsidRPr="00505C2E">
        <w:rPr>
          <w:rFonts w:cs="Arial"/>
        </w:rPr>
        <w:t xml:space="preserve"> </w:t>
      </w:r>
      <w:proofErr w:type="spellStart"/>
      <w:r w:rsidRPr="00505C2E">
        <w:rPr>
          <w:rFonts w:cs="Arial"/>
        </w:rPr>
        <w:t>Lukashov</w:t>
      </w:r>
      <w:proofErr w:type="spellEnd"/>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proofErr w:type="spellStart"/>
      <w:r>
        <w:rPr>
          <w:rFonts w:cs="Arial"/>
        </w:rPr>
        <w:t>Almatě</w:t>
      </w:r>
      <w:proofErr w:type="spellEnd"/>
      <w:r w:rsidRPr="00587417">
        <w:rPr>
          <w:rFonts w:cs="Arial"/>
        </w:rPr>
        <w:t xml:space="preserve">, </w:t>
      </w:r>
      <w:r>
        <w:t xml:space="preserve">tel: </w:t>
      </w:r>
      <w:r w:rsidRPr="00505C2E">
        <w:t>+7 701 5150541</w:t>
      </w:r>
      <w:r>
        <w:t xml:space="preserve">, e-mail: </w:t>
      </w:r>
      <w:hyperlink r:id="rId14" w:history="1">
        <w:r w:rsidR="00D4434C" w:rsidRPr="00D54C30">
          <w:rPr>
            <w:rStyle w:val="Hypertextovodkaz"/>
          </w:rPr>
          <w:t>artom_lukasov@mzv.cz</w:t>
        </w:r>
      </w:hyperlink>
      <w:r w:rsidR="00D4434C">
        <w:t xml:space="preserve"> </w:t>
      </w:r>
    </w:p>
    <w:p w14:paraId="27E3D97B" w14:textId="77777777" w:rsidR="008A4BCE" w:rsidRPr="008A4BCE" w:rsidRDefault="008A4BCE" w:rsidP="008A4BCE">
      <w:pPr>
        <w:pStyle w:val="Nadpis3"/>
        <w:spacing w:line="276" w:lineRule="auto"/>
      </w:pPr>
      <w:r w:rsidRPr="008A4BCE">
        <w:t>Prodloužení zákazu vývozu skotu z Kazachstánu do zahraničí</w:t>
      </w:r>
    </w:p>
    <w:p w14:paraId="6B1B08FD" w14:textId="77777777" w:rsidR="008A4BCE" w:rsidRPr="008A4BCE" w:rsidRDefault="008A4BCE" w:rsidP="008A4BCE">
      <w:pPr>
        <w:spacing w:line="276" w:lineRule="auto"/>
        <w:jc w:val="both"/>
      </w:pPr>
      <w:r w:rsidRPr="008A4BCE">
        <w:t xml:space="preserve">Ministerstvo zemědělství Kazachstánu prodlouží zákaz vývozu živého skotu do zahraničí, </w:t>
      </w:r>
      <w:r w:rsidRPr="008A4BCE">
        <w:br/>
        <w:t xml:space="preserve">a to do 28. února 2023. Toto opatření se citelně dotkne chovatelů hospodářských zvířat </w:t>
      </w:r>
      <w:r w:rsidRPr="008A4BCE">
        <w:br/>
        <w:t xml:space="preserve">v Kazachstánu, protože náklady na krmiva, veterinární léčiva a zemědělské stroje rostou rychleji než výkupní ceny masa. </w:t>
      </w:r>
    </w:p>
    <w:p w14:paraId="0734D2CA" w14:textId="77777777" w:rsidR="008A4BCE" w:rsidRPr="008A4BCE" w:rsidRDefault="008A4BCE" w:rsidP="008A4BCE">
      <w:pPr>
        <w:spacing w:line="276" w:lineRule="auto"/>
        <w:jc w:val="both"/>
      </w:pPr>
      <w:r w:rsidRPr="008A4BCE">
        <w:t xml:space="preserve">Závody na zpracování masa přitom zůstávají nevytížené a současně s tím roste dovoz uzenin a hotových masných výrobků do Kazachstánu. Např. se do Kazachstánu v r. 2021 dovezlo </w:t>
      </w:r>
      <w:r w:rsidRPr="008A4BCE">
        <w:lastRenderedPageBreak/>
        <w:t xml:space="preserve">46,9 tis. tun hotových masných výrobků, což je o 22 % více než o rok dříve. Celková hodnota dovozu </w:t>
      </w:r>
      <w:r>
        <w:t>uzenin</w:t>
      </w:r>
      <w:r w:rsidRPr="008A4BCE">
        <w:t xml:space="preserve"> za rok činila 109,4 mil. $. </w:t>
      </w:r>
    </w:p>
    <w:p w14:paraId="1087530C" w14:textId="77777777" w:rsidR="008A4BCE" w:rsidRDefault="008A4BCE" w:rsidP="008A4BCE">
      <w:pPr>
        <w:spacing w:line="276" w:lineRule="auto"/>
        <w:jc w:val="both"/>
        <w:rPr>
          <w:rFonts w:cs="Arial"/>
        </w:rPr>
      </w:pPr>
    </w:p>
    <w:p w14:paraId="3289A7A9" w14:textId="77777777" w:rsidR="008A4BCE" w:rsidRPr="008A4BCE" w:rsidRDefault="008A4BCE" w:rsidP="008A4BCE">
      <w:pPr>
        <w:spacing w:line="276" w:lineRule="auto"/>
        <w:jc w:val="both"/>
        <w:rPr>
          <w:rFonts w:asciiTheme="majorHAnsi" w:eastAsiaTheme="majorEastAsia" w:hAnsiTheme="majorHAnsi" w:cstheme="majorBidi"/>
          <w:b/>
          <w:bCs/>
          <w:sz w:val="26"/>
          <w:szCs w:val="26"/>
        </w:rPr>
      </w:pPr>
      <w:r w:rsidRPr="008A4BCE">
        <w:rPr>
          <w:rFonts w:asciiTheme="majorHAnsi" w:eastAsiaTheme="majorEastAsia" w:hAnsiTheme="majorHAnsi" w:cstheme="majorBidi"/>
          <w:b/>
          <w:bCs/>
          <w:sz w:val="26"/>
          <w:szCs w:val="26"/>
        </w:rPr>
        <w:t xml:space="preserve">Kazachstán plánuje podporu rostlinné výroby  </w:t>
      </w:r>
    </w:p>
    <w:p w14:paraId="65F1CFFD" w14:textId="77777777" w:rsidR="008A4BCE" w:rsidRPr="008A4BCE" w:rsidRDefault="008A4BCE" w:rsidP="008A4BCE">
      <w:pPr>
        <w:spacing w:line="276" w:lineRule="auto"/>
        <w:jc w:val="both"/>
      </w:pPr>
      <w:r w:rsidRPr="008A4BCE">
        <w:t xml:space="preserve">Během jednání vlády, které se uskutečnilo dne 18. července 2022, prezident Kazachstánu </w:t>
      </w:r>
      <w:proofErr w:type="spellStart"/>
      <w:r w:rsidRPr="008A4BCE">
        <w:t>Kasym</w:t>
      </w:r>
      <w:proofErr w:type="spellEnd"/>
      <w:r w:rsidRPr="008A4BCE">
        <w:t xml:space="preserve"> </w:t>
      </w:r>
      <w:proofErr w:type="spellStart"/>
      <w:r w:rsidRPr="008A4BCE">
        <w:t>Žomart</w:t>
      </w:r>
      <w:proofErr w:type="spellEnd"/>
      <w:r w:rsidRPr="008A4BCE">
        <w:t xml:space="preserve"> </w:t>
      </w:r>
      <w:proofErr w:type="spellStart"/>
      <w:r w:rsidRPr="008A4BCE">
        <w:t>Tokajev</w:t>
      </w:r>
      <w:proofErr w:type="spellEnd"/>
      <w:r w:rsidRPr="008A4BCE">
        <w:t xml:space="preserve"> vytknul Ministerstvu zemědělství závislost kazašských farmářů </w:t>
      </w:r>
      <w:r w:rsidRPr="008A4BCE">
        <w:br/>
        <w:t xml:space="preserve">na dovozu semen ze zahraničí a nařídil vládě, aby rozvíjela a podpořila primární produkci osiv na základě experimentálních farem.  </w:t>
      </w:r>
    </w:p>
    <w:p w14:paraId="08C515B3" w14:textId="77777777" w:rsidR="008A4BCE" w:rsidRPr="008A4BCE" w:rsidRDefault="008A4BCE" w:rsidP="008A4BCE">
      <w:pPr>
        <w:spacing w:line="276" w:lineRule="auto"/>
        <w:jc w:val="both"/>
      </w:pPr>
      <w:r w:rsidRPr="008A4BCE">
        <w:t xml:space="preserve">Ministr zemědělství E. </w:t>
      </w:r>
      <w:proofErr w:type="spellStart"/>
      <w:r w:rsidRPr="008A4BCE">
        <w:t>Karašukeev</w:t>
      </w:r>
      <w:proofErr w:type="spellEnd"/>
      <w:r w:rsidRPr="008A4BCE">
        <w:t xml:space="preserve"> sdělil, že jeho resort připravuje vypracování samostatné Strategie pro </w:t>
      </w:r>
      <w:r>
        <w:t>zajištění</w:t>
      </w:r>
      <w:r w:rsidRPr="008A4BCE">
        <w:t xml:space="preserve"> semen a zemědělských plodin a snižování závislosti na dovozu. </w:t>
      </w:r>
    </w:p>
    <w:p w14:paraId="0BDE2004" w14:textId="77777777" w:rsidR="00505C2E" w:rsidRPr="008A4BCE" w:rsidRDefault="008A4BCE" w:rsidP="00EF76D8">
      <w:pPr>
        <w:spacing w:line="276" w:lineRule="auto"/>
        <w:jc w:val="both"/>
      </w:pPr>
      <w:r w:rsidRPr="008A4BCE">
        <w:t xml:space="preserve">Pro splnění plánovaných úkolů tak v zemi vznikne vědecko-výrobní centrum pro produkci osiv. Pozornost bude podle šéfa ministerstva věnována také zlepšování materiálně technické základny semenářství na všech úrovních. Od příštího roku bude navíc – podle zkušeností </w:t>
      </w:r>
      <w:r w:rsidRPr="008A4BCE">
        <w:br/>
        <w:t xml:space="preserve">z vyspělých zemí – zaveden nový informační systém, který umožní digitálně sledovat kvalitu </w:t>
      </w:r>
      <w:r w:rsidR="00047361">
        <w:t>semen</w:t>
      </w:r>
      <w:r w:rsidRPr="008A4BCE">
        <w:t xml:space="preserve">. </w:t>
      </w:r>
    </w:p>
    <w:p w14:paraId="637EDE77"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15297118" w14:textId="77777777" w:rsidR="00D4434C" w:rsidRPr="001D3F62" w:rsidRDefault="00D4434C" w:rsidP="00EF76D8">
      <w:pPr>
        <w:pBdr>
          <w:top w:val="single" w:sz="4" w:space="1" w:color="auto"/>
          <w:left w:val="single" w:sz="4" w:space="4" w:color="auto"/>
          <w:bottom w:val="single" w:sz="4" w:space="1" w:color="auto"/>
          <w:right w:val="single" w:sz="4" w:space="4" w:color="auto"/>
        </w:pBdr>
        <w:spacing w:line="276" w:lineRule="auto"/>
        <w:jc w:val="both"/>
      </w:pPr>
      <w:r>
        <w:rPr>
          <w:rFonts w:cs="Arial"/>
        </w:rPr>
        <w:t>Luboš Marek</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Hanoji</w:t>
      </w:r>
      <w:r w:rsidRPr="00587417">
        <w:rPr>
          <w:rFonts w:cs="Arial"/>
        </w:rPr>
        <w:t xml:space="preserve">, </w:t>
      </w:r>
      <w:r>
        <w:t xml:space="preserve">tel: </w:t>
      </w:r>
      <w:r w:rsidRPr="00D4434C">
        <w:t>+84 904 099 562</w:t>
      </w:r>
      <w:r>
        <w:t xml:space="preserve">, e-mail: </w:t>
      </w:r>
      <w:hyperlink r:id="rId15" w:history="1">
        <w:r w:rsidRPr="00D54C30">
          <w:rPr>
            <w:rStyle w:val="Hypertextovodkaz"/>
          </w:rPr>
          <w:t>lubos.marek@mze.cz</w:t>
        </w:r>
      </w:hyperlink>
      <w:r>
        <w:t xml:space="preserve"> / </w:t>
      </w:r>
      <w:hyperlink r:id="rId16" w:history="1">
        <w:r w:rsidRPr="00D54C30">
          <w:rPr>
            <w:rStyle w:val="Hypertextovodkaz"/>
          </w:rPr>
          <w:t>commerce_hanoi@mzv.cz</w:t>
        </w:r>
      </w:hyperlink>
      <w:r>
        <w:t xml:space="preserve"> </w:t>
      </w:r>
    </w:p>
    <w:p w14:paraId="71E474D7" w14:textId="77777777" w:rsidR="007132A4" w:rsidRPr="007132A4" w:rsidRDefault="007132A4" w:rsidP="007132A4">
      <w:pPr>
        <w:pStyle w:val="Nadpis3"/>
        <w:spacing w:line="276" w:lineRule="auto"/>
      </w:pPr>
      <w:r w:rsidRPr="007132A4">
        <w:t>Vietnam uvalil antidumpingové clo na cukr z pěti zemí ASEAN</w:t>
      </w:r>
    </w:p>
    <w:p w14:paraId="6463551D" w14:textId="77777777" w:rsidR="007132A4" w:rsidRPr="007132A4" w:rsidRDefault="007132A4" w:rsidP="007132A4">
      <w:pPr>
        <w:spacing w:line="276" w:lineRule="auto"/>
        <w:jc w:val="both"/>
      </w:pPr>
      <w:r w:rsidRPr="007132A4">
        <w:t>Cukr dovážený z pěti zemí jihovýchodní Asie, pokud je ze surovin z Thajska, bude podle ministerstva průmyslu a obchodu podléhat sazbě daně 42,99</w:t>
      </w:r>
      <w:r w:rsidR="007A245F">
        <w:t xml:space="preserve"> </w:t>
      </w:r>
      <w:r w:rsidRPr="007132A4">
        <w:t>%.</w:t>
      </w:r>
    </w:p>
    <w:p w14:paraId="51C520DC" w14:textId="77777777" w:rsidR="007132A4" w:rsidRPr="007132A4" w:rsidRDefault="007A245F" w:rsidP="007132A4">
      <w:pPr>
        <w:spacing w:line="276" w:lineRule="auto"/>
        <w:jc w:val="both"/>
      </w:pPr>
      <w:r>
        <w:t xml:space="preserve">Vietnamské </w:t>
      </w:r>
      <w:r w:rsidR="007132A4" w:rsidRPr="007132A4">
        <w:t xml:space="preserve">Ministerstvo průmyslu a obchodu (MPO) vydalo </w:t>
      </w:r>
      <w:r w:rsidR="008A4BCE">
        <w:t>rozhodnutí č. 1514/QD-BCT k </w:t>
      </w:r>
      <w:r w:rsidR="007132A4" w:rsidRPr="007132A4">
        <w:t>zamezení obcházení obchodních nápravných opatření pro řadu výrobků z třtino</w:t>
      </w:r>
      <w:r>
        <w:t>vého cukru dovážených z Kambodži</w:t>
      </w:r>
      <w:r w:rsidR="007132A4" w:rsidRPr="007132A4">
        <w:t>, Indonésie, Laosu, Malajsie a Myanmaru.</w:t>
      </w:r>
    </w:p>
    <w:p w14:paraId="128A8445" w14:textId="63E9B956" w:rsidR="007132A4" w:rsidRPr="007132A4" w:rsidRDefault="007132A4" w:rsidP="007132A4">
      <w:pPr>
        <w:spacing w:line="276" w:lineRule="auto"/>
        <w:jc w:val="both"/>
      </w:pPr>
      <w:r w:rsidRPr="007132A4">
        <w:t>V souladu s tím bude cukr dovážený z těchto pěti zemí (jedná-li se o cukr či o vstupní suroviny z Thajska) podléhat stejným antidumpingovým a antis</w:t>
      </w:r>
      <w:r w:rsidR="008A4BCE">
        <w:t>ubvenčním daňovým sazbám jako u </w:t>
      </w:r>
      <w:r w:rsidRPr="007132A4">
        <w:t>thajského cukru. Celková uplatňovaná daňová sazba je 47,64</w:t>
      </w:r>
      <w:r w:rsidR="00D77F22">
        <w:t xml:space="preserve"> </w:t>
      </w:r>
      <w:r w:rsidRPr="007132A4">
        <w:t>%, z toho antidumpingová daň je 42,99</w:t>
      </w:r>
      <w:r w:rsidR="00D77F22">
        <w:t xml:space="preserve"> </w:t>
      </w:r>
      <w:r w:rsidRPr="007132A4">
        <w:t>% a antisubvenční daň 4,65</w:t>
      </w:r>
      <w:r w:rsidR="00D77F22">
        <w:t xml:space="preserve"> </w:t>
      </w:r>
      <w:r w:rsidRPr="007132A4">
        <w:t>%.</w:t>
      </w:r>
    </w:p>
    <w:p w14:paraId="67011791" w14:textId="77777777" w:rsidR="007132A4" w:rsidRPr="007132A4" w:rsidRDefault="007132A4" w:rsidP="007132A4">
      <w:pPr>
        <w:spacing w:line="276" w:lineRule="auto"/>
        <w:jc w:val="both"/>
      </w:pPr>
      <w:r w:rsidRPr="007132A4">
        <w:t xml:space="preserve">Cukr dovážený z pěti uvedených zemí nebude podléhat antidumpingovému clu, pokud se prokáže, že byl vyroben z cukrové třtiny sklizené </w:t>
      </w:r>
      <w:r w:rsidR="008A4BCE">
        <w:t>přímo v těchto</w:t>
      </w:r>
      <w:r w:rsidRPr="007132A4">
        <w:t xml:space="preserve"> zemích.</w:t>
      </w:r>
    </w:p>
    <w:p w14:paraId="2FF200F9" w14:textId="77777777" w:rsidR="007132A4" w:rsidRPr="007132A4" w:rsidRDefault="007132A4" w:rsidP="007132A4">
      <w:pPr>
        <w:spacing w:line="276" w:lineRule="auto"/>
        <w:jc w:val="both"/>
      </w:pPr>
      <w:r w:rsidRPr="007132A4">
        <w:t>Opatření proti obcházení obchodních opatření vejdou v účinnost sedm dní po vydání rozhodnutí a měla by platit až do 15. 6. 2026.</w:t>
      </w:r>
    </w:p>
    <w:p w14:paraId="721C2E7D" w14:textId="77777777" w:rsidR="007132A4" w:rsidRPr="007132A4" w:rsidRDefault="007132A4" w:rsidP="007132A4">
      <w:pPr>
        <w:spacing w:line="276" w:lineRule="auto"/>
        <w:jc w:val="both"/>
      </w:pPr>
      <w:r w:rsidRPr="007132A4">
        <w:t>MPO VSR informovalo, že rozhodnutí o uplatnění opatření proti obcházení antidumpingových cel na thajský cukr je vydáno na základě objektivního a tr</w:t>
      </w:r>
      <w:r w:rsidR="008A4BCE">
        <w:t>ansparentního procesu šetření v </w:t>
      </w:r>
      <w:r w:rsidRPr="007132A4">
        <w:t>souladu s tuzemskými zákony a mezinárodními závazky.</w:t>
      </w:r>
    </w:p>
    <w:p w14:paraId="3E30700A" w14:textId="77777777" w:rsidR="007132A4" w:rsidRPr="007132A4" w:rsidRDefault="007132A4" w:rsidP="007132A4">
      <w:pPr>
        <w:spacing w:line="276" w:lineRule="auto"/>
        <w:jc w:val="both"/>
      </w:pPr>
      <w:r w:rsidRPr="007132A4">
        <w:t>Na základě shromažďování a vyhodnocování informací dospělo MPO k závěru, že používání surovin z Thajska k výrobě a vývozu třtinového cukru do Vietnamu přes podniky z Kambodži, Indonésie, Laosu, Malajsie a Myanmaru je akte</w:t>
      </w:r>
      <w:r w:rsidR="008A4BCE">
        <w:t>m vyhýbání se antidumpingovým a </w:t>
      </w:r>
      <w:r w:rsidRPr="007132A4">
        <w:t>antisubvenčním opatřením.</w:t>
      </w:r>
    </w:p>
    <w:p w14:paraId="63470892" w14:textId="77777777" w:rsidR="007132A4" w:rsidRPr="007132A4" w:rsidRDefault="007132A4" w:rsidP="007132A4">
      <w:pPr>
        <w:spacing w:line="276" w:lineRule="auto"/>
        <w:jc w:val="both"/>
      </w:pPr>
      <w:r w:rsidRPr="007132A4">
        <w:t>Statistiky generálního oddělení cel ukazují, že objem cukru dovezeného z těchto pěti zemí ASEAN prudce vzrostl poté, co Vietnam zahájil antidumpingové a antisubvenční šetření cukru z Thajska od října 2020 do června 2021 ve srovnání s předchozím obdobím.</w:t>
      </w:r>
    </w:p>
    <w:p w14:paraId="3720BA2F" w14:textId="77777777" w:rsidR="007132A4" w:rsidRPr="007132A4" w:rsidRDefault="007132A4" w:rsidP="007132A4">
      <w:pPr>
        <w:spacing w:line="276" w:lineRule="auto"/>
        <w:jc w:val="both"/>
      </w:pPr>
      <w:r w:rsidRPr="007132A4">
        <w:t>Konkrétně se objem dovozu zvýšil ze 107 600 tun na 527 200 tun. Mezitím se objem dovozu cukru pocházejícího z Thajska do Vietnamu snížil o téměř 38</w:t>
      </w:r>
      <w:r w:rsidR="007A245F">
        <w:t xml:space="preserve"> </w:t>
      </w:r>
      <w:r w:rsidRPr="007132A4">
        <w:t>%, z 955 500 tun na 595 000 tun.</w:t>
      </w:r>
    </w:p>
    <w:p w14:paraId="7D935B30" w14:textId="77777777" w:rsidR="007132A4" w:rsidRPr="007132A4" w:rsidRDefault="007132A4" w:rsidP="007132A4">
      <w:pPr>
        <w:spacing w:line="276" w:lineRule="auto"/>
        <w:jc w:val="both"/>
      </w:pPr>
      <w:r w:rsidRPr="007132A4">
        <w:lastRenderedPageBreak/>
        <w:t>Je pozoruhodné, že veškerý tento objem dovezeného cukru požívá preferenční daňové sazby ve výši 5</w:t>
      </w:r>
      <w:r w:rsidR="007A245F">
        <w:t xml:space="preserve"> </w:t>
      </w:r>
      <w:r w:rsidRPr="007132A4">
        <w:t>% (pro cukr pocházející z Laosu nebo nižší).</w:t>
      </w:r>
    </w:p>
    <w:p w14:paraId="191E3088" w14:textId="77777777" w:rsidR="007132A4" w:rsidRPr="007132A4" w:rsidRDefault="007132A4" w:rsidP="007132A4">
      <w:pPr>
        <w:spacing w:line="276" w:lineRule="auto"/>
        <w:jc w:val="both"/>
      </w:pPr>
      <w:r w:rsidRPr="007132A4">
        <w:t xml:space="preserve">Vietnam </w:t>
      </w:r>
      <w:proofErr w:type="spellStart"/>
      <w:r w:rsidRPr="007132A4">
        <w:t>Sugarcane</w:t>
      </w:r>
      <w:proofErr w:type="spellEnd"/>
      <w:r w:rsidRPr="007132A4">
        <w:t xml:space="preserve"> and </w:t>
      </w:r>
      <w:proofErr w:type="spellStart"/>
      <w:r w:rsidRPr="007132A4">
        <w:t>Sugar</w:t>
      </w:r>
      <w:proofErr w:type="spellEnd"/>
      <w:r w:rsidRPr="007132A4">
        <w:t xml:space="preserve"> </w:t>
      </w:r>
      <w:proofErr w:type="spellStart"/>
      <w:r w:rsidRPr="007132A4">
        <w:t>Association</w:t>
      </w:r>
      <w:proofErr w:type="spellEnd"/>
      <w:r w:rsidRPr="007132A4">
        <w:t xml:space="preserve"> (VSSA) a domácí rafinérie třtinového cukru předložily důkazy o tom, že produkty z thajského třtinového cukru podléhající antidumpingovým a antisubvenčním daním, vstupují na vietnamský trh přes pět jiných zemí </w:t>
      </w:r>
      <w:proofErr w:type="spellStart"/>
      <w:r w:rsidRPr="007132A4">
        <w:t>ASEANu</w:t>
      </w:r>
      <w:proofErr w:type="spellEnd"/>
      <w:r w:rsidRPr="007132A4">
        <w:t xml:space="preserve"> – Laos, Kambodžu, Indonésii, Malajsii a Myanmar.</w:t>
      </w:r>
    </w:p>
    <w:p w14:paraId="3638A10E" w14:textId="77777777" w:rsidR="00D4434C" w:rsidRPr="007132A4" w:rsidRDefault="007132A4" w:rsidP="00EF76D8">
      <w:pPr>
        <w:spacing w:line="276" w:lineRule="auto"/>
        <w:jc w:val="both"/>
      </w:pPr>
      <w:r w:rsidRPr="007132A4">
        <w:t>Podle VSSA se většina výše uvedeného rafinovaného cukru vyrábí v cukrovarech v Indonésii a Malajsii, ale hlavně z dovážených surovin, protože Malaj</w:t>
      </w:r>
      <w:r w:rsidR="008A4BCE">
        <w:t>sie nepěstuje cukrovou třtinu a </w:t>
      </w:r>
      <w:r w:rsidRPr="007132A4">
        <w:t>Indonésie nepěstuje dostatek třtiny ani pro domácí produkci.</w:t>
      </w:r>
    </w:p>
    <w:sectPr w:rsidR="00D4434C" w:rsidRPr="007132A4" w:rsidSect="00505C2E">
      <w:footerReference w:type="default" r:id="rId1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B0286" w14:textId="77777777" w:rsidR="000039D3" w:rsidRDefault="000039D3" w:rsidP="00D4434C">
      <w:r>
        <w:separator/>
      </w:r>
    </w:p>
  </w:endnote>
  <w:endnote w:type="continuationSeparator" w:id="0">
    <w:p w14:paraId="21D3CE16" w14:textId="77777777" w:rsidR="000039D3" w:rsidRDefault="000039D3"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9510708"/>
      <w:docPartObj>
        <w:docPartGallery w:val="Page Numbers (Bottom of Page)"/>
        <w:docPartUnique/>
      </w:docPartObj>
    </w:sdtPr>
    <w:sdtEndPr/>
    <w:sdtContent>
      <w:p w14:paraId="12A7B9C9" w14:textId="77777777" w:rsidR="00D4434C" w:rsidRDefault="00D4434C">
        <w:pPr>
          <w:pStyle w:val="Zpat"/>
          <w:jc w:val="center"/>
        </w:pPr>
        <w:r>
          <w:fldChar w:fldCharType="begin"/>
        </w:r>
        <w:r>
          <w:instrText>PAGE   \* MERGEFORMAT</w:instrText>
        </w:r>
        <w:r>
          <w:fldChar w:fldCharType="separate"/>
        </w:r>
        <w:r w:rsidR="00C041CC">
          <w:rPr>
            <w:noProof/>
          </w:rPr>
          <w:t>4</w:t>
        </w:r>
        <w:r>
          <w:fldChar w:fldCharType="end"/>
        </w:r>
      </w:p>
    </w:sdtContent>
  </w:sdt>
  <w:p w14:paraId="478F0BD7"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1DC9E" w14:textId="77777777" w:rsidR="000039D3" w:rsidRDefault="000039D3" w:rsidP="00D4434C">
      <w:r>
        <w:separator/>
      </w:r>
    </w:p>
  </w:footnote>
  <w:footnote w:type="continuationSeparator" w:id="0">
    <w:p w14:paraId="178C3C43" w14:textId="77777777" w:rsidR="000039D3" w:rsidRDefault="000039D3"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6"/>
  </w:num>
  <w:num w:numId="4">
    <w:abstractNumId w:val="10"/>
  </w:num>
  <w:num w:numId="5">
    <w:abstractNumId w:val="20"/>
  </w:num>
  <w:num w:numId="6">
    <w:abstractNumId w:val="21"/>
  </w:num>
  <w:num w:numId="7">
    <w:abstractNumId w:val="17"/>
  </w:num>
  <w:num w:numId="8">
    <w:abstractNumId w:val="3"/>
  </w:num>
  <w:num w:numId="9">
    <w:abstractNumId w:val="9"/>
  </w:num>
  <w:num w:numId="10">
    <w:abstractNumId w:val="6"/>
  </w:num>
  <w:num w:numId="11">
    <w:abstractNumId w:val="15"/>
  </w:num>
  <w:num w:numId="12">
    <w:abstractNumId w:val="11"/>
  </w:num>
  <w:num w:numId="13">
    <w:abstractNumId w:val="26"/>
  </w:num>
  <w:num w:numId="14">
    <w:abstractNumId w:val="8"/>
  </w:num>
  <w:num w:numId="15">
    <w:abstractNumId w:val="2"/>
  </w:num>
  <w:num w:numId="16">
    <w:abstractNumId w:val="13"/>
  </w:num>
  <w:num w:numId="17">
    <w:abstractNumId w:val="7"/>
  </w:num>
  <w:num w:numId="18">
    <w:abstractNumId w:val="1"/>
  </w:num>
  <w:num w:numId="19">
    <w:abstractNumId w:val="24"/>
  </w:num>
  <w:num w:numId="20">
    <w:abstractNumId w:val="23"/>
  </w:num>
  <w:num w:numId="21">
    <w:abstractNumId w:val="0"/>
  </w:num>
  <w:num w:numId="22">
    <w:abstractNumId w:val="5"/>
  </w:num>
  <w:num w:numId="23">
    <w:abstractNumId w:val="25"/>
  </w:num>
  <w:num w:numId="24">
    <w:abstractNumId w:val="12"/>
  </w:num>
  <w:num w:numId="25">
    <w:abstractNumId w:val="4"/>
  </w:num>
  <w:num w:numId="26">
    <w:abstractNumId w:val="1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39D3"/>
    <w:rsid w:val="000070E8"/>
    <w:rsid w:val="00035FAD"/>
    <w:rsid w:val="000458E0"/>
    <w:rsid w:val="00047361"/>
    <w:rsid w:val="00056BBE"/>
    <w:rsid w:val="00061EED"/>
    <w:rsid w:val="00062DAB"/>
    <w:rsid w:val="000663DF"/>
    <w:rsid w:val="000A4F06"/>
    <w:rsid w:val="000F717B"/>
    <w:rsid w:val="00105E34"/>
    <w:rsid w:val="00126ADE"/>
    <w:rsid w:val="00146BCF"/>
    <w:rsid w:val="001D3F62"/>
    <w:rsid w:val="001F023C"/>
    <w:rsid w:val="001F29AF"/>
    <w:rsid w:val="00223F87"/>
    <w:rsid w:val="002616B5"/>
    <w:rsid w:val="00267D97"/>
    <w:rsid w:val="002A2D85"/>
    <w:rsid w:val="002A56DF"/>
    <w:rsid w:val="002E5EAD"/>
    <w:rsid w:val="00370E34"/>
    <w:rsid w:val="003964FA"/>
    <w:rsid w:val="003D2B3B"/>
    <w:rsid w:val="003D56E1"/>
    <w:rsid w:val="004232BE"/>
    <w:rsid w:val="004559E3"/>
    <w:rsid w:val="004962CD"/>
    <w:rsid w:val="004A6C5B"/>
    <w:rsid w:val="004E6FCD"/>
    <w:rsid w:val="00505C2E"/>
    <w:rsid w:val="005248F4"/>
    <w:rsid w:val="00524BA5"/>
    <w:rsid w:val="00587417"/>
    <w:rsid w:val="005C3BF7"/>
    <w:rsid w:val="005D5E3F"/>
    <w:rsid w:val="005D69CD"/>
    <w:rsid w:val="005D7F74"/>
    <w:rsid w:val="005E20B4"/>
    <w:rsid w:val="00613A7D"/>
    <w:rsid w:val="00636521"/>
    <w:rsid w:val="00656C69"/>
    <w:rsid w:val="0067358D"/>
    <w:rsid w:val="006805F4"/>
    <w:rsid w:val="006931C2"/>
    <w:rsid w:val="006A353A"/>
    <w:rsid w:val="006A382E"/>
    <w:rsid w:val="006F79AC"/>
    <w:rsid w:val="007132A4"/>
    <w:rsid w:val="00715795"/>
    <w:rsid w:val="00717F96"/>
    <w:rsid w:val="00780119"/>
    <w:rsid w:val="0078308B"/>
    <w:rsid w:val="00790E93"/>
    <w:rsid w:val="00795E13"/>
    <w:rsid w:val="007A245F"/>
    <w:rsid w:val="007A531E"/>
    <w:rsid w:val="007F3E9B"/>
    <w:rsid w:val="007F44D0"/>
    <w:rsid w:val="007F5F98"/>
    <w:rsid w:val="00807D31"/>
    <w:rsid w:val="008559B7"/>
    <w:rsid w:val="00886E98"/>
    <w:rsid w:val="008911D5"/>
    <w:rsid w:val="00892A59"/>
    <w:rsid w:val="00892E02"/>
    <w:rsid w:val="00897840"/>
    <w:rsid w:val="008A4BCE"/>
    <w:rsid w:val="008A6BB3"/>
    <w:rsid w:val="008A799A"/>
    <w:rsid w:val="00937595"/>
    <w:rsid w:val="009677BC"/>
    <w:rsid w:val="00974743"/>
    <w:rsid w:val="00993C8E"/>
    <w:rsid w:val="00A53226"/>
    <w:rsid w:val="00A91B8F"/>
    <w:rsid w:val="00AB1996"/>
    <w:rsid w:val="00AD54F3"/>
    <w:rsid w:val="00AE3F61"/>
    <w:rsid w:val="00AF51BE"/>
    <w:rsid w:val="00B05BDF"/>
    <w:rsid w:val="00B173B4"/>
    <w:rsid w:val="00B208A7"/>
    <w:rsid w:val="00B27E33"/>
    <w:rsid w:val="00B318F6"/>
    <w:rsid w:val="00B554B9"/>
    <w:rsid w:val="00B679F7"/>
    <w:rsid w:val="00BA6A5B"/>
    <w:rsid w:val="00BC341A"/>
    <w:rsid w:val="00BC4BD8"/>
    <w:rsid w:val="00BD647F"/>
    <w:rsid w:val="00BD7227"/>
    <w:rsid w:val="00C0233A"/>
    <w:rsid w:val="00C041CC"/>
    <w:rsid w:val="00C34CC6"/>
    <w:rsid w:val="00C57B4E"/>
    <w:rsid w:val="00C833B6"/>
    <w:rsid w:val="00CA1C10"/>
    <w:rsid w:val="00CA2C8C"/>
    <w:rsid w:val="00CA478D"/>
    <w:rsid w:val="00CB3E83"/>
    <w:rsid w:val="00CF2F53"/>
    <w:rsid w:val="00D05C35"/>
    <w:rsid w:val="00D4434C"/>
    <w:rsid w:val="00D55D6C"/>
    <w:rsid w:val="00D71800"/>
    <w:rsid w:val="00D77F22"/>
    <w:rsid w:val="00DA01A0"/>
    <w:rsid w:val="00DA25B0"/>
    <w:rsid w:val="00DB022E"/>
    <w:rsid w:val="00DB0371"/>
    <w:rsid w:val="00DB3BA7"/>
    <w:rsid w:val="00E0689A"/>
    <w:rsid w:val="00E52E29"/>
    <w:rsid w:val="00E8029B"/>
    <w:rsid w:val="00E853BA"/>
    <w:rsid w:val="00E87201"/>
    <w:rsid w:val="00E96F76"/>
    <w:rsid w:val="00E973C5"/>
    <w:rsid w:val="00E97C5D"/>
    <w:rsid w:val="00EA44BE"/>
    <w:rsid w:val="00EA6542"/>
    <w:rsid w:val="00EA7FE6"/>
    <w:rsid w:val="00EB12F4"/>
    <w:rsid w:val="00EF76D8"/>
    <w:rsid w:val="00F03535"/>
    <w:rsid w:val="00F04621"/>
    <w:rsid w:val="00F36E50"/>
    <w:rsid w:val="00F4313C"/>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51C9"/>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FormtovanvHTML">
    <w:name w:val="HTML Preformatted"/>
    <w:basedOn w:val="Normln"/>
    <w:link w:val="FormtovanvHTMLChar"/>
    <w:uiPriority w:val="99"/>
    <w:unhideWhenUsed/>
    <w:rsid w:val="00713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7132A4"/>
    <w:rPr>
      <w:rFonts w:ascii="Courier New" w:eastAsia="Times New Roman" w:hAnsi="Courier New" w:cs="Courier New"/>
      <w:lang w:val="en-US" w:eastAsia="en-US"/>
    </w:rPr>
  </w:style>
  <w:style w:type="character" w:customStyle="1" w:styleId="y2iqfc">
    <w:name w:val="y2iqfc"/>
    <w:basedOn w:val="Standardnpsmoodstavce"/>
    <w:rsid w:val="007132A4"/>
  </w:style>
  <w:style w:type="paragraph" w:customStyle="1" w:styleId="Default">
    <w:name w:val="Default"/>
    <w:rsid w:val="007132A4"/>
    <w:pPr>
      <w:autoSpaceDE w:val="0"/>
      <w:autoSpaceDN w:val="0"/>
      <w:adjustRightInd w:val="0"/>
    </w:pPr>
    <w:rPr>
      <w:rFonts w:ascii="Times New Roman" w:eastAsiaTheme="minorHAnsi" w:hAnsi="Times New Roman"/>
      <w:color w:val="000000"/>
      <w:sz w:val="24"/>
      <w:szCs w:val="24"/>
      <w:lang w:eastAsia="en-US"/>
    </w:rPr>
  </w:style>
  <w:style w:type="table" w:styleId="Mkatabulky">
    <w:name w:val="Table Grid"/>
    <w:basedOn w:val="Normlntabulka"/>
    <w:uiPriority w:val="39"/>
    <w:rsid w:val="007132A4"/>
    <w:pPr>
      <w:jc w:val="both"/>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0159">
      <w:bodyDiv w:val="1"/>
      <w:marLeft w:val="0"/>
      <w:marRight w:val="0"/>
      <w:marTop w:val="0"/>
      <w:marBottom w:val="0"/>
      <w:divBdr>
        <w:top w:val="none" w:sz="0" w:space="0" w:color="auto"/>
        <w:left w:val="none" w:sz="0" w:space="0" w:color="auto"/>
        <w:bottom w:val="none" w:sz="0" w:space="0" w:color="auto"/>
        <w:right w:val="none" w:sz="0" w:space="0" w:color="auto"/>
      </w:divBdr>
    </w:div>
    <w:div w:id="76711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_vana@mzv.cz" TargetMode="External"/><Relationship Id="rId13" Type="http://schemas.openxmlformats.org/officeDocument/2006/relationships/hyperlink" Target="mailto:irena_leopoldova@mzv.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tr_sochor@mzv.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ommerce_hanoi@mzv.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_zamrzla@mzv.cz" TargetMode="External"/><Relationship Id="rId5" Type="http://schemas.openxmlformats.org/officeDocument/2006/relationships/webSettings" Target="webSettings.xml"/><Relationship Id="rId15" Type="http://schemas.openxmlformats.org/officeDocument/2006/relationships/hyperlink" Target="mailto:lubos.marek@mze.cz" TargetMode="External"/><Relationship Id="rId10" Type="http://schemas.openxmlformats.org/officeDocument/2006/relationships/hyperlink" Target="https://www.wto.org/english/tratop_e/dispu_e/cases_e/ds26_e.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etr_jezek@mzv.cz" TargetMode="External"/><Relationship Id="rId14" Type="http://schemas.openxmlformats.org/officeDocument/2006/relationships/hyperlink" Target="mailto:artom_lukasov@mz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19B4506-212C-453B-BAAC-E61948F9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0</TotalTime>
  <Pages>6</Pages>
  <Words>2489</Words>
  <Characters>14686</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17141</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Křížová Erika</cp:lastModifiedBy>
  <cp:revision>2</cp:revision>
  <dcterms:created xsi:type="dcterms:W3CDTF">2022-08-05T13:32:00Z</dcterms:created>
  <dcterms:modified xsi:type="dcterms:W3CDTF">2022-08-05T13:32:00Z</dcterms:modified>
</cp:coreProperties>
</file>