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1CE01E3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E519CE">
        <w:rPr>
          <w:rFonts w:ascii="Arial" w:hAnsi="Arial" w:cs="Arial"/>
          <w:noProof/>
        </w:rPr>
        <w:t>pondělí 24. října 2022</w:t>
      </w:r>
      <w:r w:rsidR="00035FAD" w:rsidRPr="00937595">
        <w:rPr>
          <w:rFonts w:ascii="Arial" w:hAnsi="Arial" w:cs="Arial"/>
        </w:rPr>
        <w:fldChar w:fldCharType="end"/>
      </w:r>
    </w:p>
    <w:p w14:paraId="3C3E6F2F" w14:textId="77777777" w:rsidR="00CA7564" w:rsidRPr="00CA7564" w:rsidRDefault="00CA7564" w:rsidP="00CA7564"/>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255E83B3" w14:textId="77777777" w:rsidR="00BC7373" w:rsidRPr="00BC7373" w:rsidRDefault="00BC7373" w:rsidP="00BC7373">
      <w:pPr>
        <w:pStyle w:val="Nadpis3"/>
        <w:spacing w:line="276" w:lineRule="auto"/>
      </w:pPr>
      <w:r w:rsidRPr="00BC7373">
        <w:t>Přehled čínského mlékárenského trhu</w:t>
      </w:r>
    </w:p>
    <w:p w14:paraId="35EF2479" w14:textId="77777777" w:rsidR="00BC7373" w:rsidRPr="00BC7373" w:rsidRDefault="00BC7373" w:rsidP="00BC7373">
      <w:pPr>
        <w:spacing w:line="276" w:lineRule="auto"/>
        <w:jc w:val="both"/>
      </w:pPr>
      <w:r w:rsidRPr="00BC7373">
        <w:t>Poradenská platforma ChemLinked zveřejnila novou zprávu shrnující stav a vývoj čínského mlékárenského trhu. Dle dat z letošní China Agricultural Outlook Conference dosáhla v roce 2021 celková spotřeba produktů mlékárenství objemu 59,27 milionů tun, což je o 11,8 % více než v roce 2020. Pro rok 2022 se celková spotřeba odhaduje na 63,74 milionů tun. V roce 2021 dosáhla spotřeba na osobu 42,29 kg, v letošním roce by to mohlo být už 45,1 kg. Stále se jedná o poměrně nízkou úroveň, což implikuje významný růstový potenciál, čemuž napomáhá i zvyšování povědomí o zdravotních benefitech konzumace mléčných produktů.</w:t>
      </w:r>
    </w:p>
    <w:p w14:paraId="32570382" w14:textId="612F697E" w:rsidR="00BC7373" w:rsidRPr="00BC7373" w:rsidRDefault="00BC7373" w:rsidP="00BC7373">
      <w:pPr>
        <w:spacing w:line="276" w:lineRule="auto"/>
        <w:jc w:val="both"/>
      </w:pPr>
      <w:r w:rsidRPr="00BC7373">
        <w:t>Zpráva dále na základě dat General Administration of Customs uvádí, že se celkový objem dovozů mlékárenských produktů v roce 2021 meziročně zvýšil o 18,5 % na 3,95 milionů tun s hodnotou 89,4 miliard CNY. Ačkoli došlo v období od ledna do července 2022 k</w:t>
      </w:r>
      <w:r w:rsidR="00CA7564">
        <w:t> </w:t>
      </w:r>
      <w:r w:rsidRPr="00BC7373">
        <w:t>meziročnímu propadu objemu dovozů o 19 %, jejich hodnota se lehce zvýšila.</w:t>
      </w:r>
    </w:p>
    <w:p w14:paraId="4F2E6BFD" w14:textId="1EFF49DA" w:rsidR="00BC7373" w:rsidRPr="00BC7373" w:rsidRDefault="00BC7373" w:rsidP="00BC7373">
      <w:pPr>
        <w:spacing w:line="276" w:lineRule="auto"/>
        <w:jc w:val="both"/>
      </w:pPr>
      <w:r w:rsidRPr="00BC7373">
        <w:t xml:space="preserve">Dle Zhongshang Industrial Research Institute v roce 2021 v Číně </w:t>
      </w:r>
      <w:r w:rsidR="009E42EA">
        <w:t>působil</w:t>
      </w:r>
      <w:r w:rsidRPr="00BC7373">
        <w:t>o 589 mlékárenských firem s ročními tržbami přes 20 milionů CNY. V roce 2021 se součet tržeb těchto firem meziročně zvýšil o 11,7 %, v letošním roce se očekává další růst o zhruba 6 %. Hlavními hráči na čínském trhu jsou dvě místní mlékárenské firmy – Yili a Mengniu Dairy. Tržní podíl Yili v roce 2021 činil 25,8 %, v případě Mengniu Dairy to bylo 22,8 %. Společně tedy ovládají téměř polovinu čínského trhu.</w:t>
      </w:r>
    </w:p>
    <w:p w14:paraId="0F5826DE" w14:textId="51A47346" w:rsidR="00EB12F4" w:rsidRPr="00BC7373" w:rsidRDefault="00BC7373" w:rsidP="00EF76D8">
      <w:pPr>
        <w:spacing w:line="276" w:lineRule="auto"/>
        <w:jc w:val="both"/>
      </w:pPr>
      <w:r w:rsidRPr="00BC7373">
        <w:t>Z produktů se nejlépe prodávají jogurtové či mléčné nápoje a UHT mléka, v minulém roce se celkem prodalo jogurtových a mléčných nápojů za 153,6 miliard CNY a UHT mléka za 109,24 miliard CNY. Ačkoli prodeje sýrů dosáhly pouze částky 12,27 mld. CNY, mezi roky 2021 a</w:t>
      </w:r>
      <w:r w:rsidR="00CA7564">
        <w:t> </w:t>
      </w:r>
      <w:r w:rsidRPr="00BC7373">
        <w:t>2026 se u této kategorie očekává výrazný růst. Mezi prodejními kanály rychle roste prodej přes e-commerce a hromadné komunitní nákupy.</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6B0BB0B7" w14:textId="77777777" w:rsidR="00CA7564" w:rsidRPr="00CA7564" w:rsidRDefault="00CA7564" w:rsidP="00CA7564">
      <w:pPr>
        <w:pStyle w:val="Nadpis3"/>
        <w:spacing w:line="276" w:lineRule="auto"/>
      </w:pPr>
      <w:r w:rsidRPr="00CA7564">
        <w:t>Abú Dhabí začíná testovat donáškové drony</w:t>
      </w:r>
    </w:p>
    <w:p w14:paraId="3A874D19" w14:textId="77777777" w:rsidR="00CA7564" w:rsidRPr="00CA7564" w:rsidRDefault="00CA7564" w:rsidP="00CA7564">
      <w:pPr>
        <w:spacing w:line="276" w:lineRule="auto"/>
        <w:jc w:val="both"/>
      </w:pPr>
      <w:r w:rsidRPr="00CA7564">
        <w:t xml:space="preserve">Tři emirátské společnosti spojily síly a zkouší spustit používání dronů pro donášky drobného zboží na území hlavního města. AD Ports Group, Emirátská poštovní společnost a SkyGo, začínají testovat donášky dokumentů mezi jednotlivými pobočkami emirátské pošty. Součástí testů v dalším stádiu bude také donáška jídel a zdravotnického materiálu. </w:t>
      </w:r>
    </w:p>
    <w:p w14:paraId="73A59238" w14:textId="7F13E1C2" w:rsidR="00CA7564" w:rsidRPr="00CA7564" w:rsidRDefault="00CA7564" w:rsidP="00CA7564">
      <w:pPr>
        <w:spacing w:line="276" w:lineRule="auto"/>
        <w:jc w:val="both"/>
      </w:pPr>
      <w:r w:rsidRPr="00CA7564">
        <w:t>Jako hlavní výhody použití dronů uvádějí firmy rychlost, udržitelnost a možnost lehkého sledování pohybu. Do konce roku 2022 budou zmíněné firmy prezentovat výsledky testů a</w:t>
      </w:r>
      <w:r>
        <w:t> </w:t>
      </w:r>
      <w:r w:rsidRPr="00CA7564">
        <w:t>zároveň plánují obyvatele metropole seznámit se svým plánem reálného využití v příštím roce. Jako jediný možný problém, který může stát v cestě plnému spuštění projektu, vidí firmy nutnou certifikaci a povolení od místní vlády. Nicméně zapojení dvou velkých státních podniků do testovacího období částečně zaručuje, že by to komplikace být nemusela.</w:t>
      </w:r>
    </w:p>
    <w:p w14:paraId="31E75BE4" w14:textId="77777777" w:rsidR="00CA7564" w:rsidRPr="00CA7564" w:rsidRDefault="00CA7564" w:rsidP="00CA7564">
      <w:pPr>
        <w:spacing w:line="276" w:lineRule="auto"/>
        <w:jc w:val="both"/>
      </w:pPr>
      <w:r w:rsidRPr="00CA7564">
        <w:lastRenderedPageBreak/>
        <w:t xml:space="preserve">Jako po celém světě, je i v SAE donášková služba extrémně populární. Z osobních zkušeností si dovolím říct, že většina obyvatel službu využívá téměř každodenně. Je to především díky velmi nízkým nákladům a obrovskému počtu roznáškových firem a řidičů. Je ale otázkou, jestli jde o pozitivní příklad. Donášková služba je levná nejen díky nízkým příjmům řidičů, ale především díky levným pohonným hmotám. Pro zemi, jejíž strategií je se prezentovat jako velmi uvědomělá a rozvinutá s velkým zaměřením na udržitelnost a snižování negativních dopadů na svět, by bylo využití dronů určitě ekologičtější. </w:t>
      </w:r>
    </w:p>
    <w:p w14:paraId="43259441" w14:textId="15276FA7" w:rsidR="00DB022E" w:rsidRPr="00EF76D8" w:rsidRDefault="00CA7564" w:rsidP="00EF76D8">
      <w:pPr>
        <w:spacing w:line="276" w:lineRule="auto"/>
        <w:jc w:val="both"/>
        <w:rPr>
          <w:rFonts w:eastAsia="Times New Roman" w:cs="Arial"/>
        </w:rPr>
      </w:pPr>
      <w:r w:rsidRPr="00CA7564">
        <w:t>Ve světě nicméně nejde o žádné prvenství. První donášky za použití dronů byly zavedeny v USA a Izraeli.</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2F33BDBA" w14:textId="161C3073" w:rsidR="00546055" w:rsidRPr="00546055" w:rsidRDefault="00546055" w:rsidP="00546055">
      <w:pPr>
        <w:pStyle w:val="Nadpis3"/>
        <w:spacing w:line="276" w:lineRule="auto"/>
      </w:pPr>
      <w:r w:rsidRPr="00546055">
        <w:t>Nová palivová alternativa v podobě tzv. olivových cihel</w:t>
      </w:r>
    </w:p>
    <w:p w14:paraId="6F0256A5" w14:textId="7B5C9335" w:rsidR="00546055" w:rsidRPr="00546055" w:rsidRDefault="00546055" w:rsidP="00546055">
      <w:pPr>
        <w:spacing w:line="276" w:lineRule="auto"/>
        <w:jc w:val="both"/>
      </w:pPr>
      <w:r w:rsidRPr="00546055">
        <w:t>V Libanonu právě probíhá období sklizně oliv a lisování olivového oleje. Na místním trhu roste poptávka po olivovém odpadu, tzv. olivové rašeliny, která vzniká drcením oliv při výrobě olivového oleje. Tento odpad byl dříve používán jako hnojivo, ale dnes se z něj vyrábějí tzv. olivové cihly, které slouží jako palivo při vytápění budov. S příchodem zimy si domácnosti v Libanonu instalují krby, ve kterých budou spalovat olivové zbytky lisované do podoby klasických cihel. Libanonci si pochvalují, že při spalování olivových cihel uniká do ovzduší mnohem méně emisí oproti jiným palivům. Další výhodou je snadná manipulace a nízká cena ve srovnání s cenou uhlí nebo měkkými dřevy. Nový libanonský produkt, který nabývá na popularitě, lze srovnat s našimi dřevěnými peletami. V minulých letech měli Libanonci snadný přístup k různým palivům, ale dnes, vzhledem k pokračující hospodářské krizi, si mnozí nemohou dovolit ani nákup klasického palivového dřeva.</w:t>
      </w:r>
    </w:p>
    <w:p w14:paraId="47C2DC1F" w14:textId="77777777" w:rsidR="00546055" w:rsidRDefault="00546055" w:rsidP="00546055">
      <w:pPr>
        <w:pStyle w:val="Nadpis3"/>
        <w:spacing w:line="276" w:lineRule="auto"/>
        <w:rPr>
          <w:rFonts w:ascii="Arial" w:hAnsi="Arial" w:cs="Arial"/>
        </w:rPr>
      </w:pPr>
      <w:r w:rsidRPr="00546055">
        <w:t>Dovoz kuřecího masa do Libanonu</w:t>
      </w:r>
    </w:p>
    <w:p w14:paraId="1983658F" w14:textId="07983D35" w:rsidR="00546055" w:rsidRPr="00546055" w:rsidRDefault="00546055" w:rsidP="00546055">
      <w:pPr>
        <w:spacing w:line="276" w:lineRule="auto"/>
        <w:jc w:val="both"/>
      </w:pPr>
      <w:r w:rsidRPr="00546055">
        <w:t>Vzhledem k výraznému zvýšení ceny zemědělských vstupů a krmiv dochází k výraznému nárůstu dovozu mraženého kuřecího masa, což do značné míry přispívá k poklesu místní produkce. Během posledního roku bylo uzavřeno několik místních kuřecích farem a produkce poklesla z původních 120 milionů kusů brojlerů na dnešních 80 milionů kusů. Vedení místního drůbežího syndikátu upozorňuje na dodržování zdravotních norem a standardů potravinové bezpečnosti u dováženého kuřecího masa. I když se libanonská vláda snaží o podporu místních farmářů a zpracovatelů kuřecího masa, je výsledná cena místní produkce a</w:t>
      </w:r>
      <w:r w:rsidR="00CA7564">
        <w:t> </w:t>
      </w:r>
      <w:r w:rsidRPr="00546055">
        <w:t>dovozového zboží často nesrovnatelná ve prospěch dovozů. Největšími exportéry do Libanonu jsou v současné době Brazílie, Saúdská Arábie a Spojené Arabské Emiráty. V minulosti byl libanonský drůbežářský sektor schopen pokrýt domácí spotřebu, ale od roku 2020 se místní výroba stává čím dále tím méně konkurenceschopnou.</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36B1A4F8" w14:textId="77777777" w:rsidR="00546055" w:rsidRPr="00546055" w:rsidRDefault="00546055" w:rsidP="00546055">
      <w:pPr>
        <w:pStyle w:val="Nadpis3"/>
        <w:spacing w:line="276" w:lineRule="auto"/>
      </w:pPr>
      <w:r w:rsidRPr="00546055">
        <w:t>Neprodané pečivo v Japonsku vyřešil automat s překvapením</w:t>
      </w:r>
    </w:p>
    <w:p w14:paraId="581281AE" w14:textId="77777777" w:rsidR="00546055" w:rsidRPr="00546055" w:rsidRDefault="00546055" w:rsidP="00546055">
      <w:pPr>
        <w:spacing w:line="276" w:lineRule="auto"/>
        <w:jc w:val="both"/>
      </w:pPr>
      <w:r w:rsidRPr="00546055">
        <w:t>V Japonsku přišli na způsob, jak spotřebovat neprodané pečivo z pekáren. Zákazníci si v prodejních automatech vybírají dorty, které jsou zabalené v krabicích, takže zákazník nevidí, jaký druh si koupí. Nápad prodávat zbylé dorty tímto způsobem nejen snížil ztráty pekárny, ale také ulevil zaměstnancům.</w:t>
      </w:r>
    </w:p>
    <w:p w14:paraId="5905C3E8" w14:textId="77777777" w:rsidR="00546055" w:rsidRPr="00546055" w:rsidRDefault="00546055" w:rsidP="00546055">
      <w:pPr>
        <w:spacing w:line="276" w:lineRule="auto"/>
        <w:jc w:val="both"/>
      </w:pPr>
      <w:r w:rsidRPr="00546055">
        <w:t>Ve městě Matsue v prefektuře Šimane umístili automat na pečivo a sušenky ke vchodu do pekárny. Od poloviny srpna jsou v nabídce automatu také čerstvé dorty, vždy dva kousky za 500 jenů (asi 80 Kč).</w:t>
      </w:r>
    </w:p>
    <w:p w14:paraId="4D397100" w14:textId="77777777" w:rsidR="00546055" w:rsidRPr="00546055" w:rsidRDefault="00546055" w:rsidP="00546055">
      <w:pPr>
        <w:spacing w:line="276" w:lineRule="auto"/>
        <w:jc w:val="both"/>
      </w:pPr>
      <w:r w:rsidRPr="00546055">
        <w:t>Obchod začal tento druh prodeje označovat jako „SDGs gacha pro nedokonalé dorty“, což je pojmenováno podle Cílů udržitelného rozvoje OSN (SDGs). A „gacha“ pochází z názvů automatů gachapon vydávajících hračky v kapslích, u kterých zákazníci nevědí, co si koupili, dokud je neotevřou. Před obchodem stojí fronty zákazníků, kteří se rádi vracejí buďto z důvodu výhodné koupě nebo je nadchlo překvapení. Možnost koupit si čerstvé dorty z automatu je neobvyklá, ale její obliba roste a obchod už nemusí neprodané dorty vyhazovat.</w:t>
      </w:r>
    </w:p>
    <w:p w14:paraId="2FB0DF0C" w14:textId="77777777" w:rsidR="00546055" w:rsidRPr="00546055" w:rsidRDefault="00546055" w:rsidP="00546055">
      <w:pPr>
        <w:spacing w:line="276" w:lineRule="auto"/>
        <w:jc w:val="both"/>
      </w:pPr>
      <w:r w:rsidRPr="00546055">
        <w:t>Navíc obchod s pečivem Matsue Claude upravil otevírací dobu. Zavírá nyní o hodinu dříve a zvýšil počet dní, kdy je obchod zavřený ze čtyř na devět v měsíci. Zpočátku se v pekárně obávali úbytku zákazníků, ale automat pomohl přilákat zákazníky a udržet celkový obrat. Díky většímu počtu volných dnů jsou více motivováni k práci i zaměstnanci, říká ředitelku obchodu.</w:t>
      </w:r>
    </w:p>
    <w:p w14:paraId="2F69A53B" w14:textId="77777777" w:rsidR="00546055" w:rsidRPr="00546055" w:rsidRDefault="00546055" w:rsidP="00546055">
      <w:pPr>
        <w:spacing w:before="120" w:line="276" w:lineRule="auto"/>
        <w:jc w:val="both"/>
      </w:pPr>
      <w:r w:rsidRPr="00546055">
        <w:t>Zdroj. The Japan News</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7CFCA86C" w14:textId="77777777" w:rsidR="000C7C8E" w:rsidRDefault="00F4313C" w:rsidP="001D7186">
      <w:pPr>
        <w:pStyle w:val="Nadpis3"/>
        <w:spacing w:line="276" w:lineRule="auto"/>
        <w:rPr>
          <w:rFonts w:ascii="Arial" w:hAnsi="Arial" w:cs="Arial"/>
          <w:sz w:val="22"/>
          <w:szCs w:val="22"/>
        </w:rPr>
      </w:pPr>
      <w:r w:rsidRPr="00F4313C">
        <w:rPr>
          <w:rFonts w:cs="Arial"/>
        </w:rPr>
        <w:t xml:space="preserve"> </w:t>
      </w:r>
      <w:r w:rsidR="000C7C8E" w:rsidRPr="001D7186">
        <w:t>Vláda Kazachstánu zruší necelé dvě stovky právních aktů v oblasti zemědělství</w:t>
      </w:r>
      <w:r w:rsidR="000C7C8E">
        <w:rPr>
          <w:rFonts w:ascii="Arial" w:hAnsi="Arial" w:cs="Arial"/>
          <w:b w:val="0"/>
          <w:bCs w:val="0"/>
        </w:rPr>
        <w:t xml:space="preserve"> </w:t>
      </w:r>
    </w:p>
    <w:p w14:paraId="03D6248F" w14:textId="33470020" w:rsidR="000C7C8E" w:rsidRPr="001D7186" w:rsidRDefault="000C7C8E" w:rsidP="000C7C8E">
      <w:pPr>
        <w:spacing w:line="276" w:lineRule="auto"/>
        <w:jc w:val="both"/>
      </w:pPr>
      <w:r w:rsidRPr="001D7186">
        <w:t>Dne 30. prosince 2021 podepsala hlava státu zákon, kter</w:t>
      </w:r>
      <w:r w:rsidR="00A54756">
        <w:t>ý</w:t>
      </w:r>
      <w:r w:rsidRPr="001D7186">
        <w:t xml:space="preserve"> bude regulovat právní akty </w:t>
      </w:r>
      <w:r w:rsidRPr="001D7186">
        <w:br/>
        <w:t xml:space="preserve">v oblasti podnikání v zemědělství. V této souvislosti Ministerstvo zemědělství Kazachstánu společně s Národní komorou podnikatelů „Atameken“, odborníky a zainteresovanými vládními agenturami provedlo analýzu stávajících regulačních právních aktů v oblasti zemědělství. </w:t>
      </w:r>
    </w:p>
    <w:p w14:paraId="49453606" w14:textId="77777777" w:rsidR="000C7C8E" w:rsidRPr="001D7186" w:rsidRDefault="000C7C8E" w:rsidP="000C7C8E">
      <w:pPr>
        <w:spacing w:line="276" w:lineRule="auto"/>
        <w:jc w:val="both"/>
      </w:pPr>
      <w:r w:rsidRPr="001D7186">
        <w:t xml:space="preserve">Analýzy probíhaly v následujících 7 oblastech: veterinární lékařství, ochrana rostlin a jejich karanténa, semenářství, trh s obilím, zpracování ekologických a zemědělských produktů, pozemkové vlastnictví a chov zvířat. </w:t>
      </w:r>
    </w:p>
    <w:p w14:paraId="7F36673B" w14:textId="77777777" w:rsidR="000C7C8E" w:rsidRPr="001D7186" w:rsidRDefault="000C7C8E" w:rsidP="000C7C8E">
      <w:pPr>
        <w:spacing w:line="276" w:lineRule="auto"/>
        <w:jc w:val="both"/>
      </w:pPr>
      <w:r w:rsidRPr="001D7186">
        <w:t>Na základě analýzy bylo zhodnoceno a poté i rozhodnuto buď o zrušení či revizi cca 170 právních aktů, kterými se musí řídit zemědělci při výrobě a zpracování produktů. Cílem této „reformy“ je zefektivnění regulace podnikatelského prostředí a vytvoření příznivých podmínek pro podnikání v oblasti zemědělství. Další práce v tomto směru ještě pokračují.</w:t>
      </w:r>
    </w:p>
    <w:p w14:paraId="157DF06E" w14:textId="77777777" w:rsidR="000C7C8E" w:rsidRPr="001D7186" w:rsidRDefault="000C7C8E" w:rsidP="001D7186">
      <w:pPr>
        <w:pStyle w:val="Nadpis3"/>
        <w:spacing w:line="276" w:lineRule="auto"/>
      </w:pPr>
      <w:r w:rsidRPr="001D7186">
        <w:t>Pilotní projekt na zpracování a zhodnocení dat</w:t>
      </w:r>
    </w:p>
    <w:p w14:paraId="3438F80F" w14:textId="28E4AEDB" w:rsidR="000C7C8E" w:rsidRPr="001D7186" w:rsidRDefault="000C7C8E" w:rsidP="000C7C8E">
      <w:pPr>
        <w:spacing w:line="276" w:lineRule="auto"/>
        <w:jc w:val="both"/>
      </w:pPr>
      <w:r w:rsidRPr="001D7186">
        <w:t xml:space="preserve">Ministerstvo zemědělství Republiky Kazachstán </w:t>
      </w:r>
      <w:r w:rsidR="00C62EDC">
        <w:t>plánuje realizaci</w:t>
      </w:r>
      <w:r w:rsidRPr="001D7186">
        <w:t xml:space="preserve"> pilotního projektu, který </w:t>
      </w:r>
      <w:r w:rsidR="00C62EDC">
        <w:t>z</w:t>
      </w:r>
      <w:r w:rsidRPr="001D7186">
        <w:t>pracovala Organizace pro výživu a zemědělství (</w:t>
      </w:r>
      <w:r w:rsidR="00C62EDC">
        <w:t>FAO</w:t>
      </w:r>
      <w:r w:rsidRPr="001D7186">
        <w:t xml:space="preserve">). </w:t>
      </w:r>
      <w:r w:rsidR="00C62EDC">
        <w:t>Smys</w:t>
      </w:r>
      <w:r w:rsidRPr="001D7186">
        <w:t xml:space="preserve">lem tohoto projektu je testovat, vyvíjet a zlepšovat nástroje a metodiky, které využívají data dálkového monitorování zemědělské půdy a jejích výnosů. </w:t>
      </w:r>
      <w:r w:rsidR="002B1CB3">
        <w:t>P</w:t>
      </w:r>
      <w:r w:rsidRPr="001D7186">
        <w:t xml:space="preserve">rojekt </w:t>
      </w:r>
      <w:r w:rsidR="002B1CB3">
        <w:t>tak</w:t>
      </w:r>
      <w:r w:rsidRPr="001D7186">
        <w:t xml:space="preserve"> umožní získávat </w:t>
      </w:r>
      <w:r w:rsidR="002B1CB3">
        <w:t xml:space="preserve">daleko přesnější </w:t>
      </w:r>
      <w:r w:rsidRPr="001D7186">
        <w:t xml:space="preserve">informace. </w:t>
      </w:r>
    </w:p>
    <w:p w14:paraId="08912155" w14:textId="2AD81F26" w:rsidR="000C7C8E" w:rsidRPr="001D7186" w:rsidRDefault="002B1CB3" w:rsidP="000C7C8E">
      <w:pPr>
        <w:spacing w:line="276" w:lineRule="auto"/>
        <w:jc w:val="both"/>
      </w:pPr>
      <w:r>
        <w:t>V současné době</w:t>
      </w:r>
      <w:r w:rsidR="000C7C8E" w:rsidRPr="001D7186">
        <w:t xml:space="preserve"> probíhají </w:t>
      </w:r>
      <w:r w:rsidR="00C62EDC">
        <w:t>j</w:t>
      </w:r>
      <w:r w:rsidR="000C7C8E" w:rsidRPr="001D7186">
        <w:t xml:space="preserve">ednání mezi Ministerstvem zemědělství Kazachstánu a FAO, </w:t>
      </w:r>
      <w:r>
        <w:t>následně</w:t>
      </w:r>
      <w:r w:rsidR="000C7C8E" w:rsidRPr="001D7186">
        <w:t xml:space="preserve"> bude podepsána dohoda o realizaci projektu. Průběžně se pracuje na zdokonalování </w:t>
      </w:r>
      <w:r>
        <w:t>metodiky</w:t>
      </w:r>
      <w:r w:rsidR="000C7C8E" w:rsidRPr="001D7186">
        <w:t xml:space="preserve"> a jsou přijímána nezbytná opatření </w:t>
      </w:r>
      <w:r>
        <w:t>pro dosažení</w:t>
      </w:r>
      <w:r w:rsidR="000C7C8E" w:rsidRPr="001D7186">
        <w:t xml:space="preserve"> spolehlivé evidenc</w:t>
      </w:r>
      <w:r>
        <w:t>e</w:t>
      </w:r>
      <w:r w:rsidR="000C7C8E" w:rsidRPr="001D7186">
        <w:t xml:space="preserve"> zemědělských dat.</w:t>
      </w:r>
    </w:p>
    <w:p w14:paraId="6B89212C" w14:textId="42B8711A" w:rsidR="00505C2E" w:rsidRPr="00EF76D8" w:rsidRDefault="00505C2E" w:rsidP="00EF76D8">
      <w:pPr>
        <w:spacing w:line="276" w:lineRule="auto"/>
        <w:jc w:val="both"/>
        <w:rPr>
          <w:rFonts w:cs="Arial"/>
          <w:b/>
        </w:rPr>
      </w:pPr>
    </w:p>
    <w:p w14:paraId="3C8749F9" w14:textId="77777777" w:rsidR="002B1CB3" w:rsidRDefault="002B1CB3">
      <w:pPr>
        <w:rPr>
          <w:rFonts w:eastAsiaTheme="minorEastAsia" w:cs="Arial"/>
          <w:b/>
          <w:bCs/>
          <w:sz w:val="28"/>
          <w:szCs w:val="28"/>
        </w:rPr>
      </w:pPr>
      <w:r>
        <w:rPr>
          <w:rFonts w:cs="Arial"/>
        </w:rPr>
        <w:br w:type="page"/>
      </w:r>
    </w:p>
    <w:p w14:paraId="06CA9258" w14:textId="7C860553"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18EC2982" w14:textId="77777777" w:rsidR="00CA7564" w:rsidRPr="00CA7564" w:rsidRDefault="00CA7564" w:rsidP="00CA7564">
      <w:pPr>
        <w:pStyle w:val="Nadpis3"/>
        <w:spacing w:line="276" w:lineRule="auto"/>
      </w:pPr>
      <w:r w:rsidRPr="00CA7564">
        <w:t>Coca-Cola postaví ve Vietnamu další výrobní závod</w:t>
      </w:r>
    </w:p>
    <w:p w14:paraId="3FDF0C3E" w14:textId="681158BC" w:rsidR="00CA7564" w:rsidRPr="00CA7564" w:rsidRDefault="00CA7564" w:rsidP="00CA7564">
      <w:pPr>
        <w:spacing w:line="276" w:lineRule="auto"/>
        <w:jc w:val="both"/>
      </w:pPr>
      <w:r w:rsidRPr="00CA7564">
        <w:t xml:space="preserve">Stavba čtvrté a největší továrny na nápoje Coca-Cola ve Vietnamu byla zahájena 14. 10. 2022 v provincii Long An v deltě Mekongu. Projekt za 136 milionů USD má být dokončen do r. 2039 a bude mít </w:t>
      </w:r>
      <w:r w:rsidR="002B1CB3">
        <w:t xml:space="preserve">výrobní </w:t>
      </w:r>
      <w:r w:rsidRPr="00CA7564">
        <w:t>kapacitu jeden milion m</w:t>
      </w:r>
      <w:r w:rsidRPr="002B1CB3">
        <w:rPr>
          <w:vertAlign w:val="superscript"/>
        </w:rPr>
        <w:t>3</w:t>
      </w:r>
      <w:r w:rsidRPr="00CA7564">
        <w:t xml:space="preserve"> nápojů ročně. Během první etapy bude do r. 2027 dokončeno šest výrobních linek na 1/3 plochy nové továrny v průmyslovém parku Phu An Thanh. Výroba bude integrována s pokročilou automatizací, solární energií a technologií biomasy.</w:t>
      </w:r>
    </w:p>
    <w:p w14:paraId="6AE58648" w14:textId="4985E4DD" w:rsidR="00CA7564" w:rsidRPr="00CA7564" w:rsidRDefault="00CA7564" w:rsidP="00CA7564">
      <w:pPr>
        <w:spacing w:line="276" w:lineRule="auto"/>
        <w:jc w:val="both"/>
      </w:pPr>
      <w:r w:rsidRPr="00CA7564">
        <w:t>Tři stávající výrobní závody Coca-Coly Vietnam jsou v Ho Či Minově Městě, Da Nangu a</w:t>
      </w:r>
      <w:r>
        <w:t> </w:t>
      </w:r>
      <w:r w:rsidRPr="00CA7564">
        <w:t>Hanoji. Zaměstnávají přibližně 2 000 lidí a dále vytvářejí 6–8krát více nepřímých pracovních míst v celém hodnotovém řetězci společnosti.</w:t>
      </w:r>
    </w:p>
    <w:p w14:paraId="025D573F" w14:textId="77777777" w:rsidR="00CA7564" w:rsidRPr="00CA7564" w:rsidRDefault="00CA7564" w:rsidP="00CA7564">
      <w:pPr>
        <w:spacing w:line="276" w:lineRule="auto"/>
        <w:jc w:val="both"/>
      </w:pPr>
      <w:r w:rsidRPr="00CA7564">
        <w:t>Jako PR firma iniciuje řadu komunitních a udržitelných programů, jako je poskytování systémů filtrace vody pro školy, používání 100% recyklovaných PET lahví či podpora programu Ocean Cleanup (konkrétně těžby odpadu z řek v deltě Mekongu).</w:t>
      </w:r>
    </w:p>
    <w:p w14:paraId="51E8AC54" w14:textId="77777777" w:rsidR="00CA7564" w:rsidRPr="00CA7564" w:rsidRDefault="00CA7564" w:rsidP="00CA7564">
      <w:pPr>
        <w:spacing w:line="276" w:lineRule="auto"/>
        <w:jc w:val="both"/>
      </w:pPr>
      <w:r w:rsidRPr="00CA7564">
        <w:t>Coca-Cola vstoupila do Vietnamu v roce 1994 po zrušení třicetiletého embarga ze strany USA a krátce před normalizací diplomatických vztahů mezi Vietnamem a USA. Navzdory rychlému růstu tržeb začala firma dosahovat zisků až v r. 2013. Na začátku r. 2020 bylo společnosti Coca-Cola Vietnam nařízeno zaplatit 35,4 mil. USD za krácení daní v období let 2007–2015 včetně penále.</w:t>
      </w:r>
    </w:p>
    <w:p w14:paraId="6628054E" w14:textId="77777777" w:rsidR="00CA7564" w:rsidRPr="00CA7564" w:rsidRDefault="00CA7564" w:rsidP="00CA7564">
      <w:pPr>
        <w:spacing w:line="276" w:lineRule="auto"/>
        <w:jc w:val="both"/>
      </w:pPr>
      <w:r w:rsidRPr="00CA7564">
        <w:t>V roce 2016 dostala Coca-Cola Vietnam pokutu téměř 20 000 USD za porušení bezpečnosti potravin. Jednalo se o porušení předpisů při výrobě doplňků stravy (výrobek neměl certifikát bezpečnosti potravin) a v energetickém nápoji Samurai Strawberry byl nižší obsah vitaminu B9 (kyseliny listové), než se deklarovalo.</w:t>
      </w:r>
    </w:p>
    <w:p w14:paraId="28607CAB" w14:textId="77777777" w:rsidR="00CA7564" w:rsidRPr="00CA7564" w:rsidRDefault="00CA7564" w:rsidP="00CA7564">
      <w:pPr>
        <w:spacing w:line="276" w:lineRule="auto"/>
        <w:jc w:val="both"/>
      </w:pPr>
      <w:r w:rsidRPr="00CA7564">
        <w:t>Ohlášené rozsáhlé investice jsou výzvou také pro české firmy, které dodávají technologie pro potravinářský a nápojový průmysl.</w:t>
      </w:r>
    </w:p>
    <w:p w14:paraId="3414570C" w14:textId="7EDFDD69" w:rsidR="00D4434C" w:rsidRDefault="00D4434C" w:rsidP="00EF76D8">
      <w:pPr>
        <w:spacing w:line="276" w:lineRule="auto"/>
        <w:jc w:val="both"/>
        <w:rPr>
          <w:rFonts w:cs="Arial"/>
        </w:rPr>
      </w:pPr>
    </w:p>
    <w:sectPr w:rsidR="00D4434C" w:rsidSect="00505C2E">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198B" w14:textId="77777777" w:rsidR="000E747B" w:rsidRDefault="000E747B" w:rsidP="00D4434C">
      <w:r>
        <w:separator/>
      </w:r>
    </w:p>
  </w:endnote>
  <w:endnote w:type="continuationSeparator" w:id="0">
    <w:p w14:paraId="65EE6BC8" w14:textId="77777777" w:rsidR="000E747B" w:rsidRDefault="000E747B"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6EE7" w14:textId="77777777" w:rsidR="000E747B" w:rsidRDefault="000E747B" w:rsidP="00D4434C">
      <w:r>
        <w:separator/>
      </w:r>
    </w:p>
  </w:footnote>
  <w:footnote w:type="continuationSeparator" w:id="0">
    <w:p w14:paraId="113454E0" w14:textId="77777777" w:rsidR="000E747B" w:rsidRDefault="000E747B"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C7C8E"/>
    <w:rsid w:val="000E747B"/>
    <w:rsid w:val="000F717B"/>
    <w:rsid w:val="00126ADE"/>
    <w:rsid w:val="00146BCF"/>
    <w:rsid w:val="001D3F62"/>
    <w:rsid w:val="001D7186"/>
    <w:rsid w:val="001F023C"/>
    <w:rsid w:val="001F29AF"/>
    <w:rsid w:val="00223F87"/>
    <w:rsid w:val="002616B5"/>
    <w:rsid w:val="00267D97"/>
    <w:rsid w:val="002A2D85"/>
    <w:rsid w:val="002A56DF"/>
    <w:rsid w:val="002B1CB3"/>
    <w:rsid w:val="002C4880"/>
    <w:rsid w:val="002E5EAD"/>
    <w:rsid w:val="00370E34"/>
    <w:rsid w:val="003964FA"/>
    <w:rsid w:val="003D2B3B"/>
    <w:rsid w:val="003D56E1"/>
    <w:rsid w:val="004232BE"/>
    <w:rsid w:val="004559E3"/>
    <w:rsid w:val="004962CD"/>
    <w:rsid w:val="004A6C5B"/>
    <w:rsid w:val="004E6FCD"/>
    <w:rsid w:val="00505C2E"/>
    <w:rsid w:val="005248F4"/>
    <w:rsid w:val="00524BA5"/>
    <w:rsid w:val="0054605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9E42EA"/>
    <w:rsid w:val="00A53226"/>
    <w:rsid w:val="00A54756"/>
    <w:rsid w:val="00A85207"/>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C7373"/>
    <w:rsid w:val="00BD647F"/>
    <w:rsid w:val="00BD7227"/>
    <w:rsid w:val="00C0233A"/>
    <w:rsid w:val="00C34CC6"/>
    <w:rsid w:val="00C57B4E"/>
    <w:rsid w:val="00C62EDC"/>
    <w:rsid w:val="00C833B6"/>
    <w:rsid w:val="00CA1C10"/>
    <w:rsid w:val="00CA2C8C"/>
    <w:rsid w:val="00CA478D"/>
    <w:rsid w:val="00CA7564"/>
    <w:rsid w:val="00CF2F53"/>
    <w:rsid w:val="00D05C35"/>
    <w:rsid w:val="00D4434C"/>
    <w:rsid w:val="00D71800"/>
    <w:rsid w:val="00DA01A0"/>
    <w:rsid w:val="00DA25B0"/>
    <w:rsid w:val="00DB022E"/>
    <w:rsid w:val="00DB0371"/>
    <w:rsid w:val="00DB3BA7"/>
    <w:rsid w:val="00E0689A"/>
    <w:rsid w:val="00E519CE"/>
    <w:rsid w:val="00E52E29"/>
    <w:rsid w:val="00E663BC"/>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CA7564"/>
    <w:pPr>
      <w:spacing w:before="100" w:beforeAutospacing="1" w:after="100" w:afterAutospacing="1"/>
    </w:pPr>
    <w:rPr>
      <w:rFonts w:ascii="Times New Roman" w:eastAsia="Times New Roman" w:hAnsi="Times New Roman"/>
      <w:sz w:val="24"/>
      <w:szCs w:val="24"/>
      <w:lang w:eastAsia="cs-CZ"/>
    </w:rPr>
  </w:style>
  <w:style w:type="paragraph" w:styleId="FormtovanvHTML">
    <w:name w:val="HTML Preformatted"/>
    <w:basedOn w:val="Normln"/>
    <w:link w:val="FormtovanvHTMLChar"/>
    <w:uiPriority w:val="99"/>
    <w:semiHidden/>
    <w:unhideWhenUsed/>
    <w:rsid w:val="00CA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semiHidden/>
    <w:rsid w:val="00CA7564"/>
    <w:rPr>
      <w:rFonts w:ascii="Courier New" w:eastAsia="Times New Roman" w:hAnsi="Courier New" w:cs="Courier New"/>
      <w:lang w:val="en-US" w:eastAsia="en-US"/>
    </w:rPr>
  </w:style>
  <w:style w:type="character" w:customStyle="1" w:styleId="y2iqfc">
    <w:name w:val="y2iqfc"/>
    <w:basedOn w:val="Standardnpsmoodstavce"/>
    <w:rsid w:val="00CA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6372">
      <w:bodyDiv w:val="1"/>
      <w:marLeft w:val="0"/>
      <w:marRight w:val="0"/>
      <w:marTop w:val="0"/>
      <w:marBottom w:val="0"/>
      <w:divBdr>
        <w:top w:val="none" w:sz="0" w:space="0" w:color="auto"/>
        <w:left w:val="none" w:sz="0" w:space="0" w:color="auto"/>
        <w:bottom w:val="none" w:sz="0" w:space="0" w:color="auto"/>
        <w:right w:val="none" w:sz="0" w:space="0" w:color="auto"/>
      </w:divBdr>
    </w:div>
    <w:div w:id="62385065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179656788">
      <w:bodyDiv w:val="1"/>
      <w:marLeft w:val="0"/>
      <w:marRight w:val="0"/>
      <w:marTop w:val="0"/>
      <w:marBottom w:val="0"/>
      <w:divBdr>
        <w:top w:val="none" w:sz="0" w:space="0" w:color="auto"/>
        <w:left w:val="none" w:sz="0" w:space="0" w:color="auto"/>
        <w:bottom w:val="none" w:sz="0" w:space="0" w:color="auto"/>
        <w:right w:val="none" w:sz="0" w:space="0" w:color="auto"/>
      </w:divBdr>
    </w:div>
    <w:div w:id="1693725949">
      <w:bodyDiv w:val="1"/>
      <w:marLeft w:val="0"/>
      <w:marRight w:val="0"/>
      <w:marTop w:val="0"/>
      <w:marBottom w:val="0"/>
      <w:divBdr>
        <w:top w:val="none" w:sz="0" w:space="0" w:color="auto"/>
        <w:left w:val="none" w:sz="0" w:space="0" w:color="auto"/>
        <w:bottom w:val="none" w:sz="0" w:space="0" w:color="auto"/>
        <w:right w:val="none" w:sz="0" w:space="0" w:color="auto"/>
      </w:divBdr>
    </w:div>
    <w:div w:id="1883324412">
      <w:bodyDiv w:val="1"/>
      <w:marLeft w:val="0"/>
      <w:marRight w:val="0"/>
      <w:marTop w:val="0"/>
      <w:marBottom w:val="0"/>
      <w:divBdr>
        <w:top w:val="none" w:sz="0" w:space="0" w:color="auto"/>
        <w:left w:val="none" w:sz="0" w:space="0" w:color="auto"/>
        <w:bottom w:val="none" w:sz="0" w:space="0" w:color="auto"/>
        <w:right w:val="none" w:sz="0" w:space="0" w:color="auto"/>
      </w:divBdr>
    </w:div>
    <w:div w:id="20333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_sochor@mzv.cz" TargetMode="Externa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4</Pages>
  <Words>1684</Words>
  <Characters>9940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11601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2022-10-24T05:53:00Z</dcterms:created>
  <dcterms:modified xsi:type="dcterms:W3CDTF">2022-10-24T05:53:00Z</dcterms:modified>
</cp:coreProperties>
</file>