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C881370"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D02B33">
        <w:rPr>
          <w:rFonts w:ascii="Arial" w:hAnsi="Arial" w:cs="Arial"/>
          <w:noProof/>
        </w:rPr>
        <w:t>pátek 19. srpna 2022</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3A24AFAD" w14:textId="0E5B14E5" w:rsidR="00717F96" w:rsidRPr="00D05C35"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r w:rsidR="00D71800"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A2FB3D8" w14:textId="77777777" w:rsidR="0089036A" w:rsidRPr="0089036A" w:rsidRDefault="0089036A" w:rsidP="0089036A">
      <w:pPr>
        <w:pStyle w:val="Nadpis3"/>
        <w:spacing w:line="276" w:lineRule="auto"/>
      </w:pPr>
      <w:r w:rsidRPr="0089036A">
        <w:t>Sucho ohrožuje úrodu v jižní Číně</w:t>
      </w:r>
    </w:p>
    <w:p w14:paraId="1313593C" w14:textId="77777777" w:rsidR="0089036A" w:rsidRPr="0089036A" w:rsidRDefault="0089036A" w:rsidP="0089036A">
      <w:pPr>
        <w:spacing w:line="276" w:lineRule="auto"/>
        <w:jc w:val="both"/>
      </w:pPr>
      <w:r w:rsidRPr="0089036A">
        <w:t xml:space="preserve">Potravinové zabezpečení Číny čelí v současnosti novým hrozbám v podobě nepříznivých klimatických vlivů ve významných zemědělských oblastech. Oblasti Číny ležící v povodí Dlouhé řeky již dva měsíce sužují vysoké teploty a nejnižší úroveň srážek za posledních šest dekád, což vyústilo v dlouhotrvající sucha. </w:t>
      </w:r>
    </w:p>
    <w:p w14:paraId="68531EB2" w14:textId="77777777" w:rsidR="0089036A" w:rsidRPr="0089036A" w:rsidRDefault="0089036A" w:rsidP="0089036A">
      <w:pPr>
        <w:spacing w:line="276" w:lineRule="auto"/>
        <w:jc w:val="both"/>
      </w:pPr>
      <w:r w:rsidRPr="0089036A">
        <w:t xml:space="preserve">Silně postižena je jedna z nejlidnatějších provincií Číny </w:t>
      </w:r>
      <w:proofErr w:type="spellStart"/>
      <w:r w:rsidRPr="0089036A">
        <w:t>Sichuan</w:t>
      </w:r>
      <w:proofErr w:type="spellEnd"/>
      <w:r w:rsidRPr="0089036A">
        <w:t xml:space="preserve">. Noviny </w:t>
      </w:r>
      <w:proofErr w:type="spellStart"/>
      <w:r w:rsidRPr="0089036A">
        <w:t>Global</w:t>
      </w:r>
      <w:proofErr w:type="spellEnd"/>
      <w:r w:rsidRPr="0089036A">
        <w:t xml:space="preserve"> Times uvádějí, že v </w:t>
      </w:r>
      <w:proofErr w:type="spellStart"/>
      <w:r w:rsidRPr="0089036A">
        <w:t>megapoli</w:t>
      </w:r>
      <w:proofErr w:type="spellEnd"/>
      <w:r w:rsidRPr="0089036A">
        <w:t xml:space="preserve"> </w:t>
      </w:r>
      <w:proofErr w:type="spellStart"/>
      <w:r w:rsidRPr="0089036A">
        <w:t>Chunqing</w:t>
      </w:r>
      <w:proofErr w:type="spellEnd"/>
      <w:r w:rsidRPr="0089036A">
        <w:t xml:space="preserve"> s touto provincií sousedící vyschlo 51 říčních toků a 24 rezervoárů. Reuters zmiňuje, že 80 % elektrické energie v </w:t>
      </w:r>
      <w:proofErr w:type="spellStart"/>
      <w:r w:rsidRPr="0089036A">
        <w:t>Sichuanu</w:t>
      </w:r>
      <w:proofErr w:type="spellEnd"/>
      <w:r w:rsidRPr="0089036A">
        <w:t xml:space="preserve"> vyrábí hydroelektrárny, současná sucha zapříčinila výpadky proudu i v rezidenčních oblastech. Kvůli nedostatku elektřiny museli produkci omezit i průmyslové podniky včetně výrobců hnojiv. </w:t>
      </w:r>
      <w:proofErr w:type="spellStart"/>
      <w:r w:rsidRPr="0089036A">
        <w:t>Global</w:t>
      </w:r>
      <w:proofErr w:type="spellEnd"/>
      <w:r w:rsidRPr="0089036A">
        <w:t xml:space="preserve"> Times uvádí, že se současná sucha budou zhoršovat minimálně po následujících čtrnáct dní. Hrozí tak, že se nedostatek energie přelije i do východních provincií částečně závislých na </w:t>
      </w:r>
      <w:proofErr w:type="spellStart"/>
      <w:r w:rsidRPr="0089036A">
        <w:t>sichuanské</w:t>
      </w:r>
      <w:proofErr w:type="spellEnd"/>
      <w:r w:rsidRPr="0089036A">
        <w:t xml:space="preserve"> produkci. </w:t>
      </w:r>
    </w:p>
    <w:p w14:paraId="57CD92F1" w14:textId="4DA04352" w:rsidR="0089036A" w:rsidRDefault="0089036A" w:rsidP="0089036A">
      <w:pPr>
        <w:spacing w:line="276" w:lineRule="auto"/>
        <w:jc w:val="both"/>
      </w:pPr>
      <w:r w:rsidRPr="0089036A">
        <w:t>Statistiky čínského ministerstva vodních zdrojů uvádí, že sucha mají dopad na téměř 645 tisíc hektarů pěstební plochy. Ministerstvo zemědělství již do postižených oblastí vyslalo odborníky, kteří mají za úkol zmírnit dopad těchto klimatických vlivů na podzimní sklizeň. Čínští odborníci však mají za to, že by sucha neměla mít větší vliv na úroveň úrody díky tomu, že oblast disponuje rozvinutým zavlažovacím systémem s možností závlahy podzemní vodou.</w:t>
      </w:r>
    </w:p>
    <w:p w14:paraId="18438A37" w14:textId="721A2942" w:rsidR="00D02B33" w:rsidRDefault="00D02B33" w:rsidP="0089036A">
      <w:pPr>
        <w:spacing w:line="276" w:lineRule="auto"/>
        <w:jc w:val="both"/>
      </w:pPr>
    </w:p>
    <w:p w14:paraId="642C283A" w14:textId="77777777" w:rsidR="00D02B33" w:rsidRPr="00D02B33" w:rsidRDefault="00D02B33" w:rsidP="00D02B33">
      <w:pPr>
        <w:pStyle w:val="Nadpis3"/>
        <w:spacing w:line="276" w:lineRule="auto"/>
      </w:pPr>
      <w:r w:rsidRPr="00D02B33">
        <w:t>Hongkongský řetězec hledá dodavatele krmiv a potřeb pro domácí mazlíčky</w:t>
      </w:r>
    </w:p>
    <w:p w14:paraId="0D101456" w14:textId="77777777" w:rsidR="00D02B33" w:rsidRPr="00E9037F" w:rsidRDefault="00D02B33" w:rsidP="00D02B33">
      <w:pPr>
        <w:spacing w:line="276" w:lineRule="auto"/>
        <w:jc w:val="both"/>
        <w:rPr>
          <w:rFonts w:cs="Arial"/>
        </w:rPr>
      </w:pPr>
      <w:r w:rsidRPr="00E9037F">
        <w:rPr>
          <w:rFonts w:cs="Arial"/>
        </w:rPr>
        <w:t>Největší hongkongský obchod s potřebami pro domácí mazlíčky Q-</w:t>
      </w:r>
      <w:proofErr w:type="spellStart"/>
      <w:r w:rsidRPr="00E9037F">
        <w:rPr>
          <w:rFonts w:cs="Arial"/>
        </w:rPr>
        <w:t>Pets</w:t>
      </w:r>
      <w:proofErr w:type="spellEnd"/>
      <w:r w:rsidRPr="00E9037F">
        <w:rPr>
          <w:rFonts w:cs="Arial"/>
        </w:rPr>
        <w:t xml:space="preserve"> (40+ kamenných obchodů v rámci HK; člen skupiny ADP Pentagon </w:t>
      </w:r>
      <w:proofErr w:type="spellStart"/>
      <w:r w:rsidRPr="00E9037F">
        <w:rPr>
          <w:rFonts w:cs="Arial"/>
        </w:rPr>
        <w:t>pets</w:t>
      </w:r>
      <w:proofErr w:type="spellEnd"/>
      <w:r w:rsidRPr="00E9037F">
        <w:rPr>
          <w:rFonts w:cs="Arial"/>
        </w:rPr>
        <w:t xml:space="preserve">; </w:t>
      </w:r>
      <w:proofErr w:type="spellStart"/>
      <w:r w:rsidRPr="00E9037F">
        <w:rPr>
          <w:rFonts w:cs="Arial"/>
        </w:rPr>
        <w:t>online+offline</w:t>
      </w:r>
      <w:proofErr w:type="spellEnd"/>
      <w:r w:rsidRPr="00E9037F">
        <w:rPr>
          <w:rFonts w:cs="Arial"/>
        </w:rPr>
        <w:t>) hledá nové obchodní partnery v ČR. Jedná se o jedničku na místním trhu (tržní podíl cca 40</w:t>
      </w:r>
      <w:r>
        <w:rPr>
          <w:rFonts w:cs="Arial"/>
        </w:rPr>
        <w:t xml:space="preserve"> </w:t>
      </w:r>
      <w:r w:rsidRPr="00E9037F">
        <w:rPr>
          <w:rFonts w:cs="Arial"/>
        </w:rPr>
        <w:t>%) a exkluzivního distributora řady zahraničních výrobců (</w:t>
      </w:r>
      <w:proofErr w:type="spellStart"/>
      <w:r w:rsidRPr="00E9037F">
        <w:rPr>
          <w:rFonts w:cs="Arial"/>
        </w:rPr>
        <w:t>Gimdog</w:t>
      </w:r>
      <w:proofErr w:type="spellEnd"/>
      <w:r w:rsidRPr="00E9037F">
        <w:rPr>
          <w:rFonts w:cs="Arial"/>
        </w:rPr>
        <w:t xml:space="preserve">, </w:t>
      </w:r>
      <w:proofErr w:type="spellStart"/>
      <w:r w:rsidRPr="00E9037F">
        <w:rPr>
          <w:rFonts w:cs="Arial"/>
        </w:rPr>
        <w:t>Kaytee</w:t>
      </w:r>
      <w:proofErr w:type="spellEnd"/>
      <w:r w:rsidRPr="00E9037F">
        <w:rPr>
          <w:rFonts w:cs="Arial"/>
        </w:rPr>
        <w:t xml:space="preserve">, </w:t>
      </w:r>
      <w:proofErr w:type="spellStart"/>
      <w:proofErr w:type="gramStart"/>
      <w:r w:rsidRPr="00E9037F">
        <w:rPr>
          <w:rFonts w:cs="Arial"/>
        </w:rPr>
        <w:t>Vetalogica</w:t>
      </w:r>
      <w:proofErr w:type="spellEnd"/>
      <w:r w:rsidRPr="00E9037F">
        <w:rPr>
          <w:rFonts w:cs="Arial"/>
        </w:rPr>
        <w:t>,</w:t>
      </w:r>
      <w:proofErr w:type="gramEnd"/>
      <w:r w:rsidRPr="00E9037F">
        <w:rPr>
          <w:rFonts w:cs="Arial"/>
        </w:rPr>
        <w:t xml:space="preserve"> </w:t>
      </w:r>
      <w:proofErr w:type="spellStart"/>
      <w:r w:rsidRPr="00E9037F">
        <w:rPr>
          <w:rFonts w:cs="Arial"/>
        </w:rPr>
        <w:t>etc</w:t>
      </w:r>
      <w:proofErr w:type="spellEnd"/>
      <w:r w:rsidRPr="00E9037F">
        <w:rPr>
          <w:rFonts w:cs="Arial"/>
        </w:rPr>
        <w:t xml:space="preserve">.). </w:t>
      </w:r>
    </w:p>
    <w:p w14:paraId="3CE8E3DC" w14:textId="0DCA44C3" w:rsidR="00D02B33" w:rsidRDefault="00D02B33" w:rsidP="00D02B33">
      <w:pPr>
        <w:spacing w:line="276" w:lineRule="auto"/>
        <w:jc w:val="both"/>
        <w:rPr>
          <w:rFonts w:cs="Arial"/>
        </w:rPr>
      </w:pPr>
      <w:r w:rsidRPr="00E9037F">
        <w:rPr>
          <w:rFonts w:cs="Arial"/>
        </w:rPr>
        <w:t xml:space="preserve">Prvotní testovací objednávka by byla v objemu 2 palet zboží. Z hlediska produktů je poptáváno následující: krmivo pro kočky a psy, doplňky, nepotravinové doplňky pro domácí mazlíčky, klece, čistící/mycí produkty, </w:t>
      </w:r>
      <w:proofErr w:type="spellStart"/>
      <w:r w:rsidRPr="00E9037F">
        <w:rPr>
          <w:rFonts w:cs="Arial"/>
        </w:rPr>
        <w:t>smart</w:t>
      </w:r>
      <w:proofErr w:type="spellEnd"/>
      <w:r w:rsidRPr="00E9037F">
        <w:rPr>
          <w:rFonts w:cs="Arial"/>
        </w:rPr>
        <w:t xml:space="preserve"> hračky pro zvířata.</w:t>
      </w:r>
    </w:p>
    <w:p w14:paraId="4D7A46BD" w14:textId="77777777" w:rsidR="00D02B33" w:rsidRDefault="00D02B33" w:rsidP="00D02B33">
      <w:pPr>
        <w:spacing w:line="276" w:lineRule="auto"/>
        <w:jc w:val="both"/>
        <w:rPr>
          <w:rFonts w:cs="Arial"/>
        </w:rPr>
      </w:pPr>
      <w:r>
        <w:rPr>
          <w:rFonts w:cs="Arial"/>
        </w:rPr>
        <w:t>Pro více informací prosím kontaktujte vedoucí ekonomického úseku Generálního konzulátu ČR v Hongkongu paní Annu Dupalovou.</w:t>
      </w:r>
    </w:p>
    <w:p w14:paraId="66F89600" w14:textId="77777777" w:rsidR="00D02B33" w:rsidRPr="00E9037F" w:rsidRDefault="00D02B33" w:rsidP="00D02B33">
      <w:pPr>
        <w:spacing w:line="276" w:lineRule="auto"/>
        <w:jc w:val="both"/>
        <w:rPr>
          <w:rFonts w:cs="Arial"/>
        </w:rPr>
      </w:pPr>
      <w:hyperlink r:id="rId9" w:history="1">
        <w:r w:rsidRPr="00E9037F">
          <w:rPr>
            <w:rStyle w:val="Hypertextovodkaz"/>
            <w:rFonts w:cs="Arial"/>
          </w:rPr>
          <w:t>Commerce_Hongkong@mzv.cz</w:t>
        </w:r>
      </w:hyperlink>
    </w:p>
    <w:p w14:paraId="70ADBB8A" w14:textId="77777777" w:rsidR="00D02B33" w:rsidRPr="0089036A" w:rsidRDefault="00D02B33" w:rsidP="0089036A">
      <w:pPr>
        <w:spacing w:line="276" w:lineRule="auto"/>
        <w:jc w:val="both"/>
      </w:pP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10" w:history="1">
        <w:r w:rsidR="00656C69" w:rsidRPr="00F00B6D">
          <w:rPr>
            <w:rStyle w:val="Hypertextovodkaz"/>
            <w:rFonts w:cs="Arial"/>
          </w:rPr>
          <w:t>vladimir_vana@mzv.cz</w:t>
        </w:r>
      </w:hyperlink>
      <w:r w:rsidR="00B554B9" w:rsidRPr="00587417">
        <w:rPr>
          <w:rFonts w:cs="Arial"/>
        </w:rPr>
        <w:t xml:space="preserve"> </w:t>
      </w:r>
    </w:p>
    <w:p w14:paraId="45D70F3E" w14:textId="681D74EC" w:rsidR="0089036A" w:rsidRPr="0089036A" w:rsidRDefault="0089036A" w:rsidP="0089036A">
      <w:pPr>
        <w:pStyle w:val="Nadpis3"/>
        <w:spacing w:line="276" w:lineRule="auto"/>
      </w:pPr>
      <w:bookmarkStart w:id="0" w:name="_Hlk111813629"/>
      <w:r w:rsidRPr="0089036A">
        <w:t>SRBSKO – zvyšuje výrobu zmrzliny</w:t>
      </w:r>
      <w:bookmarkEnd w:id="0"/>
    </w:p>
    <w:p w14:paraId="0896BA85" w14:textId="2184F1FF" w:rsidR="0089036A" w:rsidRPr="0089036A" w:rsidRDefault="0089036A" w:rsidP="0089036A">
      <w:pPr>
        <w:spacing w:line="276" w:lineRule="auto"/>
        <w:jc w:val="both"/>
      </w:pPr>
      <w:r w:rsidRPr="0089036A">
        <w:t xml:space="preserve">Podle informací Hospodářské komory Srbska se v roce 2021 v zemí vyrobilo 42 114 tun zmrzliny, což je výrazný nárůst oproti roku 2020, kdy bylo vyprodukováno 33 818 tun. Obecně </w:t>
      </w:r>
      <w:r w:rsidRPr="0089036A">
        <w:lastRenderedPageBreak/>
        <w:t xml:space="preserve">Srbsko zaznamenává pravidelný meziroční růst produkce zmrzliny, jen od roku 2016 vzrostla její výroba čtyřikrát. Většina zmrzliny se ze Srbska vyváží, v roce 2021 bylo exportováno 30 000 tun v celkové hodnotě 63,6 miliónů EUR. Nejvíce se srbská zmrzlina vyváží do zemí regionu, kde na předním místě je Bulharsko, kam se v roce 2021 vyvezlo 7 415 tun, a Řecko, kam směřovalo 5 351 tun.  Zajímavé je, že třetí nejvýznamnější vývozní destinací byla v r. 2021 Velká Británie, kam bylo vyvezeno 2 352 tun zmrzliny. Vývoz směřoval také do Rumunska (2 026 tun), Polska (1 918 tun), Černé Hory (1 625 tun), Německa (1 226 tun), Severní Makedonie (1 255 tun) a Chorvatska (1 226 tun). V letošním roce Český statistický úřad zaznamenal dovoz srbské zmrzliny také do České republiky. Za prví pololetí r. 2022 se jí dovezlo 7,4 tun v hodnotě kolem 1 miliónu Kč. Naopak do Srbska se pak dle údajů Hospodářské komory Srbska loni dovezlo celkem 7 892 tun zmrzliny v celkové hodnotě 20,8 milionů EUR. Nejvíce se zmrzlina dovážela z Německa (2 169 tun), Chorvatska (1 475 tun), Belgie (1 418 tun), Polska (1 073 tun), Slovinska (311 tun) a Severní Makedonie (230 tun). Na trhu zcela dominuje domácí značka </w:t>
      </w:r>
      <w:proofErr w:type="spellStart"/>
      <w:r w:rsidRPr="0089036A">
        <w:t>Frikom</w:t>
      </w:r>
      <w:proofErr w:type="spellEnd"/>
      <w:r w:rsidRPr="0089036A">
        <w:t xml:space="preserve"> a sesterská chorvatská značka </w:t>
      </w:r>
      <w:proofErr w:type="spellStart"/>
      <w:r w:rsidRPr="0089036A">
        <w:t>Ledo</w:t>
      </w:r>
      <w:proofErr w:type="spellEnd"/>
      <w:r w:rsidRPr="0089036A">
        <w:t xml:space="preserve">, které doplňuje </w:t>
      </w:r>
      <w:proofErr w:type="spellStart"/>
      <w:r w:rsidRPr="0089036A">
        <w:t>Algida</w:t>
      </w:r>
      <w:proofErr w:type="spellEnd"/>
      <w:r w:rsidRPr="0089036A">
        <w:t>.  V Česku populární prodej točené zmrzliny je v Srbsku skoro neznámý a</w:t>
      </w:r>
      <w:r>
        <w:t> </w:t>
      </w:r>
      <w:r w:rsidRPr="0089036A">
        <w:t>prodávají se zde především průmyslově vyráběné zmrzliny v různých baleních (nanuky, kornouty a kelímky). Naopak oproti České republice je v Srbsku velmi rozšířený prodej pomocí mrazících boxů, které jsou v sezóně umisťovány v ulicích, a to nejen u menších obchodů a</w:t>
      </w:r>
      <w:r>
        <w:t> </w:t>
      </w:r>
      <w:r w:rsidRPr="0089036A">
        <w:t>kiosků s novinami, ale také samostatně.</w:t>
      </w:r>
    </w:p>
    <w:p w14:paraId="1BC08B76" w14:textId="77777777" w:rsidR="0089036A" w:rsidRPr="0089036A" w:rsidRDefault="0089036A" w:rsidP="0089036A">
      <w:pPr>
        <w:pStyle w:val="Nadpis3"/>
        <w:spacing w:line="276" w:lineRule="auto"/>
      </w:pPr>
      <w:r w:rsidRPr="0089036A">
        <w:t>SRBSKO – zemědělci ukončili protesty</w:t>
      </w:r>
    </w:p>
    <w:p w14:paraId="1EF44DB4" w14:textId="058D3963" w:rsidR="0089036A" w:rsidRPr="0089036A" w:rsidRDefault="0089036A" w:rsidP="0089036A">
      <w:pPr>
        <w:spacing w:line="276" w:lineRule="auto"/>
        <w:jc w:val="both"/>
      </w:pPr>
      <w:r w:rsidRPr="0089036A">
        <w:t xml:space="preserve">V těchto dnech v Srbsku probíhaly protesty zemědělců, kteří za pomocí svých traktorů blokovali některé silniční komunikace. V úterý 16. srpna se srbská vláda s protestujícími zemědělci dohodla na podmínkách, na </w:t>
      </w:r>
      <w:proofErr w:type="gramStart"/>
      <w:r w:rsidRPr="0089036A">
        <w:t>základě</w:t>
      </w:r>
      <w:proofErr w:type="gramEnd"/>
      <w:r w:rsidRPr="0089036A">
        <w:t xml:space="preserve"> kterých byly protesty ukončeny a traktory se z komunikací vrátily na pole. Zemědělci požadovali po vládě řadu záruk, mimo jiné garantovanou výkupní cenu slunečnicového semínka 700 EUR/t, kterou však srbská vláda odmítala vzhledem k aktuálně nižší výkupní ceně v okolních zemích (Chorvatsko 520 EUR/t a</w:t>
      </w:r>
      <w:r w:rsidR="00B816B0">
        <w:t> </w:t>
      </w:r>
      <w:r w:rsidRPr="0089036A">
        <w:t>Bulharsko 535 EUR/t) akceptovat. Vláda argumentovala také tím, že se jedná o burzovní komoditu, kterou srbská vláda sama nevykupuje. Po tom, co proběhla složitá jednání se zástupci zemědělců obchodníků a také výrobců slunečnicového oleje byla dle zprávy deníku „Politika“ nakonec dohodnuta výkupní cena přijatelná pro všechny strany ve výši 620 EUR/t. Dále byla omezena obchodní marže pro obchodníky na 22 EUR/t a bylo dohodnuto, že náklady na dopravu slunečnicového semínka od zemědělce do rafinérie bude hradit rafinérie. Kromě toho vláda slíbila subvence na naftu ve výši 0,17 EUR/litr do hranice 50 litrů na hektar obdělávané půdy a také subvenci na produkci mléka, kde bude vláda přispívat na cenu jednoho litru mléka částkou 0,13 EUR, a to retroaktivně od dubna tohoto roku. Dále bude dohodnuto, že v nejbližším období se vláda bude zabývat také nastavením podpor pro rozvoj chovu dobytka. Srbští zemědělci dosáhli také ročního moratoria na splátku půjček u</w:t>
      </w:r>
      <w:r>
        <w:t> </w:t>
      </w:r>
      <w:r w:rsidRPr="0089036A">
        <w:t>zemědělských úvěrů. K protestů došlo také proto, že srbská vláda na počátku krize způsobené válkou na Ukrajině zakázala nebo omezila vývoz obilovin a zemědělci, tak nemohli prodávat své zboží za výhodnější ceny. Dohodnuté navýšení výkupní ceny slunečnicového semínka bude mít pravděpodobně dopad i na úpravu dosud státem regulované ceny slunečnicového oleje, která v maloobchodě činí cca. 1,35 EUR/litr. Je možný také dopad na exportní ceny, což by se mohlo dotknout českých společností, které v Srbsku nakupují slunečnicový olej. Pro české chovatele bude také zajímavé sledovat, jak budou probíhat budoucí jednání o podporách chovu dobytka, protože by to mohlo znamenat zvýšenou poptávku po českých jalovicích a české genetice, které mají v Srbsku dobré jméno.</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0F237A12" w14:textId="77777777" w:rsidR="00A53226" w:rsidRPr="00D4434C"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roofErr w:type="gramStart"/>
      <w:r w:rsidR="005D5E3F" w:rsidRPr="00587417">
        <w:rPr>
          <w:rFonts w:cs="Arial"/>
        </w:rPr>
        <w:t>Mob.:</w:t>
      </w:r>
      <w:r w:rsidR="00715795" w:rsidRPr="00587417">
        <w:rPr>
          <w:rFonts w:cs="Arial"/>
        </w:rPr>
        <w:t>+</w:t>
      </w:r>
      <w:proofErr w:type="gramEnd"/>
      <w:r w:rsidR="00715795" w:rsidRPr="00587417">
        <w:rPr>
          <w:rFonts w:cs="Arial"/>
        </w:rPr>
        <w:t xml:space="preserve"> 420 602 768</w:t>
      </w:r>
      <w:r w:rsidR="005D5E3F" w:rsidRPr="00587417">
        <w:rPr>
          <w:rFonts w:cs="Arial"/>
        </w:rPr>
        <w:t> </w:t>
      </w:r>
      <w:r w:rsidR="00715795" w:rsidRPr="00587417">
        <w:rPr>
          <w:rFonts w:cs="Arial"/>
        </w:rPr>
        <w:t>207</w:t>
      </w:r>
      <w:r w:rsidR="005D5E3F" w:rsidRPr="00587417">
        <w:rPr>
          <w:rFonts w:cs="Arial"/>
        </w:rPr>
        <w:t xml:space="preserve">, </w:t>
      </w:r>
      <w:r w:rsidR="00D4434C">
        <w:rPr>
          <w:rFonts w:cs="Arial"/>
        </w:rPr>
        <w:t xml:space="preserve">e-mail: </w:t>
      </w:r>
      <w:hyperlink r:id="rId11" w:history="1">
        <w:r w:rsidR="005D5E3F" w:rsidRPr="00D4434C">
          <w:rPr>
            <w:rStyle w:val="Hypertextovodkaz"/>
          </w:rPr>
          <w:t>lukas_zamrzla@mzv.cz</w:t>
        </w:r>
      </w:hyperlink>
      <w:r w:rsidR="00D4434C">
        <w:rPr>
          <w:rStyle w:val="Hypertextovodkaz"/>
          <w:rFonts w:cs="Arial"/>
          <w:color w:val="auto"/>
        </w:rPr>
        <w:t xml:space="preserve"> </w:t>
      </w:r>
    </w:p>
    <w:p w14:paraId="0947E9D0" w14:textId="77777777" w:rsidR="0089036A" w:rsidRPr="0089036A" w:rsidRDefault="0089036A" w:rsidP="0089036A">
      <w:pPr>
        <w:pStyle w:val="Nadpis3"/>
        <w:spacing w:line="276" w:lineRule="auto"/>
      </w:pPr>
      <w:bookmarkStart w:id="1" w:name="_Hlk111813646"/>
      <w:r w:rsidRPr="0089036A">
        <w:t>Po více jak dvou letech se růst cen potravin v SAE zastavil</w:t>
      </w:r>
      <w:bookmarkEnd w:id="1"/>
    </w:p>
    <w:p w14:paraId="3496252D" w14:textId="77777777" w:rsidR="0089036A" w:rsidRPr="0089036A" w:rsidRDefault="0089036A" w:rsidP="0089036A">
      <w:pPr>
        <w:spacing w:line="276" w:lineRule="auto"/>
        <w:jc w:val="both"/>
      </w:pPr>
      <w:r w:rsidRPr="0089036A">
        <w:t xml:space="preserve">Od konce letošního dubna, kdy byly ceny importovaných potravin v regionu na mnohaletém maximu, se trh pomalu zotavuje. Současné zvyšování cen potravin trápí </w:t>
      </w:r>
      <w:proofErr w:type="spellStart"/>
      <w:r w:rsidRPr="0089036A">
        <w:t>emirátskou</w:t>
      </w:r>
      <w:proofErr w:type="spellEnd"/>
      <w:r w:rsidRPr="0089036A">
        <w:t xml:space="preserve"> vládu podobně jako většinu zemí regionu. V případě SAE jde o důležitý fakt, protože stabilita cen základních potravin je součástí strategie pro potravinovou bezpečnost. Již během obchodních problému způsobených covidem-19 uzavírala země strategická partnerství, aby maximálně diverzifikovala importní kanály. U mnoha produktů a základních potravin dokonce vláda </w:t>
      </w:r>
      <w:proofErr w:type="spellStart"/>
      <w:r w:rsidRPr="0089036A">
        <w:t>zastropovala</w:t>
      </w:r>
      <w:proofErr w:type="spellEnd"/>
      <w:r w:rsidRPr="0089036A">
        <w:t xml:space="preserve"> ceny, jejichž dodržování hlídá státní kontrola. Nejhorší situace byla letos v dubnu, kdy kvůli počátku konfliktu na Ukrajině raketově vzrostly ceny základních komodit a paliv.</w:t>
      </w:r>
    </w:p>
    <w:p w14:paraId="1746F000" w14:textId="77777777" w:rsidR="0089036A" w:rsidRPr="0089036A" w:rsidRDefault="0089036A" w:rsidP="0089036A">
      <w:pPr>
        <w:spacing w:line="276" w:lineRule="auto"/>
        <w:jc w:val="both"/>
      </w:pPr>
      <w:r w:rsidRPr="0089036A">
        <w:t xml:space="preserve">Podle generálního ředitele největší potravinářské skupiny </w:t>
      </w:r>
      <w:proofErr w:type="spellStart"/>
      <w:r w:rsidRPr="0089036A">
        <w:t>Agthia</w:t>
      </w:r>
      <w:proofErr w:type="spellEnd"/>
      <w:r w:rsidRPr="0089036A">
        <w:t xml:space="preserve"> Alana Smithe návrat k původním cenám v SAE do konce roku neuvidíme, přestože ceny komodit a dopravy začaly klesat. </w:t>
      </w:r>
      <w:proofErr w:type="spellStart"/>
      <w:r w:rsidRPr="0089036A">
        <w:t>Agthia</w:t>
      </w:r>
      <w:proofErr w:type="spellEnd"/>
      <w:r w:rsidRPr="0089036A">
        <w:t xml:space="preserve"> v poslední době rozšiřuje své portfolio o relevantní firmy a zemědělské podniky na Blízkém východě a stává se zde jedním z nejsilnějších hráčů v potravinářství. V první polovině tohoto roku byl obrat firmy téměř 14 miliard Kč a díky plánovaným mezinárodním akvizicím bude i nadále růst.</w:t>
      </w:r>
    </w:p>
    <w:p w14:paraId="0A4FAD0B" w14:textId="77777777" w:rsidR="0089036A" w:rsidRPr="0089036A" w:rsidRDefault="0089036A" w:rsidP="0089036A">
      <w:pPr>
        <w:spacing w:line="276" w:lineRule="auto"/>
        <w:jc w:val="both"/>
      </w:pPr>
      <w:r w:rsidRPr="0089036A">
        <w:t xml:space="preserve">Ředitel </w:t>
      </w:r>
      <w:proofErr w:type="spellStart"/>
      <w:r w:rsidRPr="0089036A">
        <w:t>Agthie</w:t>
      </w:r>
      <w:proofErr w:type="spellEnd"/>
      <w:r w:rsidRPr="0089036A">
        <w:t xml:space="preserve"> dále dodal, že index cen potravin na Blízkém východě vzrostl o 23 % za posledních 12 měsíců. Nicméně v posledních kvartálu zlevnil alespoň import obilovin a dalších základních potravin. V případě SAE je to i díky rychlému a strategickému jednání, když koncem dubna podepsali dohodu o importu základních komodit z Indie. Největší zásluhu na tom má </w:t>
      </w:r>
      <w:proofErr w:type="spellStart"/>
      <w:r w:rsidRPr="0089036A">
        <w:t>popandemické</w:t>
      </w:r>
      <w:proofErr w:type="spellEnd"/>
      <w:r w:rsidRPr="0089036A">
        <w:t xml:space="preserve"> rozvolnění mezinárodní přepravy a také dohody Ukrajiny o možných vývozech komodit během válečného konfliktu. Podle predikcí se bude trh s komoditami zotavovat minimálně do konce tohoto roku, spíše do konce prvního kvartálu 2023.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2D09DF44" w14:textId="77777777" w:rsidR="00897840" w:rsidRPr="00587417" w:rsidRDefault="00DB022E"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Petr Sochor,</w:t>
      </w:r>
      <w:r w:rsidR="005D5E3F" w:rsidRPr="00587417">
        <w:rPr>
          <w:rFonts w:cs="Arial"/>
        </w:rPr>
        <w:t xml:space="preserve"> Zemědělský diplomat, velvyslanectví ČR v Bejrútu, Mob.: 00961 70 258 310, </w:t>
      </w:r>
      <w:r w:rsidR="00D4434C">
        <w:rPr>
          <w:rFonts w:cs="Arial"/>
        </w:rPr>
        <w:t xml:space="preserve">e-mail: </w:t>
      </w:r>
      <w:hyperlink r:id="rId12" w:history="1">
        <w:r w:rsidRPr="00D4434C">
          <w:rPr>
            <w:rStyle w:val="Hypertextovodkaz"/>
          </w:rPr>
          <w:t>petr_sochor@mzv.cz</w:t>
        </w:r>
      </w:hyperlink>
    </w:p>
    <w:p w14:paraId="6F515B45" w14:textId="1D0DC1CF" w:rsidR="0089036A" w:rsidRPr="0089036A" w:rsidRDefault="0089036A" w:rsidP="0089036A">
      <w:pPr>
        <w:pStyle w:val="Nadpis3"/>
        <w:spacing w:line="276" w:lineRule="auto"/>
      </w:pPr>
      <w:bookmarkStart w:id="2" w:name="_Hlk111813657"/>
      <w:r w:rsidRPr="0089036A">
        <w:t>Inflace v Libanonu</w:t>
      </w:r>
      <w:bookmarkEnd w:id="2"/>
    </w:p>
    <w:p w14:paraId="1F276A64" w14:textId="722B6B45" w:rsidR="0089036A" w:rsidRDefault="0089036A" w:rsidP="0089036A">
      <w:pPr>
        <w:spacing w:line="276" w:lineRule="auto"/>
        <w:jc w:val="both"/>
      </w:pPr>
      <w:r>
        <w:t>Lze očekávat, že Libanon zaznamená v roce 2022 druhou nejvyšší celosvětovou inflaci. Zvyšující se ceny komodit, vysoké ceny ropy, rostoucí směnný kurs místní měny vůči USD a s tím související zvyšování celních sazeb budou i nadále podporovat růst inflace. Válka na Ukrajině citelně ohrožuje dodávky komodit a potravin do Libanonu, který je v mnoha aspektech závislý na černomořské oblasti.</w:t>
      </w:r>
    </w:p>
    <w:p w14:paraId="46294FC6" w14:textId="0ADAD243" w:rsidR="0089036A" w:rsidRDefault="0089036A" w:rsidP="0089036A">
      <w:pPr>
        <w:spacing w:line="276" w:lineRule="auto"/>
        <w:jc w:val="both"/>
      </w:pPr>
      <w:r>
        <w:t xml:space="preserve">Podle agentury </w:t>
      </w:r>
      <w:proofErr w:type="spellStart"/>
      <w:r>
        <w:t>Fitch</w:t>
      </w:r>
      <w:proofErr w:type="spellEnd"/>
      <w:r>
        <w:t xml:space="preserve"> </w:t>
      </w:r>
      <w:proofErr w:type="spellStart"/>
      <w:r>
        <w:t>Solutions</w:t>
      </w:r>
      <w:proofErr w:type="spellEnd"/>
      <w:r>
        <w:t xml:space="preserve"> se očekává, že Libanon v tomto roce vykáže druhou nejvyšší míru inflace na světě za Súdánem. Současná inflace v Libanonu bude dle odhadů v průměru 178 %, což je nárůst o přibližně 155 % oproti roku 2021. Zatímco inflace v zemi pokračuje v růstu, stále zůstává daleko od svého vrcholu 741 % z konce roku 1987, kdy se Libanon zmítal v občanské válce trvající od roku 1975 do konce roku 1990. Libanonský parlament pravidelně upravuje celní sazby, které zvyšují ceny dováženého zboží, zejména tabáku a alkoholu. Očekává se, že libanonské úřady začnou v brzké době znatelně snižovat státní dotace na dovoz obilovin, a zejména na výrobu chleba, což povede ke zvyšování maloobchodních cen. Očekávané snížení státních dotací na pšenici bude znamenat výrazné zdražení pšeničné mouky, která začíná být zajímavých importním artiklem. U tohoto výrobku vidíme zajímavé možnosti pro české exportéry.</w:t>
      </w:r>
    </w:p>
    <w:p w14:paraId="39E649C7" w14:textId="12DFD3E7" w:rsidR="0089036A" w:rsidRDefault="0089036A" w:rsidP="0089036A">
      <w:pPr>
        <w:spacing w:line="276" w:lineRule="auto"/>
        <w:jc w:val="both"/>
      </w:pPr>
      <w:r>
        <w:t>Libanon má podle Světové banky čtvrtý nejvyšší poměr dluhu k HDP na světě. Nejzadluženějšími zeměmi jsou Japonsko, Súdán a Řecko. Velké riziko vidí také v prudkém nárůstu politického rizika v důsledku zvýšeného napětí s Izraelem, které se týká sporu o námořní hranice v souvislosti s připravovanou těžbou zemního plynu.</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3" w:history="1">
        <w:r w:rsidR="00D4434C" w:rsidRPr="00D54C30">
          <w:rPr>
            <w:rStyle w:val="Hypertextovodkaz"/>
          </w:rPr>
          <w:t>artom_lukasov@mzv.cz</w:t>
        </w:r>
      </w:hyperlink>
      <w:r w:rsidR="00D4434C">
        <w:t xml:space="preserve"> </w:t>
      </w:r>
    </w:p>
    <w:p w14:paraId="68653C5E" w14:textId="74C26ABC" w:rsidR="0089036A" w:rsidRPr="00234838" w:rsidRDefault="0089036A" w:rsidP="0089036A">
      <w:pPr>
        <w:pStyle w:val="Nadpis3"/>
        <w:spacing w:line="276" w:lineRule="auto"/>
        <w:rPr>
          <w:sz w:val="28"/>
          <w:szCs w:val="28"/>
        </w:rPr>
      </w:pPr>
      <w:r w:rsidRPr="0089036A">
        <w:t>Kazachstán – 41. místo v Indexu potravinové bezpečnosti</w:t>
      </w:r>
      <w:r w:rsidRPr="00234838">
        <w:rPr>
          <w:sz w:val="28"/>
          <w:szCs w:val="28"/>
        </w:rPr>
        <w:t xml:space="preserve"> </w:t>
      </w:r>
    </w:p>
    <w:p w14:paraId="0EC9C701" w14:textId="59BF89D5" w:rsidR="0089036A" w:rsidRPr="00234838" w:rsidRDefault="0089036A" w:rsidP="0089036A">
      <w:pPr>
        <w:spacing w:line="276" w:lineRule="auto"/>
        <w:jc w:val="both"/>
        <w:rPr>
          <w:rFonts w:cs="Arial"/>
        </w:rPr>
      </w:pPr>
      <w:r w:rsidRPr="00234838">
        <w:rPr>
          <w:rFonts w:cs="Arial"/>
        </w:rPr>
        <w:t>Kazachstán obsadil 41. místo ze 113</w:t>
      </w:r>
      <w:r>
        <w:rPr>
          <w:rFonts w:cs="Arial"/>
        </w:rPr>
        <w:t xml:space="preserve"> </w:t>
      </w:r>
      <w:r w:rsidRPr="00234838">
        <w:rPr>
          <w:rFonts w:cs="Arial"/>
        </w:rPr>
        <w:t xml:space="preserve">v žebříčku </w:t>
      </w:r>
      <w:proofErr w:type="spellStart"/>
      <w:r w:rsidRPr="00234838">
        <w:rPr>
          <w:rFonts w:cs="Arial"/>
        </w:rPr>
        <w:t>World</w:t>
      </w:r>
      <w:proofErr w:type="spellEnd"/>
      <w:r w:rsidRPr="00234838">
        <w:rPr>
          <w:rFonts w:cs="Arial"/>
        </w:rPr>
        <w:t xml:space="preserve"> Food </w:t>
      </w:r>
      <w:proofErr w:type="spellStart"/>
      <w:r w:rsidRPr="00234838">
        <w:rPr>
          <w:rFonts w:cs="Arial"/>
        </w:rPr>
        <w:t>security</w:t>
      </w:r>
      <w:proofErr w:type="spellEnd"/>
      <w:r w:rsidRPr="00234838">
        <w:rPr>
          <w:rFonts w:cs="Arial"/>
        </w:rPr>
        <w:t xml:space="preserve"> za rok 2021. Index Kazachstánu byl 69,2. Index potravinové bezpečnosti je založen na 34 unikátních ukazatelích a zohledňuje nejen poměr cen a příjmů občanů, ale také dostupnost potřebného množství výrobků na trhu, jejich kvalitu a sortiment. Index dostupnosti výrobků v Kazachstánu byl 83, index u sortimentu 58,5, u kvality a bezpečnosti zase 81 a u přírodních zdrojů a udržitelnosti 51,9.  Mezi zeměmi SNS mají vyšší index než</w:t>
      </w:r>
      <w:r>
        <w:rPr>
          <w:rFonts w:cs="Arial"/>
        </w:rPr>
        <w:t xml:space="preserve"> </w:t>
      </w:r>
      <w:r w:rsidRPr="00234838">
        <w:rPr>
          <w:rFonts w:cs="Arial"/>
        </w:rPr>
        <w:t>Kazachstán</w:t>
      </w:r>
      <w:r>
        <w:rPr>
          <w:rFonts w:cs="Arial"/>
        </w:rPr>
        <w:t xml:space="preserve"> pouze</w:t>
      </w:r>
      <w:r w:rsidRPr="00234838">
        <w:rPr>
          <w:rFonts w:cs="Arial"/>
        </w:rPr>
        <w:t xml:space="preserve"> Rusko a Bělorusko, naopak Ázerbájdžán, Uzbekistán a Tádžikistán mají index nižší. </w:t>
      </w:r>
    </w:p>
    <w:p w14:paraId="6734BD72" w14:textId="77777777" w:rsidR="0089036A" w:rsidRPr="0089036A" w:rsidRDefault="0089036A" w:rsidP="0089036A">
      <w:pPr>
        <w:pStyle w:val="Nadpis3"/>
        <w:spacing w:line="276" w:lineRule="auto"/>
      </w:pPr>
      <w:bookmarkStart w:id="3" w:name="_Hlk111813673"/>
      <w:r w:rsidRPr="0089036A">
        <w:t>Zvýšení dodávek kazašské mouky do zahraničí</w:t>
      </w:r>
      <w:bookmarkEnd w:id="3"/>
    </w:p>
    <w:p w14:paraId="6D549D59" w14:textId="635A0BF2" w:rsidR="0089036A" w:rsidRDefault="0089036A" w:rsidP="0089036A">
      <w:pPr>
        <w:spacing w:line="276" w:lineRule="auto"/>
        <w:jc w:val="both"/>
        <w:rPr>
          <w:rFonts w:cs="Arial"/>
        </w:rPr>
      </w:pPr>
      <w:r>
        <w:rPr>
          <w:rFonts w:cs="Arial"/>
        </w:rPr>
        <w:t>Od ledna do května r. 2022</w:t>
      </w:r>
      <w:r w:rsidRPr="00234838">
        <w:rPr>
          <w:rFonts w:cs="Arial"/>
        </w:rPr>
        <w:t xml:space="preserve"> se zvýšily dodávky kazašské mouky do zahraničí. Po dobu pěti měsíců bylo vyvezeno 764,7 tis</w:t>
      </w:r>
      <w:r>
        <w:rPr>
          <w:rFonts w:cs="Arial"/>
        </w:rPr>
        <w:t>.</w:t>
      </w:r>
      <w:r w:rsidRPr="00234838">
        <w:rPr>
          <w:rFonts w:cs="Arial"/>
        </w:rPr>
        <w:t xml:space="preserve"> tun mouky</w:t>
      </w:r>
      <w:r>
        <w:rPr>
          <w:rFonts w:cs="Arial"/>
        </w:rPr>
        <w:t>, což je</w:t>
      </w:r>
      <w:r w:rsidRPr="00234838">
        <w:rPr>
          <w:rFonts w:cs="Arial"/>
        </w:rPr>
        <w:t xml:space="preserve"> o 36,2 % více než o rok dříve</w:t>
      </w:r>
      <w:r>
        <w:rPr>
          <w:rFonts w:cs="Arial"/>
        </w:rPr>
        <w:t xml:space="preserve"> ve stejném období. V</w:t>
      </w:r>
      <w:r w:rsidRPr="00234838">
        <w:rPr>
          <w:rFonts w:cs="Arial"/>
        </w:rPr>
        <w:t xml:space="preserve"> peněžním vyjádření se vývoz za leden až květen meziročně zvýšil o 86,8 % na 292,6 </w:t>
      </w:r>
      <w:r>
        <w:rPr>
          <w:rFonts w:cs="Arial"/>
        </w:rPr>
        <w:t>mil. USD</w:t>
      </w:r>
      <w:r w:rsidRPr="00234838">
        <w:rPr>
          <w:rFonts w:cs="Arial"/>
        </w:rPr>
        <w:t xml:space="preserve">. </w:t>
      </w:r>
      <w:r>
        <w:rPr>
          <w:rFonts w:cs="Arial"/>
        </w:rPr>
        <w:t xml:space="preserve"> </w:t>
      </w:r>
    </w:p>
    <w:p w14:paraId="62253E7D" w14:textId="77777777" w:rsidR="0089036A" w:rsidRDefault="0089036A" w:rsidP="0089036A">
      <w:pPr>
        <w:spacing w:line="276" w:lineRule="auto"/>
        <w:jc w:val="both"/>
        <w:rPr>
          <w:rFonts w:cs="Arial"/>
        </w:rPr>
      </w:pPr>
      <w:r w:rsidRPr="00234838">
        <w:rPr>
          <w:rFonts w:cs="Arial"/>
        </w:rPr>
        <w:t>Do zemí SNS bylo odesláno 212,7 tis</w:t>
      </w:r>
      <w:r>
        <w:rPr>
          <w:rFonts w:cs="Arial"/>
        </w:rPr>
        <w:t>.</w:t>
      </w:r>
      <w:r w:rsidRPr="00234838">
        <w:rPr>
          <w:rFonts w:cs="Arial"/>
        </w:rPr>
        <w:t xml:space="preserve"> tun mouky</w:t>
      </w:r>
      <w:r>
        <w:rPr>
          <w:rFonts w:cs="Arial"/>
        </w:rPr>
        <w:t>, což je</w:t>
      </w:r>
      <w:r w:rsidRPr="00234838">
        <w:rPr>
          <w:rFonts w:cs="Arial"/>
        </w:rPr>
        <w:t xml:space="preserve"> o 15,1 % více než o rok dříve</w:t>
      </w:r>
      <w:r>
        <w:rPr>
          <w:rFonts w:cs="Arial"/>
        </w:rPr>
        <w:t xml:space="preserve"> za stejné období</w:t>
      </w:r>
      <w:r w:rsidRPr="00234838">
        <w:rPr>
          <w:rFonts w:cs="Arial"/>
        </w:rPr>
        <w:t xml:space="preserve">. Většina kazašské mouky byla exportována </w:t>
      </w:r>
      <w:r>
        <w:rPr>
          <w:rFonts w:cs="Arial"/>
        </w:rPr>
        <w:t xml:space="preserve">především </w:t>
      </w:r>
      <w:r w:rsidRPr="00234838">
        <w:rPr>
          <w:rFonts w:cs="Arial"/>
        </w:rPr>
        <w:t>do Uzbekistánu</w:t>
      </w:r>
      <w:r>
        <w:rPr>
          <w:rFonts w:cs="Arial"/>
        </w:rPr>
        <w:t xml:space="preserve"> – </w:t>
      </w:r>
      <w:r w:rsidRPr="00234838">
        <w:rPr>
          <w:rFonts w:cs="Arial"/>
        </w:rPr>
        <w:t>158 tis</w:t>
      </w:r>
      <w:r>
        <w:rPr>
          <w:rFonts w:cs="Arial"/>
        </w:rPr>
        <w:t>.</w:t>
      </w:r>
      <w:r w:rsidRPr="00234838">
        <w:rPr>
          <w:rFonts w:cs="Arial"/>
        </w:rPr>
        <w:t xml:space="preserve"> tun (nárůst o 17,6 %)</w:t>
      </w:r>
      <w:r>
        <w:rPr>
          <w:rFonts w:cs="Arial"/>
        </w:rPr>
        <w:t>, dále do</w:t>
      </w:r>
      <w:r w:rsidRPr="00234838">
        <w:rPr>
          <w:rFonts w:cs="Arial"/>
        </w:rPr>
        <w:t xml:space="preserve"> Turkmenistán</w:t>
      </w:r>
      <w:r>
        <w:rPr>
          <w:rFonts w:cs="Arial"/>
        </w:rPr>
        <w:t>u</w:t>
      </w:r>
      <w:r w:rsidRPr="00234838">
        <w:rPr>
          <w:rFonts w:cs="Arial"/>
        </w:rPr>
        <w:t xml:space="preserve"> a Tádžikistán</w:t>
      </w:r>
      <w:r>
        <w:rPr>
          <w:rFonts w:cs="Arial"/>
        </w:rPr>
        <w:t>u</w:t>
      </w:r>
      <w:r w:rsidRPr="00234838">
        <w:rPr>
          <w:rFonts w:cs="Arial"/>
        </w:rPr>
        <w:t xml:space="preserve">. </w:t>
      </w:r>
    </w:p>
    <w:p w14:paraId="49DB35A0" w14:textId="5DDA27DA" w:rsidR="0089036A" w:rsidRPr="00234838" w:rsidRDefault="0089036A" w:rsidP="0089036A">
      <w:pPr>
        <w:spacing w:line="276" w:lineRule="auto"/>
        <w:jc w:val="both"/>
        <w:rPr>
          <w:rFonts w:cs="Arial"/>
        </w:rPr>
      </w:pPr>
      <w:r w:rsidRPr="00234838">
        <w:rPr>
          <w:rFonts w:cs="Arial"/>
        </w:rPr>
        <w:t xml:space="preserve">Do zemí mimo SNS bylo </w:t>
      </w:r>
      <w:r>
        <w:rPr>
          <w:rFonts w:cs="Arial"/>
        </w:rPr>
        <w:t>exportováno</w:t>
      </w:r>
      <w:r w:rsidRPr="00234838">
        <w:rPr>
          <w:rFonts w:cs="Arial"/>
        </w:rPr>
        <w:t xml:space="preserve"> 552 tis</w:t>
      </w:r>
      <w:r>
        <w:rPr>
          <w:rFonts w:cs="Arial"/>
        </w:rPr>
        <w:t>.</w:t>
      </w:r>
      <w:r w:rsidRPr="00234838">
        <w:rPr>
          <w:rFonts w:cs="Arial"/>
        </w:rPr>
        <w:t xml:space="preserve"> tun mouky v hodnotě 223,7 mil</w:t>
      </w:r>
      <w:r>
        <w:rPr>
          <w:rFonts w:cs="Arial"/>
        </w:rPr>
        <w:t>.</w:t>
      </w:r>
      <w:r w:rsidRPr="00234838">
        <w:rPr>
          <w:rFonts w:cs="Arial"/>
        </w:rPr>
        <w:t xml:space="preserve"> </w:t>
      </w:r>
      <w:r>
        <w:rPr>
          <w:rFonts w:cs="Arial"/>
        </w:rPr>
        <w:t xml:space="preserve">USD a téměř vše bylo exportováno do </w:t>
      </w:r>
      <w:r w:rsidRPr="00234838">
        <w:rPr>
          <w:rFonts w:cs="Arial"/>
        </w:rPr>
        <w:t>Afghánistán</w:t>
      </w:r>
      <w:r>
        <w:rPr>
          <w:rFonts w:cs="Arial"/>
        </w:rPr>
        <w:t>u (</w:t>
      </w:r>
      <w:r w:rsidRPr="00234838">
        <w:rPr>
          <w:rFonts w:cs="Arial"/>
        </w:rPr>
        <w:t>551,5 tis</w:t>
      </w:r>
      <w:r>
        <w:rPr>
          <w:rFonts w:cs="Arial"/>
        </w:rPr>
        <w:t>.</w:t>
      </w:r>
      <w:r w:rsidRPr="00234838">
        <w:rPr>
          <w:rFonts w:cs="Arial"/>
        </w:rPr>
        <w:t xml:space="preserve"> tun</w:t>
      </w:r>
      <w:r>
        <w:rPr>
          <w:rFonts w:cs="Arial"/>
        </w:rPr>
        <w:t>).</w:t>
      </w:r>
      <w:r w:rsidRPr="00234838">
        <w:rPr>
          <w:rFonts w:cs="Arial"/>
        </w:rPr>
        <w:t xml:space="preserve"> </w:t>
      </w:r>
    </w:p>
    <w:p w14:paraId="79A50A65" w14:textId="1855CB9E" w:rsidR="0089036A" w:rsidRDefault="0089036A" w:rsidP="0089036A">
      <w:pPr>
        <w:spacing w:line="276" w:lineRule="auto"/>
        <w:jc w:val="both"/>
        <w:rPr>
          <w:rFonts w:cs="Arial"/>
        </w:rPr>
      </w:pPr>
      <w:r>
        <w:rPr>
          <w:rFonts w:cs="Arial"/>
        </w:rPr>
        <w:t>Za prvních pět měsíců</w:t>
      </w:r>
      <w:r w:rsidRPr="00234838">
        <w:rPr>
          <w:rFonts w:cs="Arial"/>
        </w:rPr>
        <w:t xml:space="preserve"> </w:t>
      </w:r>
      <w:r>
        <w:rPr>
          <w:rFonts w:cs="Arial"/>
        </w:rPr>
        <w:t xml:space="preserve">pokryly </w:t>
      </w:r>
      <w:r w:rsidRPr="00234838">
        <w:rPr>
          <w:rFonts w:cs="Arial"/>
        </w:rPr>
        <w:t xml:space="preserve">místní firmy poptávku </w:t>
      </w:r>
      <w:r>
        <w:rPr>
          <w:rFonts w:cs="Arial"/>
        </w:rPr>
        <w:t xml:space="preserve">po mouce </w:t>
      </w:r>
      <w:r w:rsidRPr="00234838">
        <w:rPr>
          <w:rFonts w:cs="Arial"/>
        </w:rPr>
        <w:t xml:space="preserve">z 98,9 %. Dovoz </w:t>
      </w:r>
      <w:r>
        <w:rPr>
          <w:rFonts w:cs="Arial"/>
        </w:rPr>
        <w:t xml:space="preserve">mouky do Kazachstánu </w:t>
      </w:r>
      <w:r w:rsidRPr="00234838">
        <w:rPr>
          <w:rFonts w:cs="Arial"/>
        </w:rPr>
        <w:t>se zvýšil 2,4krát</w:t>
      </w:r>
      <w:r>
        <w:rPr>
          <w:rFonts w:cs="Arial"/>
        </w:rPr>
        <w:t xml:space="preserve"> na </w:t>
      </w:r>
      <w:r w:rsidRPr="00234838">
        <w:rPr>
          <w:rFonts w:cs="Arial"/>
        </w:rPr>
        <w:t>14,4 tis</w:t>
      </w:r>
      <w:r>
        <w:rPr>
          <w:rFonts w:cs="Arial"/>
        </w:rPr>
        <w:t>.</w:t>
      </w:r>
      <w:r w:rsidRPr="00234838">
        <w:rPr>
          <w:rFonts w:cs="Arial"/>
        </w:rPr>
        <w:t xml:space="preserve"> tun</w:t>
      </w:r>
      <w:r>
        <w:rPr>
          <w:rFonts w:cs="Arial"/>
        </w:rPr>
        <w:t>, nicméně ve srovnání s místní výrobou (</w:t>
      </w:r>
      <w:r w:rsidRPr="00234838">
        <w:rPr>
          <w:rFonts w:cs="Arial"/>
        </w:rPr>
        <w:t>1,3 mil</w:t>
      </w:r>
      <w:r>
        <w:rPr>
          <w:rFonts w:cs="Arial"/>
        </w:rPr>
        <w:t>.</w:t>
      </w:r>
      <w:r w:rsidRPr="00234838">
        <w:rPr>
          <w:rFonts w:cs="Arial"/>
        </w:rPr>
        <w:t xml:space="preserve"> tun</w:t>
      </w:r>
      <w:r>
        <w:rPr>
          <w:rFonts w:cs="Arial"/>
        </w:rPr>
        <w:t xml:space="preserve">) se jedná o nepatrný objem.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1B674797" w14:textId="7625161E"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780D35C9" w14:textId="77777777" w:rsidR="0089036A" w:rsidRPr="0089036A" w:rsidRDefault="0089036A" w:rsidP="0089036A">
      <w:pPr>
        <w:pStyle w:val="Nadpis3"/>
        <w:spacing w:line="276" w:lineRule="auto"/>
      </w:pPr>
      <w:bookmarkStart w:id="4" w:name="_Hlk111813690"/>
      <w:r w:rsidRPr="0089036A">
        <w:t>Vietnamská nabídka krmiv pro domácí zvířata zůstává omezená</w:t>
      </w:r>
      <w:bookmarkEnd w:id="4"/>
    </w:p>
    <w:p w14:paraId="5A171F92" w14:textId="2A519024" w:rsidR="0089036A" w:rsidRPr="00826058" w:rsidRDefault="0089036A" w:rsidP="00826058">
      <w:pPr>
        <w:spacing w:line="276" w:lineRule="auto"/>
        <w:jc w:val="both"/>
        <w:rPr>
          <w:rFonts w:cs="Arial"/>
        </w:rPr>
      </w:pPr>
      <w:r w:rsidRPr="00826058">
        <w:rPr>
          <w:rFonts w:cs="Arial"/>
        </w:rPr>
        <w:t>Z celkových 35 mil. tun využitých krmných surovin ročně je Vietnam soběstačný pouze z</w:t>
      </w:r>
      <w:r w:rsidR="00826058">
        <w:rPr>
          <w:rFonts w:cs="Arial"/>
        </w:rPr>
        <w:t> </w:t>
      </w:r>
      <w:r w:rsidRPr="00826058">
        <w:rPr>
          <w:rFonts w:cs="Arial"/>
        </w:rPr>
        <w:t>37</w:t>
      </w:r>
      <w:r w:rsidR="00826058">
        <w:rPr>
          <w:rFonts w:cs="Arial"/>
        </w:rPr>
        <w:t> </w:t>
      </w:r>
      <w:r w:rsidRPr="00826058">
        <w:rPr>
          <w:rFonts w:cs="Arial"/>
        </w:rPr>
        <w:t>%, zbývajících 63 % je dováženo ze zahraničí. Krmivo pro zvířata zde tvoří 60–70 % celkových nákladů na chov. Z 21,9 mil. tun krmiv dovezených do Vietnamu v roce 2021 bylo 55,7 % určeno pro chov prasat a 40,6 % pro chov drůbeže.</w:t>
      </w:r>
    </w:p>
    <w:p w14:paraId="0D10B6D0" w14:textId="77777777" w:rsidR="0089036A" w:rsidRPr="00826058" w:rsidRDefault="0089036A" w:rsidP="00826058">
      <w:pPr>
        <w:spacing w:line="276" w:lineRule="auto"/>
        <w:jc w:val="both"/>
        <w:rPr>
          <w:rFonts w:cs="Arial"/>
        </w:rPr>
      </w:pPr>
      <w:r w:rsidRPr="00826058">
        <w:rPr>
          <w:rFonts w:cs="Arial"/>
        </w:rPr>
        <w:t>Pokud jde o domácí produkci krmných surovin, existují čtyři hlavní skupiny: rýže, kukuřice, sója a maniok. Vietnam by měl letos sklidit 49 mil. tun rýže (z toho 4–5 mil. t rýžových otrub určených hospodářským zvířatům). Kukuřice se pěstuje na téměř 1 milion Ha a sklizeň dlouhodobě mírně klesá (letos se očekává 4,7 mil. t). U manioku je současná pěstební plocha více než 0,5 milionu Ha (s produkcí 10,5 mil. t čerstvých hlíz). Pěstební plocha sóji je ve Vietnamu pouze 42 000 Ha, což představuje zanedbatelné množství.</w:t>
      </w:r>
    </w:p>
    <w:p w14:paraId="5D845219" w14:textId="07C05AA6" w:rsidR="0089036A" w:rsidRPr="00826058" w:rsidRDefault="0089036A" w:rsidP="00826058">
      <w:pPr>
        <w:spacing w:line="276" w:lineRule="auto"/>
        <w:jc w:val="both"/>
        <w:rPr>
          <w:rFonts w:cs="Arial"/>
        </w:rPr>
      </w:pPr>
      <w:r w:rsidRPr="00826058">
        <w:rPr>
          <w:rFonts w:cs="Arial"/>
        </w:rPr>
        <w:t>Pokud jde o suroviny přidávané do krmiv, existují zde dvě hlavní skupiny. První skupina je z</w:t>
      </w:r>
      <w:r w:rsidR="00826058">
        <w:rPr>
          <w:rFonts w:cs="Arial"/>
        </w:rPr>
        <w:t> </w:t>
      </w:r>
      <w:r w:rsidRPr="00826058">
        <w:rPr>
          <w:rFonts w:cs="Arial"/>
        </w:rPr>
        <w:t>vedlejších produktů vodních živočichů (zejména hlav ryb a korýšů) s produkcí více než 1 mil. tun ročně. Do druhé skupiny patří vedlejší produkty hospodářských zvířat a drůbeže (včetně orgánů a krve). Tyto části se používají ke zpracování krmiv pro zvířata ve vyspělých zemích, ale lidé ve Vietnamu je s oblibou využívají ke konzumaci. Získávání těchto surovin pro výrobu krmiv je tak obtížné kvůli vysokým nákladům.</w:t>
      </w:r>
    </w:p>
    <w:p w14:paraId="368B577D" w14:textId="77777777" w:rsidR="0089036A" w:rsidRPr="00826058" w:rsidRDefault="0089036A" w:rsidP="00826058">
      <w:pPr>
        <w:spacing w:line="276" w:lineRule="auto"/>
        <w:jc w:val="both"/>
        <w:rPr>
          <w:rFonts w:cs="Arial"/>
        </w:rPr>
      </w:pPr>
      <w:r w:rsidRPr="00826058">
        <w:rPr>
          <w:rFonts w:cs="Arial"/>
        </w:rPr>
        <w:t>Podíl vepřového masa v celkové spotřebě masa ve Vietnamu tvoří 62 %, zatímco světový průměr je pouze 38 %. Restrukturalizací potravinového koše směrem k omezení konzumace vepřového a ke zvýšení konzumace masa drůbeže a skotu chce Vietnam snížit závislost na dovážených krmných surovinách. Vietnamský průmysl výroby krmiv je velmi závislý na dovozu, což platí zejména u přísad a krmných doplňků. Do této oblasti mnoho podniků neinvestuje a existuje silná konkurence u doplňků vyráběných v Číně a EU.</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6"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13D48FC" w14:textId="77777777" w:rsidR="00826058" w:rsidRPr="00826058" w:rsidRDefault="00826058" w:rsidP="00826058">
      <w:pPr>
        <w:pStyle w:val="Nadpis3"/>
        <w:spacing w:line="276" w:lineRule="auto"/>
      </w:pPr>
      <w:bookmarkStart w:id="5" w:name="_Hlk111813722"/>
      <w:r w:rsidRPr="000D06FE">
        <w:t xml:space="preserve">Ztráty </w:t>
      </w:r>
      <w:r>
        <w:t>úrody ovoce a zeleniny</w:t>
      </w:r>
      <w:r w:rsidRPr="000D06FE">
        <w:t xml:space="preserve"> v Británii </w:t>
      </w:r>
      <w:r>
        <w:t>v důsledku</w:t>
      </w:r>
      <w:r w:rsidRPr="000D06FE">
        <w:t xml:space="preserve"> nedostatku pracovníků</w:t>
      </w:r>
      <w:bookmarkEnd w:id="5"/>
    </w:p>
    <w:p w14:paraId="2D858A7C" w14:textId="6540EDCB" w:rsidR="00826058" w:rsidRPr="00826058" w:rsidRDefault="00826058" w:rsidP="00826058">
      <w:pPr>
        <w:spacing w:line="276" w:lineRule="auto"/>
        <w:jc w:val="both"/>
        <w:rPr>
          <w:rFonts w:cs="Arial"/>
        </w:rPr>
      </w:pPr>
      <w:r w:rsidRPr="00826058">
        <w:rPr>
          <w:rFonts w:cs="Arial"/>
        </w:rPr>
        <w:t>Dle průzkumu Národního svazu zemědělců (asociace zemědělců Anglie a Walesu) mezi jeho členy 40 % respondentů uvedlo, že u nich v letošním roce došlo ke ztrátám v úrodě ovoce a</w:t>
      </w:r>
      <w:r>
        <w:rPr>
          <w:rFonts w:cs="Arial"/>
        </w:rPr>
        <w:t> </w:t>
      </w:r>
      <w:r w:rsidRPr="00826058">
        <w:rPr>
          <w:rFonts w:cs="Arial"/>
        </w:rPr>
        <w:t>zeleniny v důsledku nedostatku pracovních sil. Farmářům v Británii chybí dle odhadů zhruba 14 % pracovníků.</w:t>
      </w:r>
    </w:p>
    <w:p w14:paraId="771E89B1" w14:textId="77777777" w:rsidR="00826058" w:rsidRPr="00826058" w:rsidRDefault="00826058" w:rsidP="00826058">
      <w:pPr>
        <w:spacing w:line="276" w:lineRule="auto"/>
        <w:jc w:val="both"/>
        <w:rPr>
          <w:rFonts w:cs="Arial"/>
        </w:rPr>
      </w:pPr>
      <w:r w:rsidRPr="00826058">
        <w:rPr>
          <w:rFonts w:cs="Arial"/>
        </w:rPr>
        <w:t>Průzkum zahrnoval přibližně třetinu britských producentů ovoce a zeleniny. V závislosti na tom pak Národní svaz zemědělců odhadl, že celkové ztráty britských producentů v tomto sektoru kvůli nesklizeným plodinám mohou činit zhruba 60 milionů liber.</w:t>
      </w:r>
    </w:p>
    <w:p w14:paraId="6995328D" w14:textId="77777777" w:rsidR="00826058" w:rsidRPr="00826058" w:rsidRDefault="00826058" w:rsidP="00826058">
      <w:pPr>
        <w:spacing w:line="276" w:lineRule="auto"/>
        <w:jc w:val="both"/>
        <w:rPr>
          <w:rFonts w:cs="Arial"/>
        </w:rPr>
      </w:pPr>
      <w:r w:rsidRPr="00826058">
        <w:rPr>
          <w:rFonts w:cs="Arial"/>
        </w:rPr>
        <w:t>V souvislosti s rostoucími životními náklady proto svaz považuje takovouto situaci za neakceptovatelnou, protože jde o plýtvání kvalitními potravinami, které si Británie nemůže dovolit.</w:t>
      </w:r>
    </w:p>
    <w:p w14:paraId="1BC130C1" w14:textId="77777777" w:rsidR="00826058" w:rsidRPr="00826058" w:rsidRDefault="00826058" w:rsidP="00826058">
      <w:pPr>
        <w:spacing w:line="276" w:lineRule="auto"/>
        <w:jc w:val="both"/>
        <w:rPr>
          <w:rFonts w:cs="Arial"/>
        </w:rPr>
      </w:pPr>
      <w:r w:rsidRPr="00826058">
        <w:rPr>
          <w:rFonts w:cs="Arial"/>
        </w:rPr>
        <w:t>Mezi příčiny nedostatku pracovních sil v Británii patří mimo jiné brexit a válka na Ukrajině, které omezily příchod sezonních pracovníků nejprve z EU a poté i z Ukrajiny, vysoká zaměstnanost v Británii a neochota lidí pracovat v tomto sektoru. Sezónní práce totiž poskytují menší jistoty než jiné alternativní práce a také často nabízejí nižší mzdy.</w:t>
      </w:r>
    </w:p>
    <w:p w14:paraId="5D78144F" w14:textId="77777777" w:rsidR="00826058" w:rsidRPr="00826058" w:rsidRDefault="00826058" w:rsidP="00826058">
      <w:pPr>
        <w:spacing w:line="276" w:lineRule="auto"/>
        <w:jc w:val="both"/>
        <w:rPr>
          <w:rFonts w:cs="Arial"/>
        </w:rPr>
      </w:pPr>
      <w:r w:rsidRPr="00826058">
        <w:rPr>
          <w:rFonts w:cs="Arial"/>
        </w:rPr>
        <w:t>V rámci letošního programu britské vlády, který nabízí krátkodobá víza osobám pomáhajícím při výrobě potravin, bylo pro sezónní pracovníky k dispozici až 38 000 víz. Zemědělský průmysl však tvrdí, že sám potřebuje 70 000.</w:t>
      </w:r>
    </w:p>
    <w:p w14:paraId="62AFFD61" w14:textId="77777777" w:rsidR="00826058" w:rsidRDefault="007E179B" w:rsidP="00826058">
      <w:pPr>
        <w:jc w:val="both"/>
      </w:pPr>
      <w:hyperlink r:id="rId17" w:history="1">
        <w:r w:rsidR="00826058" w:rsidRPr="00AA73B7">
          <w:rPr>
            <w:rStyle w:val="Hypertextovodkaz"/>
          </w:rPr>
          <w:t>Zdroj</w:t>
        </w:r>
      </w:hyperlink>
    </w:p>
    <w:p w14:paraId="32F03E53" w14:textId="77777777" w:rsidR="00826058" w:rsidRPr="00826058" w:rsidRDefault="00826058" w:rsidP="00826058">
      <w:pPr>
        <w:pStyle w:val="Nadpis3"/>
        <w:spacing w:line="276" w:lineRule="auto"/>
      </w:pPr>
      <w:bookmarkStart w:id="6" w:name="_Hlk111813732"/>
      <w:r w:rsidRPr="00282D07">
        <w:t>Tesco</w:t>
      </w:r>
      <w:r>
        <w:t xml:space="preserve"> v Británii:</w:t>
      </w:r>
      <w:r w:rsidRPr="00282D07">
        <w:t xml:space="preserve"> </w:t>
      </w:r>
      <w:r>
        <w:t>O</w:t>
      </w:r>
      <w:r w:rsidRPr="00282D07">
        <w:t>pakovaně použitelné obaly jsou zatím příliš radikální změnou</w:t>
      </w:r>
      <w:bookmarkEnd w:id="6"/>
    </w:p>
    <w:p w14:paraId="4593CA39" w14:textId="77777777" w:rsidR="00826058" w:rsidRPr="00826058" w:rsidRDefault="00826058" w:rsidP="00826058">
      <w:pPr>
        <w:spacing w:line="276" w:lineRule="auto"/>
        <w:jc w:val="both"/>
        <w:rPr>
          <w:rFonts w:cs="Arial"/>
        </w:rPr>
      </w:pPr>
      <w:r w:rsidRPr="00826058">
        <w:rPr>
          <w:rFonts w:cs="Arial"/>
        </w:rPr>
        <w:t>Společnost Tesco připustila, že zavedení opakovaně použitelných obalů v supermarketech je stále příliš radikální změnou, která bude vyžadovat změnu chování spotřebitelů. Největší britský supermarket dále upozornil, že stoupající životní náklady by mohly zabránit maloobchodníkům a společnostem uskutečnit iniciativy týkající se opakovaně použitelných obalů potravin, protože spotřebitelé se nyní zaměřují na cenovou dostupnost produktů, nikoli na udržitelnost.</w:t>
      </w:r>
    </w:p>
    <w:p w14:paraId="51C1BEE7" w14:textId="01DB8D36" w:rsidR="00826058" w:rsidRPr="00826058" w:rsidRDefault="00826058" w:rsidP="00826058">
      <w:pPr>
        <w:spacing w:line="276" w:lineRule="auto"/>
        <w:jc w:val="both"/>
        <w:rPr>
          <w:rFonts w:cs="Arial"/>
        </w:rPr>
      </w:pPr>
      <w:r w:rsidRPr="00826058">
        <w:rPr>
          <w:rFonts w:cs="Arial"/>
        </w:rPr>
        <w:t xml:space="preserve">Maloobchodní řetězec nedávno ukončil roční zkušební provoz služby </w:t>
      </w:r>
      <w:proofErr w:type="spellStart"/>
      <w:r w:rsidRPr="00826058">
        <w:rPr>
          <w:rFonts w:cs="Arial"/>
        </w:rPr>
        <w:t>Loop</w:t>
      </w:r>
      <w:proofErr w:type="spellEnd"/>
      <w:r w:rsidRPr="00826058">
        <w:rPr>
          <w:rFonts w:cs="Arial"/>
        </w:rPr>
        <w:t>, která umožňovala zákazníkům nakupovat výrobky v opakovaně použitelných obalech. Iniciativa, která byla původně spuštěna v deseti obchodech Tesco jako součást plánu supermarketu 4R „</w:t>
      </w:r>
      <w:proofErr w:type="spellStart"/>
      <w:r w:rsidRPr="00826058">
        <w:rPr>
          <w:rFonts w:cs="Arial"/>
        </w:rPr>
        <w:t>Remove</w:t>
      </w:r>
      <w:proofErr w:type="spellEnd"/>
      <w:r w:rsidRPr="00826058">
        <w:rPr>
          <w:rFonts w:cs="Arial"/>
        </w:rPr>
        <w:t xml:space="preserve">, </w:t>
      </w:r>
      <w:proofErr w:type="spellStart"/>
      <w:r w:rsidRPr="00826058">
        <w:rPr>
          <w:rFonts w:cs="Arial"/>
        </w:rPr>
        <w:t>Reduce</w:t>
      </w:r>
      <w:proofErr w:type="spellEnd"/>
      <w:r w:rsidRPr="00826058">
        <w:rPr>
          <w:rFonts w:cs="Arial"/>
        </w:rPr>
        <w:t xml:space="preserve">, </w:t>
      </w:r>
      <w:proofErr w:type="spellStart"/>
      <w:r w:rsidRPr="00826058">
        <w:rPr>
          <w:rFonts w:cs="Arial"/>
        </w:rPr>
        <w:t>Reuse</w:t>
      </w:r>
      <w:proofErr w:type="spellEnd"/>
      <w:r w:rsidRPr="00826058">
        <w:rPr>
          <w:rFonts w:cs="Arial"/>
        </w:rPr>
        <w:t xml:space="preserve">, </w:t>
      </w:r>
      <w:proofErr w:type="spellStart"/>
      <w:r w:rsidRPr="00826058">
        <w:rPr>
          <w:rFonts w:cs="Arial"/>
        </w:rPr>
        <w:t>Recycle</w:t>
      </w:r>
      <w:proofErr w:type="spellEnd"/>
      <w:r w:rsidRPr="00826058">
        <w:rPr>
          <w:rFonts w:cs="Arial"/>
        </w:rPr>
        <w:t>“, umožňovala spotřebitelům zaplatit vratnou zálohu ve výši 20 pencí až 1 libry za každý kus opakovaně použitelného obalu, což následně zákazníky motivovalo k</w:t>
      </w:r>
      <w:r>
        <w:rPr>
          <w:rFonts w:cs="Arial"/>
        </w:rPr>
        <w:t> </w:t>
      </w:r>
      <w:r w:rsidRPr="00826058">
        <w:rPr>
          <w:rFonts w:cs="Arial"/>
        </w:rPr>
        <w:t>jejich vrácení.</w:t>
      </w:r>
    </w:p>
    <w:p w14:paraId="10C587BA" w14:textId="77777777" w:rsidR="00826058" w:rsidRPr="00826058" w:rsidRDefault="00826058" w:rsidP="00826058">
      <w:pPr>
        <w:spacing w:line="276" w:lineRule="auto"/>
        <w:jc w:val="both"/>
        <w:rPr>
          <w:rFonts w:cs="Arial"/>
        </w:rPr>
      </w:pPr>
      <w:r w:rsidRPr="00826058">
        <w:rPr>
          <w:rFonts w:cs="Arial"/>
        </w:rPr>
        <w:t>Společnost Tesco nyní zveřejnila zprávu, v níž uvádí poznatky z tohoto experimentu. V té se uvádí, že pilotní projekty potvrdily, že nákupy znovupoužitelných obalů jsou oblíbené u malého procenta ekologicky smýšlejících zákazníků.</w:t>
      </w:r>
    </w:p>
    <w:p w14:paraId="04F49BF4" w14:textId="0F619FD6" w:rsidR="00826058" w:rsidRPr="00826058" w:rsidRDefault="00826058" w:rsidP="00826058">
      <w:pPr>
        <w:spacing w:line="276" w:lineRule="auto"/>
        <w:jc w:val="both"/>
        <w:rPr>
          <w:rFonts w:cs="Arial"/>
        </w:rPr>
      </w:pPr>
      <w:r w:rsidRPr="00826058">
        <w:rPr>
          <w:rFonts w:cs="Arial"/>
        </w:rPr>
        <w:t>Supermarket tvrdí, že jeho průzkumy ukazují, že veřejnost „ještě plně nedoceňuje rozdíly a</w:t>
      </w:r>
      <w:r>
        <w:rPr>
          <w:rFonts w:cs="Arial"/>
        </w:rPr>
        <w:t> </w:t>
      </w:r>
      <w:r w:rsidRPr="00826058">
        <w:rPr>
          <w:rFonts w:cs="Arial"/>
        </w:rPr>
        <w:t>výhody opětovného použití obalů ve srovnání s jejich recyklaci“ a že investice potřebné k</w:t>
      </w:r>
      <w:r>
        <w:rPr>
          <w:rFonts w:cs="Arial"/>
        </w:rPr>
        <w:t> </w:t>
      </w:r>
      <w:r w:rsidRPr="00826058">
        <w:rPr>
          <w:rFonts w:cs="Arial"/>
        </w:rPr>
        <w:t>zavedení opětovného použití obalů ve velkém měřítku jsou „značné“, protože vyžadují, aby maloobchodníci spolupracovali s výrobci na vytváření nových výrobních linek.</w:t>
      </w:r>
    </w:p>
    <w:p w14:paraId="370F87A7" w14:textId="77777777" w:rsidR="00826058" w:rsidRPr="00826058" w:rsidRDefault="00826058" w:rsidP="00826058">
      <w:pPr>
        <w:spacing w:line="276" w:lineRule="auto"/>
        <w:jc w:val="both"/>
        <w:rPr>
          <w:rFonts w:cs="Arial"/>
        </w:rPr>
      </w:pPr>
      <w:r w:rsidRPr="00826058">
        <w:rPr>
          <w:rFonts w:cs="Arial"/>
        </w:rPr>
        <w:t xml:space="preserve">Pilotní projekt </w:t>
      </w:r>
      <w:proofErr w:type="spellStart"/>
      <w:r w:rsidRPr="00826058">
        <w:rPr>
          <w:rFonts w:cs="Arial"/>
        </w:rPr>
        <w:t>Loop</w:t>
      </w:r>
      <w:proofErr w:type="spellEnd"/>
      <w:r w:rsidRPr="00826058">
        <w:rPr>
          <w:rFonts w:cs="Arial"/>
        </w:rPr>
        <w:t xml:space="preserve"> ukázal, že náklady na čištění a plnění opakovaně použitelných obalů mohou být vyšší než náklady na produkt samotný, a navíc výroba opakovaně použitelných obalů je často dražší než obaly na jedno použití.</w:t>
      </w:r>
    </w:p>
    <w:p w14:paraId="69D3EB5B" w14:textId="77777777" w:rsidR="00826058" w:rsidRPr="00826058" w:rsidRDefault="00826058" w:rsidP="00826058">
      <w:pPr>
        <w:spacing w:line="276" w:lineRule="auto"/>
        <w:jc w:val="both"/>
        <w:rPr>
          <w:rFonts w:cs="Arial"/>
        </w:rPr>
      </w:pPr>
      <w:r w:rsidRPr="00826058">
        <w:rPr>
          <w:rFonts w:cs="Arial"/>
        </w:rPr>
        <w:t>Závěrem experimentu je, že dodavatelské řetězce budou muset mimo jiné zajistit, aby byly opakovaně použitelné obaly nebyly pro zákazníky tak nákladné.</w:t>
      </w:r>
    </w:p>
    <w:p w14:paraId="01F8EC29" w14:textId="77777777" w:rsidR="00826058" w:rsidRDefault="007E179B" w:rsidP="00826058">
      <w:pPr>
        <w:jc w:val="both"/>
      </w:pPr>
      <w:hyperlink r:id="rId18" w:history="1">
        <w:r w:rsidR="00826058" w:rsidRPr="009C485B">
          <w:rPr>
            <w:rStyle w:val="Hypertextovodkaz"/>
          </w:rPr>
          <w:t>Zdroj</w:t>
        </w:r>
      </w:hyperlink>
    </w:p>
    <w:p w14:paraId="45889C2A" w14:textId="77777777" w:rsidR="00826058" w:rsidRDefault="00826058" w:rsidP="00826058">
      <w:pPr>
        <w:jc w:val="both"/>
      </w:pPr>
    </w:p>
    <w:p w14:paraId="2EB47923" w14:textId="537F00F7" w:rsidR="00F36E50" w:rsidRPr="00F36E50" w:rsidRDefault="00F36E50" w:rsidP="00EF76D8">
      <w:pPr>
        <w:spacing w:line="276" w:lineRule="auto"/>
      </w:pPr>
    </w:p>
    <w:sectPr w:rsidR="00F36E50" w:rsidRPr="00F36E50" w:rsidSect="00505C2E">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C686" w14:textId="77777777" w:rsidR="007E179B" w:rsidRDefault="007E179B" w:rsidP="00D4434C">
      <w:r>
        <w:separator/>
      </w:r>
    </w:p>
  </w:endnote>
  <w:endnote w:type="continuationSeparator" w:id="0">
    <w:p w14:paraId="17966F06" w14:textId="77777777" w:rsidR="007E179B" w:rsidRDefault="007E179B"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7412" w14:textId="77777777" w:rsidR="007E179B" w:rsidRDefault="007E179B" w:rsidP="00D4434C">
      <w:r>
        <w:separator/>
      </w:r>
    </w:p>
  </w:footnote>
  <w:footnote w:type="continuationSeparator" w:id="0">
    <w:p w14:paraId="29C0C00C" w14:textId="77777777" w:rsidR="007E179B" w:rsidRDefault="007E179B"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232BE"/>
    <w:rsid w:val="004559E3"/>
    <w:rsid w:val="004962CD"/>
    <w:rsid w:val="004A6C5B"/>
    <w:rsid w:val="004E6FCD"/>
    <w:rsid w:val="00505C2E"/>
    <w:rsid w:val="005248F4"/>
    <w:rsid w:val="00524BA5"/>
    <w:rsid w:val="00587417"/>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26632"/>
    <w:rsid w:val="00780119"/>
    <w:rsid w:val="0078308B"/>
    <w:rsid w:val="00790E93"/>
    <w:rsid w:val="00795E13"/>
    <w:rsid w:val="007A531E"/>
    <w:rsid w:val="007E179B"/>
    <w:rsid w:val="007F3E9B"/>
    <w:rsid w:val="007F44D0"/>
    <w:rsid w:val="007F5F98"/>
    <w:rsid w:val="00807D31"/>
    <w:rsid w:val="00826058"/>
    <w:rsid w:val="00886E98"/>
    <w:rsid w:val="0089036A"/>
    <w:rsid w:val="00892A59"/>
    <w:rsid w:val="00892E02"/>
    <w:rsid w:val="00897840"/>
    <w:rsid w:val="008A6BB3"/>
    <w:rsid w:val="008A799A"/>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816B0"/>
    <w:rsid w:val="00BA6A5B"/>
    <w:rsid w:val="00BC341A"/>
    <w:rsid w:val="00BC4BD8"/>
    <w:rsid w:val="00BD647F"/>
    <w:rsid w:val="00BD7227"/>
    <w:rsid w:val="00C0233A"/>
    <w:rsid w:val="00C34CC6"/>
    <w:rsid w:val="00C57B4E"/>
    <w:rsid w:val="00C833B6"/>
    <w:rsid w:val="00CA1C10"/>
    <w:rsid w:val="00CA2C8C"/>
    <w:rsid w:val="00CA478D"/>
    <w:rsid w:val="00CF2F53"/>
    <w:rsid w:val="00D02B3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E6C01"/>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737">
      <w:bodyDiv w:val="1"/>
      <w:marLeft w:val="0"/>
      <w:marRight w:val="0"/>
      <w:marTop w:val="0"/>
      <w:marBottom w:val="0"/>
      <w:divBdr>
        <w:top w:val="none" w:sz="0" w:space="0" w:color="auto"/>
        <w:left w:val="none" w:sz="0" w:space="0" w:color="auto"/>
        <w:bottom w:val="none" w:sz="0" w:space="0" w:color="auto"/>
        <w:right w:val="none" w:sz="0" w:space="0" w:color="auto"/>
      </w:divBdr>
    </w:div>
    <w:div w:id="608856490">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artom_lukasov@mzv.cz" TargetMode="External"/><Relationship Id="rId18" Type="http://schemas.openxmlformats.org/officeDocument/2006/relationships/hyperlink" Target="https://www.grocerygazette.co.uk/2022/08/16/tesco-ends-trial-with-loo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https://www.theguardian.com/environment/2022/aug/15/pounds-60m-in-uk-crops-left-to-rot-lack-of-workers-nfu-farming"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vladimir_vana@mzv.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rce_Hongkong@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3</TotalTime>
  <Pages>6</Pages>
  <Words>2664</Words>
  <Characters>15723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18351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2022-08-19T12:59:00Z</dcterms:created>
  <dcterms:modified xsi:type="dcterms:W3CDTF">2022-08-19T13:02:00Z</dcterms:modified>
</cp:coreProperties>
</file>