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BEA6"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D33A50">
        <w:rPr>
          <w:rFonts w:ascii="Arial" w:hAnsi="Arial" w:cs="Arial"/>
          <w:noProof/>
        </w:rPr>
        <w:t>pátek 17. června 2022</w:t>
      </w:r>
      <w:r w:rsidR="00035FAD" w:rsidRPr="00937595">
        <w:rPr>
          <w:rFonts w:ascii="Arial" w:hAnsi="Arial" w:cs="Arial"/>
        </w:rPr>
        <w:fldChar w:fldCharType="end"/>
      </w:r>
    </w:p>
    <w:p w14:paraId="6C55E8AD"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36CC3726"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536C81D9" w14:textId="77777777"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04BE41E5" w14:textId="77777777" w:rsidR="0002796B" w:rsidRPr="0002796B" w:rsidRDefault="0002796B" w:rsidP="0002796B">
      <w:pPr>
        <w:pStyle w:val="Nadpis3"/>
        <w:spacing w:line="276" w:lineRule="auto"/>
      </w:pPr>
      <w:r w:rsidRPr="0002796B">
        <w:t>Čína hlásí bohatou sklizeň</w:t>
      </w:r>
    </w:p>
    <w:p w14:paraId="11F29C6D" w14:textId="77777777" w:rsidR="0002796B" w:rsidRDefault="0002796B" w:rsidP="0002796B">
      <w:pPr>
        <w:pStyle w:val="Bezmezer"/>
        <w:spacing w:line="276" w:lineRule="auto"/>
        <w:jc w:val="both"/>
        <w:rPr>
          <w:rFonts w:ascii="Arial" w:hAnsi="Arial" w:cs="Arial"/>
        </w:rPr>
      </w:pPr>
      <w:r>
        <w:rPr>
          <w:rFonts w:ascii="Arial" w:hAnsi="Arial" w:cs="Arial"/>
        </w:rPr>
        <w:t xml:space="preserve">Čínské státní noviny </w:t>
      </w:r>
      <w:proofErr w:type="spellStart"/>
      <w:r>
        <w:rPr>
          <w:rFonts w:ascii="Arial" w:hAnsi="Arial" w:cs="Arial"/>
        </w:rPr>
        <w:t>Global</w:t>
      </w:r>
      <w:proofErr w:type="spellEnd"/>
      <w:r>
        <w:rPr>
          <w:rFonts w:ascii="Arial" w:hAnsi="Arial" w:cs="Arial"/>
        </w:rPr>
        <w:t xml:space="preserve"> Times v průběhu tohoto týdne zveřejnily zprávu, že v současnosti probíhající sklizeň ozimé pšenice zatím předčila očekávání. Doposud byla sklizena úroda na téměř 16 milionech hektarů, což představuje 78,5 % celkové oseté plochy. </w:t>
      </w:r>
      <w:proofErr w:type="spellStart"/>
      <w:r>
        <w:rPr>
          <w:rFonts w:ascii="Arial" w:hAnsi="Arial" w:cs="Arial"/>
        </w:rPr>
        <w:t>Global</w:t>
      </w:r>
      <w:proofErr w:type="spellEnd"/>
      <w:r>
        <w:rPr>
          <w:rFonts w:ascii="Arial" w:hAnsi="Arial" w:cs="Arial"/>
        </w:rPr>
        <w:t xml:space="preserve"> Times uvedly, že sklizeň předčila očekávání i kvalitou, americké ministerstvo zemědělství však koncem května zveřejnilo zprávu, ve které očekávalo obecně nižší kvalitu čínské produkce kvůli nepříznivému počasí během důležitých vývojových fází rostlin. Tempo sklizně je oproti minulému roku rychlejší o 1,2 % a údajně se nesetkala s problémy souvisejícími s přísnými protiepidemickými opatřeními. Tlak na úspěšnou sklizeň byl kvůli obavám o potravinové zabezpečení v letošním roce neobvykle silný. Význam polních </w:t>
      </w:r>
      <w:proofErr w:type="spellStart"/>
      <w:r>
        <w:rPr>
          <w:rFonts w:ascii="Arial" w:hAnsi="Arial" w:cs="Arial"/>
        </w:rPr>
        <w:t>prácí</w:t>
      </w:r>
      <w:proofErr w:type="spellEnd"/>
      <w:r>
        <w:rPr>
          <w:rFonts w:ascii="Arial" w:hAnsi="Arial" w:cs="Arial"/>
        </w:rPr>
        <w:t xml:space="preserve"> vyzvedli na nejvyšší úroveň jak premiér </w:t>
      </w:r>
      <w:proofErr w:type="spellStart"/>
      <w:r>
        <w:rPr>
          <w:rFonts w:ascii="Arial" w:hAnsi="Arial" w:cs="Arial"/>
        </w:rPr>
        <w:t>Li</w:t>
      </w:r>
      <w:proofErr w:type="spellEnd"/>
      <w:r>
        <w:rPr>
          <w:rFonts w:ascii="Arial" w:hAnsi="Arial" w:cs="Arial"/>
        </w:rPr>
        <w:t xml:space="preserve"> </w:t>
      </w:r>
      <w:proofErr w:type="spellStart"/>
      <w:r>
        <w:rPr>
          <w:rFonts w:ascii="Arial" w:hAnsi="Arial" w:cs="Arial"/>
        </w:rPr>
        <w:t>Keqiang</w:t>
      </w:r>
      <w:proofErr w:type="spellEnd"/>
      <w:r>
        <w:rPr>
          <w:rFonts w:ascii="Arial" w:hAnsi="Arial" w:cs="Arial"/>
        </w:rPr>
        <w:t xml:space="preserve">, tak i prezident </w:t>
      </w:r>
      <w:proofErr w:type="spellStart"/>
      <w:r>
        <w:rPr>
          <w:rFonts w:ascii="Arial" w:hAnsi="Arial" w:cs="Arial"/>
        </w:rPr>
        <w:t>Xi</w:t>
      </w:r>
      <w:proofErr w:type="spellEnd"/>
      <w:r>
        <w:rPr>
          <w:rFonts w:ascii="Arial" w:hAnsi="Arial" w:cs="Arial"/>
        </w:rPr>
        <w:t xml:space="preserve"> </w:t>
      </w:r>
      <w:proofErr w:type="spellStart"/>
      <w:r>
        <w:rPr>
          <w:rFonts w:ascii="Arial" w:hAnsi="Arial" w:cs="Arial"/>
        </w:rPr>
        <w:t>Jinping</w:t>
      </w:r>
      <w:proofErr w:type="spellEnd"/>
      <w:r>
        <w:rPr>
          <w:rFonts w:ascii="Arial" w:hAnsi="Arial" w:cs="Arial"/>
        </w:rPr>
        <w:t xml:space="preserve">, když prohlásili, že boj proti covid-19 nesmí stát v cestě průběhu sklizně. </w:t>
      </w:r>
    </w:p>
    <w:p w14:paraId="2367B7D9" w14:textId="77777777" w:rsidR="0002796B" w:rsidRDefault="0002796B" w:rsidP="0002796B">
      <w:pPr>
        <w:pStyle w:val="Bezmezer"/>
        <w:spacing w:line="276" w:lineRule="auto"/>
        <w:jc w:val="both"/>
        <w:rPr>
          <w:rFonts w:ascii="Arial" w:hAnsi="Arial" w:cs="Arial"/>
        </w:rPr>
      </w:pPr>
      <w:r>
        <w:rPr>
          <w:rFonts w:ascii="Arial" w:hAnsi="Arial" w:cs="Arial"/>
        </w:rPr>
        <w:t xml:space="preserve">Úspěch letošní sklizně navzdory složitým okolnostem je připisován jednorázovým finančním příspěvkům poskytnutým zemědělcům, zvýšení minimálních výkupních cen a dalším podpůrným opatřením. Čínská státní firma </w:t>
      </w:r>
      <w:proofErr w:type="spellStart"/>
      <w:r>
        <w:rPr>
          <w:rFonts w:ascii="Arial" w:hAnsi="Arial" w:cs="Arial"/>
        </w:rPr>
        <w:t>Sinograin</w:t>
      </w:r>
      <w:proofErr w:type="spellEnd"/>
      <w:r>
        <w:rPr>
          <w:rFonts w:ascii="Arial" w:hAnsi="Arial" w:cs="Arial"/>
        </w:rPr>
        <w:t xml:space="preserve"> se chystá odkoupit velký objem obilí z letošní sklizně, pro což má připravené skladovací prostory o kapacitě 40 milionů tun. </w:t>
      </w:r>
    </w:p>
    <w:p w14:paraId="5D04C6CA"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1B4B0DC0"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w:t>
      </w:r>
      <w:r w:rsidR="000F24FC">
        <w:rPr>
          <w:rFonts w:cs="Arial"/>
        </w:rPr>
        <w:t> </w:t>
      </w:r>
      <w:r w:rsidR="00DB3BA7" w:rsidRPr="00587417">
        <w:rPr>
          <w:rFonts w:cs="Arial"/>
        </w:rPr>
        <w:t>Bělehradě</w:t>
      </w:r>
      <w:r w:rsidR="000F24FC">
        <w:rPr>
          <w:rFonts w:cs="Arial"/>
        </w:rPr>
        <w:t>,</w:t>
      </w:r>
      <w:r w:rsidR="00DB3BA7" w:rsidRPr="00587417">
        <w:rPr>
          <w:rFonts w:cs="Arial"/>
        </w:rPr>
        <w:t xml:space="preserve"> </w:t>
      </w:r>
    </w:p>
    <w:p w14:paraId="295B347A"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2AF8E8DD" w14:textId="77777777" w:rsidR="007D2B12" w:rsidRPr="007D2B12" w:rsidRDefault="007D2B12" w:rsidP="007D2B12">
      <w:pPr>
        <w:pStyle w:val="Nadpis3"/>
        <w:spacing w:line="276" w:lineRule="auto"/>
      </w:pPr>
      <w:r w:rsidRPr="007D2B12">
        <w:t>SRBSKO – začíná sezóna sběru malin</w:t>
      </w:r>
    </w:p>
    <w:p w14:paraId="2A0A3722" w14:textId="77777777" w:rsidR="007D2B12" w:rsidRDefault="007D2B12" w:rsidP="007D2B12">
      <w:pPr>
        <w:pStyle w:val="Bezmezer"/>
        <w:spacing w:line="276" w:lineRule="auto"/>
        <w:jc w:val="both"/>
        <w:rPr>
          <w:rFonts w:ascii="Arial" w:hAnsi="Arial" w:cs="Arial"/>
        </w:rPr>
      </w:pPr>
      <w:r>
        <w:rPr>
          <w:rFonts w:ascii="Arial" w:hAnsi="Arial" w:cs="Arial"/>
        </w:rPr>
        <w:t>V Srbsku v těchto dnech zahájili sběr malin, které jsou významným vývozním artiklem. V loňském roce vyvezlo Srbsko mražené maliny za 426 milionů USD, což znamená druhé místo v rámci zemědělského vývozu hned po kukuřici, které se vyvezlo za 557 milionů USD. Na třetím místě je pak pšenice, které se v roce 2021 vyvezlo za 255 milionů USD. Očekává se, že letošní sklizeň malin bude cca o 30 % nižší než v loňském roce. Důvodem je nepříznivé počasí v uplynulém období, zvláště pak vydatný déšť a krupobití, které nedávno postihlo část malinových plantáží v západním Srbsku. Aktuální výkupní cena malin je cca 3,6 EUR/kg. Neočekává se, že by nižší sklizeň způsobila výrazný růst ceny malin. Kvůli vysokým cenám se již dříve snížila o 30 % poptávka na trhu zemí EU, kam Srbsko svoji produkci především vyváží. Česká republika pravidelně mražené maliny dováží, v loňském roce bylo ze Srbska do ČR importováno 393 tun za cca 38 milionů Kč.</w:t>
      </w:r>
    </w:p>
    <w:p w14:paraId="64F1ECD0" w14:textId="77777777" w:rsidR="007D2B12" w:rsidRPr="007D2B12" w:rsidRDefault="007D2B12" w:rsidP="007D2B12">
      <w:pPr>
        <w:pStyle w:val="Nadpis3"/>
        <w:spacing w:line="276" w:lineRule="auto"/>
      </w:pPr>
      <w:r w:rsidRPr="007D2B12">
        <w:t>BOSNA A HERCEGOVINA – chystá projekt na podporu lesnictví</w:t>
      </w:r>
    </w:p>
    <w:p w14:paraId="3016E31F" w14:textId="77777777" w:rsidR="007D2B12" w:rsidRDefault="007D2B12" w:rsidP="007D2B12">
      <w:pPr>
        <w:pStyle w:val="Bezmezer"/>
        <w:spacing w:line="276" w:lineRule="auto"/>
        <w:jc w:val="both"/>
        <w:rPr>
          <w:rFonts w:ascii="Arial" w:hAnsi="Arial" w:cs="Arial"/>
        </w:rPr>
      </w:pPr>
      <w:r>
        <w:rPr>
          <w:rFonts w:ascii="Arial" w:hAnsi="Arial" w:cs="Arial"/>
        </w:rPr>
        <w:t xml:space="preserve">V těchto dnech bylo oznámeno, že na jednání ministra zemědělství, lesnictví a vodního hospodářství Republiky Srbské a vedoucího kanceláře Světové banky v Bosně a Hercegovině byla dohodnuta realizace společných projektů na podporu zemědělství, vodního hospodářství a poprvé také lesnictví. Projekt na podporu rozvoje lesnictví v Republice Srbské, který by měl být zahájen během prvního kvartálu příštího roku, umožní Ministerstvu zemědělství, lesnictví </w:t>
      </w:r>
      <w:r>
        <w:rPr>
          <w:rFonts w:ascii="Arial" w:hAnsi="Arial" w:cs="Arial"/>
        </w:rPr>
        <w:lastRenderedPageBreak/>
        <w:t>a vodního hospodářství vyplácet subvence na nákup lesní mechanizace a techniky. Toto opatření by mohlo přinést oživení investic u jednotlivých lesnických společností a také zvýšený zájem o technologie českých výrobců, se kterými se nedávno delegace z Republiky Srbské mohla seznámit na brněnském veletrhu Silva Regina a během individuálních prezentací českých výrobců.</w:t>
      </w:r>
    </w:p>
    <w:p w14:paraId="7913E3E4"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0B1A948C"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15C175EF"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0" w:history="1">
        <w:r w:rsidRPr="00D4434C">
          <w:rPr>
            <w:rStyle w:val="Hypertextovodkaz"/>
          </w:rPr>
          <w:t>irena_leopoldova@mzv.cz</w:t>
        </w:r>
      </w:hyperlink>
      <w:r w:rsidR="00D4434C">
        <w:t xml:space="preserve"> </w:t>
      </w:r>
    </w:p>
    <w:p w14:paraId="39D618B5" w14:textId="77777777" w:rsidR="004B79B2" w:rsidRPr="008E5D15" w:rsidRDefault="004B79B2" w:rsidP="004B79B2">
      <w:pPr>
        <w:pStyle w:val="Nadpis3"/>
        <w:spacing w:line="276" w:lineRule="auto"/>
        <w:rPr>
          <w:rFonts w:ascii="Arial" w:hAnsi="Arial" w:cs="Arial"/>
        </w:rPr>
      </w:pPr>
      <w:r w:rsidRPr="004B79B2">
        <w:t>Kvůli vysokým cenám pšenice přecházejí japonští zemědělci z rýže na pšenici</w:t>
      </w:r>
    </w:p>
    <w:p w14:paraId="657EAB26" w14:textId="77777777" w:rsidR="004B79B2" w:rsidRPr="008E5D15" w:rsidRDefault="004B79B2" w:rsidP="004B79B2">
      <w:pPr>
        <w:pStyle w:val="Bezmezer"/>
        <w:spacing w:line="276" w:lineRule="auto"/>
        <w:jc w:val="both"/>
        <w:rPr>
          <w:rFonts w:ascii="Arial" w:hAnsi="Arial" w:cs="Arial"/>
        </w:rPr>
      </w:pPr>
      <w:r w:rsidRPr="008E5D15">
        <w:rPr>
          <w:rFonts w:ascii="Arial" w:hAnsi="Arial" w:cs="Arial"/>
        </w:rPr>
        <w:t>Podle průzkumu japonské vlády plánuje v letošním roce více japonských zemědělců snížit produkci rýže a přejít na pěstování pšenice a sóji. Důvodem jsou rostoucí ceny obilí způsobené ruskou válkou na Ukrajině.</w:t>
      </w:r>
    </w:p>
    <w:p w14:paraId="4778B103" w14:textId="77777777" w:rsidR="004B79B2" w:rsidRPr="008E5D15" w:rsidRDefault="004B79B2" w:rsidP="004B79B2">
      <w:pPr>
        <w:pStyle w:val="Bezmezer"/>
        <w:spacing w:line="276" w:lineRule="auto"/>
        <w:jc w:val="both"/>
        <w:rPr>
          <w:rFonts w:ascii="Arial" w:hAnsi="Arial" w:cs="Arial"/>
        </w:rPr>
      </w:pPr>
      <w:r w:rsidRPr="008E5D15">
        <w:rPr>
          <w:rFonts w:ascii="Arial" w:hAnsi="Arial" w:cs="Arial"/>
        </w:rPr>
        <w:t>V současné době se 80 % pšenice a 90 % sójových bobů spotřebovaných v Japonsku dováží především z Ruska a Ukrajiny, jejich ceny proto prudce vzrostly. Naproti tomu spotřeba a cena rýže v Japonsku má od roku 1962 klesající tendenci spolu s měnícím se životním stylem Japonců a poklesem počtu obyvatel. V důsledku pandemie koronaviru se spotřeba rýže snížila i z důvodu malé poptávky ze strany restaurací, jejichž provozní doba byla omezena.</w:t>
      </w:r>
    </w:p>
    <w:p w14:paraId="7C2BA29E" w14:textId="77777777" w:rsidR="004B79B2" w:rsidRPr="008E5D15" w:rsidRDefault="004B79B2" w:rsidP="004B79B2">
      <w:pPr>
        <w:pStyle w:val="Bezmezer"/>
        <w:spacing w:line="276" w:lineRule="auto"/>
        <w:jc w:val="both"/>
        <w:rPr>
          <w:rFonts w:ascii="Arial" w:hAnsi="Arial" w:cs="Arial"/>
        </w:rPr>
      </w:pPr>
      <w:r w:rsidRPr="008E5D15">
        <w:rPr>
          <w:rFonts w:ascii="Arial" w:hAnsi="Arial" w:cs="Arial"/>
        </w:rPr>
        <w:t>Dle údajů japonského ministerstva zemědělství se celková plocha rýže pro potravinářské účely letos sníží o 35 tisíc hektarů. Ministerstvo však doporučuje snížení o další 4 tisíce ha, aby produkce odpovídala úrovni poptávky, která se pohybuje kolem 6,75 milionů tun.</w:t>
      </w:r>
    </w:p>
    <w:p w14:paraId="310A8222" w14:textId="77777777" w:rsidR="004B79B2" w:rsidRPr="008E5D15" w:rsidRDefault="004B79B2" w:rsidP="004B79B2">
      <w:pPr>
        <w:pStyle w:val="Bezmezer"/>
        <w:spacing w:line="276" w:lineRule="auto"/>
        <w:jc w:val="both"/>
        <w:rPr>
          <w:rFonts w:ascii="Arial" w:hAnsi="Arial" w:cs="Arial"/>
        </w:rPr>
      </w:pPr>
      <w:r w:rsidRPr="008E5D15">
        <w:rPr>
          <w:rFonts w:ascii="Arial" w:hAnsi="Arial" w:cs="Arial"/>
        </w:rPr>
        <w:t>Vláda podpořila přechod na pěstování pšenice a sóji dotačními tituly. Příjmy včetně dotace na pěstování rýže pro potravinářské účely činí cca 13 tis jenů (2,5 tis Kč) z 10 arů, krmné rýže 26 tis jenů a pšenice 48 tis jenů. Největší částku dostanou pěstitelé sóji</w:t>
      </w:r>
      <w:r>
        <w:rPr>
          <w:rFonts w:ascii="Arial" w:hAnsi="Arial" w:cs="Arial"/>
        </w:rPr>
        <w:t>,</w:t>
      </w:r>
      <w:r w:rsidRPr="008E5D15">
        <w:rPr>
          <w:rFonts w:ascii="Arial" w:hAnsi="Arial" w:cs="Arial"/>
        </w:rPr>
        <w:t xml:space="preserve"> </w:t>
      </w:r>
      <w:r>
        <w:rPr>
          <w:rFonts w:ascii="Arial" w:hAnsi="Arial" w:cs="Arial"/>
        </w:rPr>
        <w:t xml:space="preserve">a to ve výši </w:t>
      </w:r>
      <w:r w:rsidRPr="008E5D15">
        <w:rPr>
          <w:rFonts w:ascii="Arial" w:hAnsi="Arial" w:cs="Arial"/>
        </w:rPr>
        <w:t>49 tis jenů.</w:t>
      </w:r>
    </w:p>
    <w:p w14:paraId="7B2F1A34" w14:textId="77777777" w:rsidR="000123F4" w:rsidRPr="004B79B2" w:rsidRDefault="004B79B2" w:rsidP="004B79B2">
      <w:pPr>
        <w:pStyle w:val="Bezmezer"/>
        <w:spacing w:before="120" w:line="276" w:lineRule="auto"/>
        <w:jc w:val="both"/>
        <w:rPr>
          <w:rFonts w:ascii="Arial" w:hAnsi="Arial" w:cs="Arial"/>
          <w:i/>
        </w:rPr>
      </w:pPr>
      <w:r w:rsidRPr="004B79B2">
        <w:rPr>
          <w:rFonts w:ascii="Arial" w:hAnsi="Arial" w:cs="Arial"/>
          <w:i/>
        </w:rPr>
        <w:t xml:space="preserve">Zdroj </w:t>
      </w:r>
      <w:proofErr w:type="spellStart"/>
      <w:r w:rsidRPr="004B79B2">
        <w:rPr>
          <w:rFonts w:ascii="Arial" w:hAnsi="Arial" w:cs="Arial"/>
          <w:i/>
        </w:rPr>
        <w:t>The</w:t>
      </w:r>
      <w:proofErr w:type="spellEnd"/>
      <w:r w:rsidRPr="004B79B2">
        <w:rPr>
          <w:rFonts w:ascii="Arial" w:hAnsi="Arial" w:cs="Arial"/>
          <w:i/>
        </w:rPr>
        <w:t xml:space="preserve"> </w:t>
      </w:r>
      <w:proofErr w:type="spellStart"/>
      <w:r w:rsidRPr="004B79B2">
        <w:rPr>
          <w:rFonts w:ascii="Arial" w:hAnsi="Arial" w:cs="Arial"/>
          <w:i/>
        </w:rPr>
        <w:t>Mainichi</w:t>
      </w:r>
      <w:proofErr w:type="spellEnd"/>
    </w:p>
    <w:p w14:paraId="590D4482"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6D0A26BC"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397CEFA3"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1" w:history="1">
        <w:r w:rsidRPr="00D54C30">
          <w:rPr>
            <w:rStyle w:val="Hypertextovodkaz"/>
          </w:rPr>
          <w:t>lubos.marek@mze.cz</w:t>
        </w:r>
      </w:hyperlink>
      <w:r>
        <w:t xml:space="preserve"> / </w:t>
      </w:r>
      <w:hyperlink r:id="rId12" w:history="1">
        <w:r w:rsidRPr="00D54C30">
          <w:rPr>
            <w:rStyle w:val="Hypertextovodkaz"/>
          </w:rPr>
          <w:t>commerce_hanoi@mzv.cz</w:t>
        </w:r>
      </w:hyperlink>
      <w:r>
        <w:t xml:space="preserve"> </w:t>
      </w:r>
    </w:p>
    <w:p w14:paraId="09020514" w14:textId="77777777" w:rsidR="004B79B2" w:rsidRPr="004B79B2" w:rsidRDefault="004B79B2" w:rsidP="004B79B2">
      <w:pPr>
        <w:pStyle w:val="Nadpis3"/>
        <w:spacing w:line="276" w:lineRule="auto"/>
      </w:pPr>
      <w:r w:rsidRPr="004B79B2">
        <w:t>Investice 70 mld. Kč do pěstování ženšenu ve Vietnamu</w:t>
      </w:r>
    </w:p>
    <w:p w14:paraId="2D8980F8" w14:textId="77777777" w:rsidR="004B79B2" w:rsidRPr="004B79B2" w:rsidRDefault="004B79B2" w:rsidP="004B79B2">
      <w:pPr>
        <w:pStyle w:val="Bezmezer"/>
        <w:spacing w:line="276" w:lineRule="auto"/>
        <w:jc w:val="both"/>
        <w:rPr>
          <w:rFonts w:ascii="Arial" w:hAnsi="Arial" w:cs="Arial"/>
        </w:rPr>
      </w:pPr>
      <w:r>
        <w:rPr>
          <w:rFonts w:ascii="Arial" w:hAnsi="Arial" w:cs="Arial"/>
        </w:rPr>
        <w:t xml:space="preserve">Dne </w:t>
      </w:r>
      <w:r w:rsidRPr="004B79B2">
        <w:rPr>
          <w:rFonts w:ascii="Arial" w:hAnsi="Arial" w:cs="Arial"/>
        </w:rPr>
        <w:t>15. června pořádalo Ministerstvo zemědělství VSR seminář pro vytvoření programu pěstování a zpracování ženšenu ve Vietnamu do roku 2030 s výhledem do roku 2045.</w:t>
      </w:r>
    </w:p>
    <w:p w14:paraId="0F25867C" w14:textId="77777777" w:rsidR="004B79B2" w:rsidRPr="004B79B2" w:rsidRDefault="004B79B2" w:rsidP="004B79B2">
      <w:pPr>
        <w:pStyle w:val="Bezmezer"/>
        <w:spacing w:line="276" w:lineRule="auto"/>
        <w:jc w:val="both"/>
        <w:rPr>
          <w:rFonts w:ascii="Arial" w:hAnsi="Arial" w:cs="Arial"/>
        </w:rPr>
      </w:pPr>
      <w:r w:rsidRPr="004B79B2">
        <w:rPr>
          <w:rFonts w:ascii="Arial" w:hAnsi="Arial" w:cs="Arial"/>
        </w:rPr>
        <w:t>Program má 6 dílčích projektů: 1) Výzkum, hodnocení a zónování ženšenu; 2) Rozvoj zpracování koncentrovaného ženšenu; 3) Výzkum, vývoj a výběr odrůd; 4) Podpora udržitelného zpracovávání a obchodování s produkty vietnamského ženšenu; 5) Branding, podpora obchodu; 6) Rozvoj infrastruktury oblastí pě</w:t>
      </w:r>
      <w:r w:rsidR="00856FC8">
        <w:rPr>
          <w:rFonts w:ascii="Arial" w:hAnsi="Arial" w:cs="Arial"/>
        </w:rPr>
        <w:t>stování ženšenu v souvislosti s </w:t>
      </w:r>
      <w:r w:rsidRPr="004B79B2">
        <w:rPr>
          <w:rFonts w:ascii="Arial" w:hAnsi="Arial" w:cs="Arial"/>
        </w:rPr>
        <w:t>infrastrukturou etnických menšin a horských oblastí. Odhadované investice jsou 70 mld</w:t>
      </w:r>
      <w:r w:rsidR="00856FC8">
        <w:rPr>
          <w:rFonts w:ascii="Arial" w:hAnsi="Arial" w:cs="Arial"/>
        </w:rPr>
        <w:t>.</w:t>
      </w:r>
      <w:r w:rsidRPr="004B79B2">
        <w:rPr>
          <w:rFonts w:ascii="Arial" w:hAnsi="Arial" w:cs="Arial"/>
        </w:rPr>
        <w:t xml:space="preserve"> Kč.</w:t>
      </w:r>
    </w:p>
    <w:p w14:paraId="2DA4F51A" w14:textId="77777777" w:rsidR="004B79B2" w:rsidRPr="004B79B2" w:rsidRDefault="004B79B2" w:rsidP="004B79B2">
      <w:pPr>
        <w:pStyle w:val="Bezmezer"/>
        <w:spacing w:line="276" w:lineRule="auto"/>
        <w:jc w:val="both"/>
        <w:rPr>
          <w:rFonts w:ascii="Arial" w:hAnsi="Arial" w:cs="Arial"/>
        </w:rPr>
      </w:pPr>
      <w:r w:rsidRPr="001B7C92">
        <w:rPr>
          <w:rFonts w:ascii="Arial" w:hAnsi="Arial" w:cs="Arial"/>
        </w:rPr>
        <w:t xml:space="preserve">Ženšen je velmi cenná rostlina a díky svým blahodárným účinkům – zejména posílení hladiny testosteronu, je v Asii extrémně oblíbený. Mezi premianty patří korejský červený ženšen. Hornaté regiony Vietnamu (zejména provincie Quang Nam a </w:t>
      </w:r>
      <w:proofErr w:type="spellStart"/>
      <w:r w:rsidRPr="001B7C92">
        <w:rPr>
          <w:rFonts w:ascii="Arial" w:hAnsi="Arial" w:cs="Arial"/>
        </w:rPr>
        <w:t>Kon</w:t>
      </w:r>
      <w:proofErr w:type="spellEnd"/>
      <w:r w:rsidRPr="001B7C92">
        <w:rPr>
          <w:rFonts w:ascii="Arial" w:hAnsi="Arial" w:cs="Arial"/>
        </w:rPr>
        <w:t xml:space="preserve"> </w:t>
      </w:r>
      <w:proofErr w:type="spellStart"/>
      <w:r w:rsidRPr="001B7C92">
        <w:rPr>
          <w:rFonts w:ascii="Arial" w:hAnsi="Arial" w:cs="Arial"/>
        </w:rPr>
        <w:t>Tum</w:t>
      </w:r>
      <w:proofErr w:type="spellEnd"/>
      <w:r w:rsidRPr="001B7C92">
        <w:rPr>
          <w:rFonts w:ascii="Arial" w:hAnsi="Arial" w:cs="Arial"/>
        </w:rPr>
        <w:t xml:space="preserve">) pěstují odrůdu ženšenu Ngoc Linh na celkové ploše asi 6 000 ha. </w:t>
      </w:r>
      <w:r w:rsidRPr="004B79B2">
        <w:rPr>
          <w:rFonts w:ascii="Arial" w:hAnsi="Arial" w:cs="Arial"/>
        </w:rPr>
        <w:t xml:space="preserve">Do roku 2030 by mělo být ve Vietnamu přibližně 200 000 hektarů přírodního ženšenu v provinciích Quang Nam, </w:t>
      </w:r>
      <w:proofErr w:type="spellStart"/>
      <w:r w:rsidRPr="004B79B2">
        <w:rPr>
          <w:rFonts w:ascii="Arial" w:hAnsi="Arial" w:cs="Arial"/>
        </w:rPr>
        <w:t>Kon</w:t>
      </w:r>
      <w:proofErr w:type="spellEnd"/>
      <w:r w:rsidRPr="004B79B2">
        <w:rPr>
          <w:rFonts w:ascii="Arial" w:hAnsi="Arial" w:cs="Arial"/>
        </w:rPr>
        <w:t xml:space="preserve"> </w:t>
      </w:r>
      <w:proofErr w:type="spellStart"/>
      <w:r w:rsidRPr="004B79B2">
        <w:rPr>
          <w:rFonts w:ascii="Arial" w:hAnsi="Arial" w:cs="Arial"/>
        </w:rPr>
        <w:t>Tum</w:t>
      </w:r>
      <w:proofErr w:type="spellEnd"/>
      <w:r w:rsidRPr="004B79B2">
        <w:rPr>
          <w:rFonts w:ascii="Arial" w:hAnsi="Arial" w:cs="Arial"/>
        </w:rPr>
        <w:t xml:space="preserve">, </w:t>
      </w:r>
      <w:proofErr w:type="spellStart"/>
      <w:r w:rsidRPr="004B79B2">
        <w:rPr>
          <w:rFonts w:ascii="Arial" w:hAnsi="Arial" w:cs="Arial"/>
        </w:rPr>
        <w:t>Gia</w:t>
      </w:r>
      <w:proofErr w:type="spellEnd"/>
      <w:r w:rsidRPr="004B79B2">
        <w:rPr>
          <w:rFonts w:ascii="Arial" w:hAnsi="Arial" w:cs="Arial"/>
        </w:rPr>
        <w:t xml:space="preserve"> </w:t>
      </w:r>
      <w:proofErr w:type="spellStart"/>
      <w:r w:rsidRPr="004B79B2">
        <w:rPr>
          <w:rFonts w:ascii="Arial" w:hAnsi="Arial" w:cs="Arial"/>
        </w:rPr>
        <w:t>Lai</w:t>
      </w:r>
      <w:proofErr w:type="spellEnd"/>
      <w:r w:rsidRPr="004B79B2">
        <w:rPr>
          <w:rFonts w:ascii="Arial" w:hAnsi="Arial" w:cs="Arial"/>
        </w:rPr>
        <w:t xml:space="preserve">, Lam </w:t>
      </w:r>
      <w:proofErr w:type="spellStart"/>
      <w:r w:rsidRPr="004B79B2">
        <w:rPr>
          <w:rFonts w:ascii="Arial" w:hAnsi="Arial" w:cs="Arial"/>
        </w:rPr>
        <w:t>Dong</w:t>
      </w:r>
      <w:proofErr w:type="spellEnd"/>
      <w:r w:rsidRPr="004B79B2">
        <w:rPr>
          <w:rFonts w:ascii="Arial" w:hAnsi="Arial" w:cs="Arial"/>
        </w:rPr>
        <w:t xml:space="preserve">, </w:t>
      </w:r>
      <w:proofErr w:type="spellStart"/>
      <w:r w:rsidRPr="004B79B2">
        <w:rPr>
          <w:rFonts w:ascii="Arial" w:hAnsi="Arial" w:cs="Arial"/>
        </w:rPr>
        <w:t>Nghe</w:t>
      </w:r>
      <w:proofErr w:type="spellEnd"/>
      <w:r w:rsidRPr="004B79B2">
        <w:rPr>
          <w:rFonts w:ascii="Arial" w:hAnsi="Arial" w:cs="Arial"/>
        </w:rPr>
        <w:t xml:space="preserve"> An, </w:t>
      </w:r>
      <w:proofErr w:type="spellStart"/>
      <w:r w:rsidRPr="004B79B2">
        <w:rPr>
          <w:rFonts w:ascii="Arial" w:hAnsi="Arial" w:cs="Arial"/>
        </w:rPr>
        <w:t>Lai</w:t>
      </w:r>
      <w:proofErr w:type="spellEnd"/>
      <w:r w:rsidRPr="004B79B2">
        <w:rPr>
          <w:rFonts w:ascii="Arial" w:hAnsi="Arial" w:cs="Arial"/>
        </w:rPr>
        <w:t xml:space="preserve"> </w:t>
      </w:r>
      <w:proofErr w:type="spellStart"/>
      <w:r w:rsidRPr="004B79B2">
        <w:rPr>
          <w:rFonts w:ascii="Arial" w:hAnsi="Arial" w:cs="Arial"/>
        </w:rPr>
        <w:t>Chau</w:t>
      </w:r>
      <w:proofErr w:type="spellEnd"/>
      <w:r w:rsidRPr="004B79B2">
        <w:rPr>
          <w:rFonts w:ascii="Arial" w:hAnsi="Arial" w:cs="Arial"/>
        </w:rPr>
        <w:t xml:space="preserve"> a </w:t>
      </w:r>
      <w:proofErr w:type="spellStart"/>
      <w:r w:rsidRPr="004B79B2">
        <w:rPr>
          <w:rFonts w:ascii="Arial" w:hAnsi="Arial" w:cs="Arial"/>
        </w:rPr>
        <w:t>Lao</w:t>
      </w:r>
      <w:proofErr w:type="spellEnd"/>
      <w:r w:rsidRPr="004B79B2">
        <w:rPr>
          <w:rFonts w:ascii="Arial" w:hAnsi="Arial" w:cs="Arial"/>
        </w:rPr>
        <w:t xml:space="preserve"> </w:t>
      </w:r>
      <w:proofErr w:type="spellStart"/>
      <w:r w:rsidRPr="004B79B2">
        <w:rPr>
          <w:rFonts w:ascii="Arial" w:hAnsi="Arial" w:cs="Arial"/>
        </w:rPr>
        <w:t>Cai</w:t>
      </w:r>
      <w:proofErr w:type="spellEnd"/>
      <w:r w:rsidRPr="004B79B2">
        <w:rPr>
          <w:rFonts w:ascii="Arial" w:hAnsi="Arial" w:cs="Arial"/>
        </w:rPr>
        <w:t>. Při plánované rozloze ženšenu v roce 2030 bude výnos mezi 500 a 700 tunami.</w:t>
      </w:r>
    </w:p>
    <w:p w14:paraId="2C5BA6CF" w14:textId="77777777" w:rsidR="004B79B2" w:rsidRPr="004B79B2" w:rsidRDefault="004B79B2" w:rsidP="004B79B2">
      <w:pPr>
        <w:pStyle w:val="Bezmezer"/>
        <w:spacing w:line="276" w:lineRule="auto"/>
        <w:jc w:val="both"/>
        <w:rPr>
          <w:rFonts w:ascii="Arial" w:hAnsi="Arial" w:cs="Arial"/>
        </w:rPr>
      </w:pPr>
      <w:r w:rsidRPr="004B79B2">
        <w:rPr>
          <w:rFonts w:ascii="Arial" w:hAnsi="Arial" w:cs="Arial"/>
        </w:rPr>
        <w:t>Aktuálně existuje ve Vietnamu pět podniků na zpracování ženšenu, které splňují požadavky GMP.</w:t>
      </w:r>
    </w:p>
    <w:p w14:paraId="531B2E29" w14:textId="77777777" w:rsidR="007D7C87" w:rsidRPr="007D7C87" w:rsidRDefault="004B79B2" w:rsidP="004B79B2">
      <w:pPr>
        <w:pStyle w:val="Bezmezer"/>
        <w:spacing w:line="276" w:lineRule="auto"/>
        <w:jc w:val="both"/>
        <w:rPr>
          <w:rFonts w:ascii="Arial" w:hAnsi="Arial" w:cs="Arial"/>
        </w:rPr>
      </w:pPr>
      <w:r w:rsidRPr="004B79B2">
        <w:rPr>
          <w:rFonts w:ascii="Arial" w:hAnsi="Arial" w:cs="Arial"/>
        </w:rPr>
        <w:t xml:space="preserve">Náměstek ministra zemědělství a rozvoje venkova </w:t>
      </w:r>
      <w:proofErr w:type="spellStart"/>
      <w:r w:rsidRPr="004B79B2">
        <w:rPr>
          <w:rFonts w:ascii="Arial" w:hAnsi="Arial" w:cs="Arial"/>
        </w:rPr>
        <w:t>Le</w:t>
      </w:r>
      <w:proofErr w:type="spellEnd"/>
      <w:r w:rsidRPr="004B79B2">
        <w:rPr>
          <w:rFonts w:ascii="Arial" w:hAnsi="Arial" w:cs="Arial"/>
        </w:rPr>
        <w:t xml:space="preserve"> Quoc </w:t>
      </w:r>
      <w:proofErr w:type="spellStart"/>
      <w:r w:rsidRPr="004B79B2">
        <w:rPr>
          <w:rFonts w:ascii="Arial" w:hAnsi="Arial" w:cs="Arial"/>
        </w:rPr>
        <w:t>Doanh</w:t>
      </w:r>
      <w:proofErr w:type="spellEnd"/>
      <w:r w:rsidRPr="004B79B2">
        <w:rPr>
          <w:rFonts w:ascii="Arial" w:hAnsi="Arial" w:cs="Arial"/>
        </w:rPr>
        <w:t xml:space="preserve"> řekl, že je důležité chránit genetický zdroj původní odrůdy ženšenu Ngoc Linh bez hybridizace. V</w:t>
      </w:r>
      <w:r w:rsidR="00856FC8">
        <w:rPr>
          <w:rFonts w:ascii="Arial" w:hAnsi="Arial" w:cs="Arial"/>
        </w:rPr>
        <w:t>ytvořit digitalizovaný a </w:t>
      </w:r>
      <w:r w:rsidRPr="004B79B2">
        <w:rPr>
          <w:rFonts w:ascii="Arial" w:hAnsi="Arial" w:cs="Arial"/>
        </w:rPr>
        <w:t>kódovaný biologický a právní záznam pro národní značku ženšenu Ngoc Linh. Identifikace původu a kvality Ngoc Linh však mělo za následek i to, že se na trhu objevilo několik plagiátů těchto ženšenových produktů.</w:t>
      </w:r>
    </w:p>
    <w:p w14:paraId="54C6C85D" w14:textId="77777777" w:rsidR="00457E05" w:rsidRPr="00587417" w:rsidRDefault="00457E05" w:rsidP="00457E05">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69018015" w14:textId="77777777" w:rsidR="00457E05" w:rsidRPr="00BD647F" w:rsidRDefault="00457E05" w:rsidP="00457E05">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3" w:history="1">
        <w:r w:rsidRPr="00D54C30">
          <w:rPr>
            <w:rStyle w:val="Hypertextovodkaz"/>
          </w:rPr>
          <w:t>artom_lukasov@mzv.cz</w:t>
        </w:r>
      </w:hyperlink>
      <w:r>
        <w:t xml:space="preserve"> – komunikace v angličtině nebo ruštině</w:t>
      </w:r>
    </w:p>
    <w:p w14:paraId="799B9FD5" w14:textId="4147DCC5" w:rsidR="003149A8" w:rsidRPr="00E21F46" w:rsidRDefault="003149A8" w:rsidP="003149A8">
      <w:pPr>
        <w:pStyle w:val="Nadpis3"/>
        <w:spacing w:line="276" w:lineRule="auto"/>
        <w:rPr>
          <w:rFonts w:ascii="Arial" w:hAnsi="Arial" w:cs="Arial"/>
          <w:b w:val="0"/>
        </w:rPr>
      </w:pPr>
      <w:bookmarkStart w:id="0" w:name="_Hlk106374111"/>
      <w:r w:rsidRPr="003149A8">
        <w:t>Export rostlinného oleje</w:t>
      </w:r>
      <w:bookmarkEnd w:id="0"/>
      <w:r w:rsidRPr="00E21F46">
        <w:rPr>
          <w:rFonts w:ascii="Arial" w:hAnsi="Arial" w:cs="Arial"/>
        </w:rPr>
        <w:t xml:space="preserve"> </w:t>
      </w:r>
    </w:p>
    <w:p w14:paraId="624FB865" w14:textId="77777777" w:rsidR="003149A8" w:rsidRPr="003A4ED8" w:rsidRDefault="003149A8" w:rsidP="003A4ED8">
      <w:pPr>
        <w:spacing w:after="160" w:line="276" w:lineRule="auto"/>
        <w:jc w:val="both"/>
        <w:rPr>
          <w:rFonts w:cs="Arial"/>
        </w:rPr>
      </w:pPr>
      <w:r w:rsidRPr="003A4ED8">
        <w:rPr>
          <w:rFonts w:cs="Arial"/>
        </w:rPr>
        <w:t>Za první čtvrtletí t. r. činil objem dodávek rostlinného oleje z Kazachstánu do zahraničí přibližně 70 mld. $, což je dvakrát více ve srovnání se stejným obdobím loňského roku.</w:t>
      </w:r>
      <w:r w:rsidR="003A4ED8">
        <w:rPr>
          <w:rFonts w:cs="Arial"/>
        </w:rPr>
        <w:t xml:space="preserve"> </w:t>
      </w:r>
      <w:r w:rsidRPr="003A4ED8">
        <w:rPr>
          <w:rFonts w:cs="Arial"/>
        </w:rPr>
        <w:t xml:space="preserve">Za první čtvrtletí t. r. bylo v Kazachstánu vyrobeno 108 tis. tun slunečnicového oleje, což je více než 10% nárůst. Export slunečnicového oleje do zahraničí činil téměř 53 tis. tun, to je polovina celkového objemu výroby. Nárůst exportu oleje byl způsoben vysokou poptávkou v Číně (v hodnotě 40 mil. $) i v Afghánistánu (téměř </w:t>
      </w:r>
      <w:proofErr w:type="gramStart"/>
      <w:r w:rsidRPr="003A4ED8">
        <w:rPr>
          <w:rFonts w:cs="Arial"/>
        </w:rPr>
        <w:t>14  mil.</w:t>
      </w:r>
      <w:proofErr w:type="gramEnd"/>
      <w:r w:rsidRPr="003A4ED8">
        <w:rPr>
          <w:rFonts w:cs="Arial"/>
        </w:rPr>
        <w:t xml:space="preserve"> $).</w:t>
      </w:r>
      <w:r w:rsidR="00360569">
        <w:rPr>
          <w:rFonts w:cs="Arial"/>
        </w:rPr>
        <w:t xml:space="preserve"> </w:t>
      </w:r>
      <w:r w:rsidRPr="003A4ED8">
        <w:rPr>
          <w:rFonts w:cs="Arial"/>
        </w:rPr>
        <w:t>Příjmy z prodeje do zahraničí se za 4 měsíce t. r. zdvojnásobily na 99 mil. $. V průběhu roku se průměrná vývo</w:t>
      </w:r>
      <w:r w:rsidR="00360569">
        <w:rPr>
          <w:rFonts w:cs="Arial"/>
        </w:rPr>
        <w:t>zní cena slunečnicového oleje v </w:t>
      </w:r>
      <w:r w:rsidRPr="003A4ED8">
        <w:rPr>
          <w:rFonts w:cs="Arial"/>
        </w:rPr>
        <w:t xml:space="preserve">Kazachstánu zvýšila o 25 % na 1,4 $ za 1 </w:t>
      </w:r>
      <w:r w:rsidR="00360569">
        <w:rPr>
          <w:rFonts w:cs="Arial"/>
        </w:rPr>
        <w:t>litr</w:t>
      </w:r>
      <w:r w:rsidRPr="003A4ED8">
        <w:rPr>
          <w:rFonts w:cs="Arial"/>
        </w:rPr>
        <w:t xml:space="preserve">. </w:t>
      </w:r>
    </w:p>
    <w:p w14:paraId="2761EB03" w14:textId="77777777" w:rsidR="003149A8" w:rsidRPr="003149A8" w:rsidRDefault="003149A8" w:rsidP="003149A8">
      <w:pPr>
        <w:pStyle w:val="Nadpis3"/>
        <w:spacing w:line="276" w:lineRule="auto"/>
      </w:pPr>
      <w:r w:rsidRPr="003149A8">
        <w:t>Hrubá domácí produkce Kazachstánu za 6 měsíců r. 2022</w:t>
      </w:r>
    </w:p>
    <w:p w14:paraId="72819047" w14:textId="77777777" w:rsidR="003A4ED8" w:rsidRDefault="003149A8" w:rsidP="003A4ED8">
      <w:pPr>
        <w:spacing w:line="276" w:lineRule="auto"/>
        <w:jc w:val="both"/>
        <w:rPr>
          <w:rFonts w:cs="Arial"/>
        </w:rPr>
      </w:pPr>
      <w:r w:rsidRPr="003A4ED8">
        <w:rPr>
          <w:rFonts w:cs="Arial"/>
        </w:rPr>
        <w:t xml:space="preserve">Podle výsledků z prvního pololetí t. r. činil hrubý domácí produkt (a služeb) </w:t>
      </w:r>
      <w:r w:rsidRPr="003A4ED8">
        <w:rPr>
          <w:rFonts w:cs="Arial"/>
        </w:rPr>
        <w:br/>
        <w:t xml:space="preserve">v kazachstánském zemědělství, lesnictví a rybolovu 2,9 mld. $, což představuje 2,5 % z celkového HDP, a o 1,3 % více než ve stejném období loňského roku. </w:t>
      </w:r>
    </w:p>
    <w:p w14:paraId="6F88EADA" w14:textId="77777777" w:rsidR="003149A8" w:rsidRPr="003A4ED8" w:rsidRDefault="003149A8" w:rsidP="003A4ED8">
      <w:pPr>
        <w:spacing w:after="160" w:line="276" w:lineRule="auto"/>
        <w:jc w:val="both"/>
        <w:rPr>
          <w:rFonts w:cs="Arial"/>
        </w:rPr>
      </w:pPr>
      <w:r w:rsidRPr="003A4ED8">
        <w:rPr>
          <w:rFonts w:cs="Arial"/>
        </w:rPr>
        <w:t>Z celkového HDP činily zemědělské produkty 2,85 mld. $, konkrétně nejvyšší podíl měla živočišná výroba 2,7 mld. $ a plodiny 147 mil. $.</w:t>
      </w:r>
      <w:r w:rsidR="003A4ED8">
        <w:rPr>
          <w:rFonts w:cs="Arial"/>
        </w:rPr>
        <w:t xml:space="preserve"> </w:t>
      </w:r>
      <w:r w:rsidRPr="003A4ED8">
        <w:rPr>
          <w:rFonts w:cs="Arial"/>
        </w:rPr>
        <w:t>Na zvýšení objemu hrubé zemědělské produkce mělo vliv zvýšení produkce vajec o 9,7 %, dále zvýšení objemu porážek hospodářských zvířat a drůbeže o 1,7</w:t>
      </w:r>
      <w:r w:rsidR="003A4ED8">
        <w:rPr>
          <w:rFonts w:cs="Arial"/>
        </w:rPr>
        <w:t xml:space="preserve"> % </w:t>
      </w:r>
      <w:r w:rsidRPr="003A4ED8">
        <w:rPr>
          <w:rFonts w:cs="Arial"/>
        </w:rPr>
        <w:t>a zvýšení užitkov</w:t>
      </w:r>
      <w:r w:rsidR="003A4ED8">
        <w:rPr>
          <w:rFonts w:cs="Arial"/>
        </w:rPr>
        <w:t>osti syrového kravského mléka o </w:t>
      </w:r>
      <w:r w:rsidRPr="003A4ED8">
        <w:rPr>
          <w:rFonts w:cs="Arial"/>
        </w:rPr>
        <w:t>1,3</w:t>
      </w:r>
      <w:r w:rsidR="003A4ED8">
        <w:rPr>
          <w:rFonts w:cs="Arial"/>
        </w:rPr>
        <w:t> </w:t>
      </w:r>
      <w:r w:rsidRPr="003A4ED8">
        <w:rPr>
          <w:rFonts w:cs="Arial"/>
        </w:rPr>
        <w:t>%. Podle údajů Evropské hospodářské komise OSN z r. 2020 má však Kazachstán nejslabší ukazatel ze zemí SNS z hlediska podílu zemědělství na HDP.</w:t>
      </w:r>
    </w:p>
    <w:p w14:paraId="72A69F29"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7D34CC5F" w14:textId="77777777" w:rsidR="00AB3AE2"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4"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6D9148AD" w14:textId="77777777" w:rsidR="0002796B" w:rsidRPr="0002796B" w:rsidRDefault="0002796B" w:rsidP="0002796B">
      <w:pPr>
        <w:pStyle w:val="Nadpis3"/>
        <w:spacing w:line="276" w:lineRule="auto"/>
      </w:pPr>
      <w:bookmarkStart w:id="1" w:name="_Hlk106374146"/>
      <w:r w:rsidRPr="006926F0">
        <w:t>Skotské ne změně pravidel pro geneticky modifikované organismy</w:t>
      </w:r>
      <w:r>
        <w:t xml:space="preserve"> v UK</w:t>
      </w:r>
      <w:bookmarkEnd w:id="1"/>
    </w:p>
    <w:p w14:paraId="799E11E6" w14:textId="77777777" w:rsidR="0002796B" w:rsidRPr="0002796B" w:rsidRDefault="0002796B" w:rsidP="0002796B">
      <w:pPr>
        <w:pStyle w:val="Bezmezer"/>
        <w:spacing w:line="276" w:lineRule="auto"/>
        <w:jc w:val="both"/>
        <w:rPr>
          <w:rFonts w:ascii="Arial" w:hAnsi="Arial" w:cs="Arial"/>
        </w:rPr>
      </w:pPr>
      <w:r w:rsidRPr="0002796B">
        <w:rPr>
          <w:rFonts w:ascii="Arial" w:hAnsi="Arial" w:cs="Arial"/>
        </w:rPr>
        <w:t>Vláda Spojeného království představila návrh nové legislativní úpravy o genetických modifikacích, která umožní uvolnění pravidel týkajících se genetických úprav plodin – a případně i zvířat – v Anglii.</w:t>
      </w:r>
    </w:p>
    <w:p w14:paraId="4021AAE7" w14:textId="77777777" w:rsidR="0002796B" w:rsidRPr="0002796B" w:rsidRDefault="0002796B" w:rsidP="0002796B">
      <w:pPr>
        <w:pStyle w:val="Bezmezer"/>
        <w:spacing w:line="276" w:lineRule="auto"/>
        <w:jc w:val="both"/>
        <w:rPr>
          <w:rFonts w:ascii="Arial" w:hAnsi="Arial" w:cs="Arial"/>
        </w:rPr>
      </w:pPr>
      <w:r w:rsidRPr="0002796B">
        <w:rPr>
          <w:rFonts w:ascii="Arial" w:hAnsi="Arial" w:cs="Arial"/>
        </w:rPr>
        <w:t>Poté, co byl tento návrh zákona představen, signalizovala skotská vláda, že skotský regulační režim pro geneticky modifikované organismy měnit nebude. Návrh zákona, který se projednává v britském parlamentu, proto odstraní překážky pro výzkum nových technologií modifikace genů jen v Anglii.</w:t>
      </w:r>
    </w:p>
    <w:p w14:paraId="66A62D9E" w14:textId="77777777" w:rsidR="0002796B" w:rsidRPr="0002796B" w:rsidRDefault="0002796B" w:rsidP="0002796B">
      <w:pPr>
        <w:pStyle w:val="Bezmezer"/>
        <w:spacing w:line="276" w:lineRule="auto"/>
        <w:jc w:val="both"/>
        <w:rPr>
          <w:rFonts w:ascii="Arial" w:hAnsi="Arial" w:cs="Arial"/>
        </w:rPr>
      </w:pPr>
      <w:r w:rsidRPr="0002796B">
        <w:rPr>
          <w:rFonts w:ascii="Arial" w:hAnsi="Arial" w:cs="Arial"/>
        </w:rPr>
        <w:t>Změna zákona znamená, že vědci v Anglii budou moci provádět výzkum a vývoj pomocí nových technik po letech omezení vyplývajících z práva EU. Zemědělské skupiny, jako je NFU (Národní svaz zemědělců), zavedení zákona většinou uvítaly a označily jej za „vědecky podloženou legislativní změnu“. Podle svazu má změna potenciál přinést řadu výhod pro produkci potravin i životní prostředí ve Spojeném království. Vláda Spojeného království vyzvala Skotsko, aby se k legislativě připojilo, a to den předtím, než byl návrh zákona představen v britském Parlamentu.</w:t>
      </w:r>
    </w:p>
    <w:p w14:paraId="1030EE1A" w14:textId="77777777" w:rsidR="0002796B" w:rsidRPr="0002796B" w:rsidRDefault="0002796B" w:rsidP="0002796B">
      <w:pPr>
        <w:pStyle w:val="Bezmezer"/>
        <w:spacing w:line="276" w:lineRule="auto"/>
        <w:jc w:val="both"/>
        <w:rPr>
          <w:rFonts w:ascii="Arial" w:hAnsi="Arial" w:cs="Arial"/>
        </w:rPr>
      </w:pPr>
      <w:r w:rsidRPr="0002796B">
        <w:rPr>
          <w:rFonts w:ascii="Arial" w:hAnsi="Arial" w:cs="Arial"/>
        </w:rPr>
        <w:t>Skotská ministryně zemědělství v dopise ministru zemědělství a životního prostředí UK tuto výzvu odmítla a uvedla, že využívání genetických technologií je „s</w:t>
      </w:r>
      <w:r>
        <w:rPr>
          <w:rFonts w:ascii="Arial" w:hAnsi="Arial" w:cs="Arial"/>
        </w:rPr>
        <w:t>ložitá a citlivá oblast“, a </w:t>
      </w:r>
      <w:r w:rsidRPr="0002796B">
        <w:rPr>
          <w:rFonts w:ascii="Arial" w:hAnsi="Arial" w:cs="Arial"/>
        </w:rPr>
        <w:t xml:space="preserve">dodala, že je „naprosto jasné, že existují problémy, které je třeba řešit“. Kromě toho také existují „vážné obavy“ týkající se dopadů tohoto opatření na obchod, včetně obchodu s EU, která je největším obchodním partnerem Spojeného království. Ministryně varovala, že geny </w:t>
      </w:r>
      <w:r>
        <w:rPr>
          <w:rFonts w:ascii="Arial" w:hAnsi="Arial" w:cs="Arial"/>
        </w:rPr>
        <w:t>z </w:t>
      </w:r>
      <w:r w:rsidRPr="0002796B">
        <w:rPr>
          <w:rFonts w:ascii="Arial" w:hAnsi="Arial" w:cs="Arial"/>
        </w:rPr>
        <w:t>Anglie v produktech upravených dle nového nařízení by se mohly dostat i do jiných oblastí UK, což by bylo „nepřijatelné“.</w:t>
      </w:r>
    </w:p>
    <w:p w14:paraId="402B1DE8" w14:textId="77777777" w:rsidR="0002796B" w:rsidRDefault="003819AB" w:rsidP="0002796B">
      <w:pPr>
        <w:jc w:val="both"/>
      </w:pPr>
      <w:hyperlink r:id="rId15" w:history="1">
        <w:r w:rsidR="0002796B" w:rsidRPr="00A13CD9">
          <w:rPr>
            <w:rStyle w:val="Hypertextovodkaz"/>
          </w:rPr>
          <w:t>Zdroj</w:t>
        </w:r>
      </w:hyperlink>
    </w:p>
    <w:p w14:paraId="51272B8A" w14:textId="77777777" w:rsidR="0002796B" w:rsidRPr="0002796B" w:rsidRDefault="0002796B" w:rsidP="0002796B">
      <w:pPr>
        <w:pStyle w:val="Nadpis3"/>
        <w:spacing w:line="276" w:lineRule="auto"/>
      </w:pPr>
      <w:bookmarkStart w:id="2" w:name="_Hlk106374156"/>
      <w:r w:rsidRPr="00A13CD9">
        <w:t>Snaha UK o získání pracovní síly v zemědělství</w:t>
      </w:r>
      <w:bookmarkEnd w:id="2"/>
    </w:p>
    <w:p w14:paraId="66BE3A4D" w14:textId="77777777" w:rsidR="0002796B" w:rsidRPr="0002796B" w:rsidRDefault="0002796B" w:rsidP="0002796B">
      <w:pPr>
        <w:pStyle w:val="Bezmezer"/>
        <w:spacing w:line="276" w:lineRule="auto"/>
        <w:jc w:val="both"/>
        <w:rPr>
          <w:rFonts w:ascii="Arial" w:hAnsi="Arial" w:cs="Arial"/>
        </w:rPr>
      </w:pPr>
      <w:r w:rsidRPr="0002796B">
        <w:rPr>
          <w:rFonts w:ascii="Arial" w:hAnsi="Arial" w:cs="Arial"/>
        </w:rPr>
        <w:t>Ministerstvo zemědělství a životního prostředí UK (</w:t>
      </w:r>
      <w:proofErr w:type="spellStart"/>
      <w:r w:rsidRPr="0002796B">
        <w:rPr>
          <w:rFonts w:ascii="Arial" w:hAnsi="Arial" w:cs="Arial"/>
        </w:rPr>
        <w:t>Defra</w:t>
      </w:r>
      <w:proofErr w:type="spellEnd"/>
      <w:r w:rsidRPr="0002796B">
        <w:rPr>
          <w:rFonts w:ascii="Arial" w:hAnsi="Arial" w:cs="Arial"/>
        </w:rPr>
        <w:t>) na základě tlaku ze strany průmyslu a britské Komise pro obchod a podnikání představilo nový plán pro získání dalších 10 000 zemědělských pracovníků pro Spojené království. Vláda UK potvrdila, že poskytne 8 000 víz pro pracovníky na sezonní práce související se sběrem ovoce a zeleniny a 2 000 víz pro pracovníky v drůbežářství.</w:t>
      </w:r>
    </w:p>
    <w:p w14:paraId="2ACF8EC4" w14:textId="77777777" w:rsidR="0002796B" w:rsidRPr="0002796B" w:rsidRDefault="0002796B" w:rsidP="0002796B">
      <w:pPr>
        <w:pStyle w:val="Bezmezer"/>
        <w:spacing w:line="276" w:lineRule="auto"/>
        <w:jc w:val="both"/>
        <w:rPr>
          <w:rFonts w:ascii="Arial" w:hAnsi="Arial" w:cs="Arial"/>
        </w:rPr>
      </w:pPr>
      <w:r w:rsidRPr="0002796B">
        <w:rPr>
          <w:rFonts w:ascii="Arial" w:hAnsi="Arial" w:cs="Arial"/>
        </w:rPr>
        <w:t>Zpráva následuje po informacích, že ovoce a zelenina v UK zůstávají nesklizené kvůli akutnímu nedostatku pracovních sil. Zároveň s tím se proto objevují varování před plýtváním potravinami, které nebudou sklizeny a dopraveny spotřebitelům.</w:t>
      </w:r>
    </w:p>
    <w:p w14:paraId="77A4B32A" w14:textId="77777777" w:rsidR="0002796B" w:rsidRPr="0002796B" w:rsidRDefault="0002796B" w:rsidP="0002796B">
      <w:pPr>
        <w:pStyle w:val="Bezmezer"/>
        <w:spacing w:line="276" w:lineRule="auto"/>
        <w:jc w:val="both"/>
        <w:rPr>
          <w:rFonts w:ascii="Arial" w:hAnsi="Arial" w:cs="Arial"/>
        </w:rPr>
      </w:pPr>
      <w:r w:rsidRPr="0002796B">
        <w:rPr>
          <w:rFonts w:ascii="Arial" w:hAnsi="Arial" w:cs="Arial"/>
        </w:rPr>
        <w:t xml:space="preserve">Minulý měsíc navštívila delegace britské Komise pro obchod a podnikání farmu </w:t>
      </w:r>
      <w:proofErr w:type="spellStart"/>
      <w:r w:rsidRPr="0002796B">
        <w:rPr>
          <w:rFonts w:ascii="Arial" w:hAnsi="Arial" w:cs="Arial"/>
        </w:rPr>
        <w:t>Winterwood</w:t>
      </w:r>
      <w:proofErr w:type="spellEnd"/>
      <w:r w:rsidRPr="0002796B">
        <w:rPr>
          <w:rFonts w:ascii="Arial" w:hAnsi="Arial" w:cs="Arial"/>
        </w:rPr>
        <w:t xml:space="preserve"> </w:t>
      </w:r>
      <w:proofErr w:type="spellStart"/>
      <w:r w:rsidRPr="0002796B">
        <w:rPr>
          <w:rFonts w:ascii="Arial" w:hAnsi="Arial" w:cs="Arial"/>
        </w:rPr>
        <w:t>Farms</w:t>
      </w:r>
      <w:proofErr w:type="spellEnd"/>
      <w:r w:rsidRPr="0002796B">
        <w:rPr>
          <w:rFonts w:ascii="Arial" w:hAnsi="Arial" w:cs="Arial"/>
        </w:rPr>
        <w:t xml:space="preserve"> v </w:t>
      </w:r>
      <w:proofErr w:type="spellStart"/>
      <w:r w:rsidRPr="0002796B">
        <w:rPr>
          <w:rFonts w:ascii="Arial" w:hAnsi="Arial" w:cs="Arial"/>
        </w:rPr>
        <w:t>Maidstone</w:t>
      </w:r>
      <w:proofErr w:type="spellEnd"/>
      <w:r w:rsidRPr="0002796B">
        <w:rPr>
          <w:rFonts w:ascii="Arial" w:hAnsi="Arial" w:cs="Arial"/>
        </w:rPr>
        <w:t xml:space="preserve"> a informovala o 8% poklesu sklizně v roce 2021 kvůli menšímu počtu sezónních pracovníků z EU. V důsledku toho se podle farmy dostane na pulty obchodů méně domácích produktů. Ty jsou pak nahrazovány dražším a méně kvalitním dovozem.</w:t>
      </w:r>
    </w:p>
    <w:p w14:paraId="047A5AC8" w14:textId="77777777" w:rsidR="0002796B" w:rsidRPr="0002796B" w:rsidRDefault="0002796B" w:rsidP="0002796B">
      <w:pPr>
        <w:pStyle w:val="Bezmezer"/>
        <w:spacing w:line="276" w:lineRule="auto"/>
        <w:jc w:val="both"/>
        <w:rPr>
          <w:rFonts w:ascii="Arial" w:hAnsi="Arial" w:cs="Arial"/>
        </w:rPr>
      </w:pPr>
      <w:r w:rsidRPr="0002796B">
        <w:rPr>
          <w:rFonts w:ascii="Arial" w:hAnsi="Arial" w:cs="Arial"/>
        </w:rPr>
        <w:t>Poslanci, kteří jsou členy Komise pro obchod a podnikání Spojeného království, jež byla zřízena v loňském roce za účelem kontroly obchodních dohod Spojeného království po brexitu, napsali ministerstvu zemědělství a životního prostředí dopis, ve kterém vyjádřili obavy ohledně investic do výroby potravin ve Spojeném království, potravinového zabezpečení a plýtvání potravinami v době nárůstu životních nákladů. V dopise vyzvali k zavedení podobného systému pro sezónní pracovníky, jaký vláda oznámila v říjnu 2021 pro řidiče nákladních vozidel a pracovníky v drůbežářství.</w:t>
      </w:r>
    </w:p>
    <w:p w14:paraId="64F95C55" w14:textId="77777777" w:rsidR="0002796B" w:rsidRPr="0002796B" w:rsidRDefault="0002796B" w:rsidP="0002796B">
      <w:pPr>
        <w:pStyle w:val="Bezmezer"/>
        <w:spacing w:line="276" w:lineRule="auto"/>
        <w:jc w:val="both"/>
        <w:rPr>
          <w:rFonts w:ascii="Arial" w:hAnsi="Arial" w:cs="Arial"/>
        </w:rPr>
      </w:pPr>
      <w:r w:rsidRPr="0002796B">
        <w:rPr>
          <w:rFonts w:ascii="Arial" w:hAnsi="Arial" w:cs="Arial"/>
        </w:rPr>
        <w:t>Vzhledem k tomu, že problémy s pracovní silou v UK se n</w:t>
      </w:r>
      <w:r>
        <w:rPr>
          <w:rFonts w:ascii="Arial" w:hAnsi="Arial" w:cs="Arial"/>
        </w:rPr>
        <w:t>eomezují pouze na zemědělství a </w:t>
      </w:r>
      <w:r w:rsidRPr="0002796B">
        <w:rPr>
          <w:rFonts w:ascii="Arial" w:hAnsi="Arial" w:cs="Arial"/>
        </w:rPr>
        <w:t>s</w:t>
      </w:r>
      <w:r>
        <w:rPr>
          <w:rFonts w:ascii="Arial" w:hAnsi="Arial" w:cs="Arial"/>
        </w:rPr>
        <w:t> </w:t>
      </w:r>
      <w:r w:rsidRPr="0002796B">
        <w:rPr>
          <w:rFonts w:ascii="Arial" w:hAnsi="Arial" w:cs="Arial"/>
        </w:rPr>
        <w:t>nedostatkem pracovníků se potýká i odvětví cestovního ruchu a pohostinství, vyzvali poslanci k vytvoření komplexnější strategie pro řešení těchto problémů.</w:t>
      </w:r>
    </w:p>
    <w:p w14:paraId="4D581320" w14:textId="77777777" w:rsidR="00F36E50" w:rsidRPr="003A4ED8" w:rsidRDefault="003819AB" w:rsidP="0002796B">
      <w:pPr>
        <w:pStyle w:val="Nadpis3"/>
        <w:spacing w:before="0" w:line="276" w:lineRule="auto"/>
        <w:rPr>
          <w:rFonts w:ascii="Arial" w:hAnsi="Arial" w:cs="Arial"/>
          <w:b w:val="0"/>
          <w:sz w:val="22"/>
          <w:szCs w:val="22"/>
        </w:rPr>
      </w:pPr>
      <w:hyperlink r:id="rId16" w:history="1">
        <w:r w:rsidR="0002796B" w:rsidRPr="003A4ED8">
          <w:rPr>
            <w:rStyle w:val="Hypertextovodkaz"/>
            <w:rFonts w:ascii="Arial" w:hAnsi="Arial" w:cs="Arial"/>
            <w:b w:val="0"/>
            <w:sz w:val="22"/>
            <w:szCs w:val="22"/>
          </w:rPr>
          <w:t>Zdroj</w:t>
        </w:r>
      </w:hyperlink>
    </w:p>
    <w:sectPr w:rsidR="00F36E50" w:rsidRPr="003A4ED8"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F8A4" w14:textId="77777777" w:rsidR="003819AB" w:rsidRDefault="003819AB" w:rsidP="00D4434C">
      <w:r>
        <w:separator/>
      </w:r>
    </w:p>
  </w:endnote>
  <w:endnote w:type="continuationSeparator" w:id="0">
    <w:p w14:paraId="61A9CB0A" w14:textId="77777777" w:rsidR="003819AB" w:rsidRDefault="003819AB"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490B178A" w14:textId="77777777" w:rsidR="00D4434C" w:rsidRDefault="00D4434C">
        <w:pPr>
          <w:pStyle w:val="Zpat"/>
          <w:jc w:val="center"/>
        </w:pPr>
        <w:r>
          <w:fldChar w:fldCharType="begin"/>
        </w:r>
        <w:r>
          <w:instrText>PAGE   \* MERGEFORMAT</w:instrText>
        </w:r>
        <w:r>
          <w:fldChar w:fldCharType="separate"/>
        </w:r>
        <w:r w:rsidR="00DC1F2A">
          <w:rPr>
            <w:noProof/>
          </w:rPr>
          <w:t>2</w:t>
        </w:r>
        <w:r>
          <w:fldChar w:fldCharType="end"/>
        </w:r>
      </w:p>
    </w:sdtContent>
  </w:sdt>
  <w:p w14:paraId="4992F4F4"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EABC" w14:textId="77777777" w:rsidR="003819AB" w:rsidRDefault="003819AB" w:rsidP="00D4434C">
      <w:r>
        <w:separator/>
      </w:r>
    </w:p>
  </w:footnote>
  <w:footnote w:type="continuationSeparator" w:id="0">
    <w:p w14:paraId="32D4F475" w14:textId="77777777" w:rsidR="003819AB" w:rsidRDefault="003819AB"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4F3AE7"/>
    <w:multiLevelType w:val="hybridMultilevel"/>
    <w:tmpl w:val="5030BAD6"/>
    <w:lvl w:ilvl="0" w:tplc="AD4A7A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F259CA"/>
    <w:multiLevelType w:val="hybridMultilevel"/>
    <w:tmpl w:val="84DA22BC"/>
    <w:lvl w:ilvl="0" w:tplc="F7C250C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2"/>
  </w:num>
  <w:num w:numId="4">
    <w:abstractNumId w:val="11"/>
  </w:num>
  <w:num w:numId="5">
    <w:abstractNumId w:val="26"/>
  </w:num>
  <w:num w:numId="6">
    <w:abstractNumId w:val="27"/>
  </w:num>
  <w:num w:numId="7">
    <w:abstractNumId w:val="23"/>
  </w:num>
  <w:num w:numId="8">
    <w:abstractNumId w:val="3"/>
  </w:num>
  <w:num w:numId="9">
    <w:abstractNumId w:val="10"/>
  </w:num>
  <w:num w:numId="10">
    <w:abstractNumId w:val="6"/>
  </w:num>
  <w:num w:numId="11">
    <w:abstractNumId w:val="21"/>
  </w:num>
  <w:num w:numId="12">
    <w:abstractNumId w:val="13"/>
  </w:num>
  <w:num w:numId="13">
    <w:abstractNumId w:val="32"/>
  </w:num>
  <w:num w:numId="14">
    <w:abstractNumId w:val="8"/>
  </w:num>
  <w:num w:numId="15">
    <w:abstractNumId w:val="2"/>
  </w:num>
  <w:num w:numId="16">
    <w:abstractNumId w:val="16"/>
  </w:num>
  <w:num w:numId="17">
    <w:abstractNumId w:val="7"/>
  </w:num>
  <w:num w:numId="18">
    <w:abstractNumId w:val="1"/>
  </w:num>
  <w:num w:numId="19">
    <w:abstractNumId w:val="30"/>
  </w:num>
  <w:num w:numId="20">
    <w:abstractNumId w:val="29"/>
  </w:num>
  <w:num w:numId="21">
    <w:abstractNumId w:val="0"/>
  </w:num>
  <w:num w:numId="22">
    <w:abstractNumId w:val="5"/>
  </w:num>
  <w:num w:numId="23">
    <w:abstractNumId w:val="31"/>
  </w:num>
  <w:num w:numId="24">
    <w:abstractNumId w:val="15"/>
  </w:num>
  <w:num w:numId="25">
    <w:abstractNumId w:val="4"/>
  </w:num>
  <w:num w:numId="26">
    <w:abstractNumId w:val="25"/>
  </w:num>
  <w:num w:numId="27">
    <w:abstractNumId w:val="28"/>
  </w:num>
  <w:num w:numId="28">
    <w:abstractNumId w:val="19"/>
  </w:num>
  <w:num w:numId="29">
    <w:abstractNumId w:val="12"/>
  </w:num>
  <w:num w:numId="30">
    <w:abstractNumId w:val="14"/>
  </w:num>
  <w:num w:numId="31">
    <w:abstractNumId w:val="17"/>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123F4"/>
    <w:rsid w:val="0002796B"/>
    <w:rsid w:val="00035FAD"/>
    <w:rsid w:val="000458E0"/>
    <w:rsid w:val="00056BBE"/>
    <w:rsid w:val="00061EED"/>
    <w:rsid w:val="00062DAB"/>
    <w:rsid w:val="000663DF"/>
    <w:rsid w:val="00092CD5"/>
    <w:rsid w:val="000A4F06"/>
    <w:rsid w:val="000B199E"/>
    <w:rsid w:val="000D651D"/>
    <w:rsid w:val="000F24FC"/>
    <w:rsid w:val="000F717B"/>
    <w:rsid w:val="00126ADE"/>
    <w:rsid w:val="00146BCF"/>
    <w:rsid w:val="0018208B"/>
    <w:rsid w:val="001D3F62"/>
    <w:rsid w:val="001E5189"/>
    <w:rsid w:val="001F023C"/>
    <w:rsid w:val="001F29AF"/>
    <w:rsid w:val="00216114"/>
    <w:rsid w:val="00223F87"/>
    <w:rsid w:val="002550D0"/>
    <w:rsid w:val="00260021"/>
    <w:rsid w:val="002616B5"/>
    <w:rsid w:val="00267D97"/>
    <w:rsid w:val="0029182F"/>
    <w:rsid w:val="002A2D85"/>
    <w:rsid w:val="002A56DF"/>
    <w:rsid w:val="002E5EAD"/>
    <w:rsid w:val="003149A8"/>
    <w:rsid w:val="00360569"/>
    <w:rsid w:val="00370E34"/>
    <w:rsid w:val="003819AB"/>
    <w:rsid w:val="003964FA"/>
    <w:rsid w:val="003A4ED8"/>
    <w:rsid w:val="003D2B3B"/>
    <w:rsid w:val="003D56E1"/>
    <w:rsid w:val="004232BE"/>
    <w:rsid w:val="004559E3"/>
    <w:rsid w:val="00457E05"/>
    <w:rsid w:val="004962CD"/>
    <w:rsid w:val="00497A4D"/>
    <w:rsid w:val="004A6C5B"/>
    <w:rsid w:val="004B79B2"/>
    <w:rsid w:val="004E6FCD"/>
    <w:rsid w:val="004F1D9E"/>
    <w:rsid w:val="00505C2E"/>
    <w:rsid w:val="005248F4"/>
    <w:rsid w:val="00524BA5"/>
    <w:rsid w:val="005672BA"/>
    <w:rsid w:val="00587417"/>
    <w:rsid w:val="005B327C"/>
    <w:rsid w:val="005C3BF7"/>
    <w:rsid w:val="005C7667"/>
    <w:rsid w:val="005D5E3F"/>
    <w:rsid w:val="005D69CD"/>
    <w:rsid w:val="005D7F74"/>
    <w:rsid w:val="005E20B4"/>
    <w:rsid w:val="00601729"/>
    <w:rsid w:val="00613A7D"/>
    <w:rsid w:val="00624467"/>
    <w:rsid w:val="00631587"/>
    <w:rsid w:val="00636521"/>
    <w:rsid w:val="00640BD1"/>
    <w:rsid w:val="00656C69"/>
    <w:rsid w:val="00661DC5"/>
    <w:rsid w:val="0067358D"/>
    <w:rsid w:val="006805F4"/>
    <w:rsid w:val="006878E5"/>
    <w:rsid w:val="006931C2"/>
    <w:rsid w:val="006A353A"/>
    <w:rsid w:val="006A382E"/>
    <w:rsid w:val="006B3F7F"/>
    <w:rsid w:val="006F79AC"/>
    <w:rsid w:val="00715795"/>
    <w:rsid w:val="00717F96"/>
    <w:rsid w:val="00780119"/>
    <w:rsid w:val="0078308B"/>
    <w:rsid w:val="00790E93"/>
    <w:rsid w:val="00795E13"/>
    <w:rsid w:val="007A531E"/>
    <w:rsid w:val="007D2B12"/>
    <w:rsid w:val="007D7C87"/>
    <w:rsid w:val="007E1315"/>
    <w:rsid w:val="007F3E9B"/>
    <w:rsid w:val="007F44D0"/>
    <w:rsid w:val="007F5F98"/>
    <w:rsid w:val="00807D31"/>
    <w:rsid w:val="00856FC8"/>
    <w:rsid w:val="00886E98"/>
    <w:rsid w:val="00892A59"/>
    <w:rsid w:val="00892E02"/>
    <w:rsid w:val="008976DF"/>
    <w:rsid w:val="00897840"/>
    <w:rsid w:val="008A6BB3"/>
    <w:rsid w:val="008A799A"/>
    <w:rsid w:val="008B3F8F"/>
    <w:rsid w:val="00937595"/>
    <w:rsid w:val="00952BF6"/>
    <w:rsid w:val="009677BC"/>
    <w:rsid w:val="00974743"/>
    <w:rsid w:val="00993C8E"/>
    <w:rsid w:val="00A43583"/>
    <w:rsid w:val="00A53226"/>
    <w:rsid w:val="00A57E6D"/>
    <w:rsid w:val="00A91B8F"/>
    <w:rsid w:val="00AB1996"/>
    <w:rsid w:val="00AB3AE2"/>
    <w:rsid w:val="00AD54F3"/>
    <w:rsid w:val="00AE3F61"/>
    <w:rsid w:val="00AF51BE"/>
    <w:rsid w:val="00B05BDF"/>
    <w:rsid w:val="00B167F4"/>
    <w:rsid w:val="00B173B4"/>
    <w:rsid w:val="00B208A7"/>
    <w:rsid w:val="00B2558D"/>
    <w:rsid w:val="00B27E33"/>
    <w:rsid w:val="00B318F6"/>
    <w:rsid w:val="00B554B9"/>
    <w:rsid w:val="00BA6A5B"/>
    <w:rsid w:val="00BC341A"/>
    <w:rsid w:val="00BC4BD8"/>
    <w:rsid w:val="00BD647F"/>
    <w:rsid w:val="00BD6ED0"/>
    <w:rsid w:val="00BD7227"/>
    <w:rsid w:val="00BE6CBB"/>
    <w:rsid w:val="00C0233A"/>
    <w:rsid w:val="00C051BA"/>
    <w:rsid w:val="00C34CC6"/>
    <w:rsid w:val="00C57B4E"/>
    <w:rsid w:val="00C833B6"/>
    <w:rsid w:val="00CA1C10"/>
    <w:rsid w:val="00CA2C8C"/>
    <w:rsid w:val="00CA478D"/>
    <w:rsid w:val="00CC18E4"/>
    <w:rsid w:val="00D05C35"/>
    <w:rsid w:val="00D33A50"/>
    <w:rsid w:val="00D4434C"/>
    <w:rsid w:val="00D71800"/>
    <w:rsid w:val="00D85D3C"/>
    <w:rsid w:val="00DA01A0"/>
    <w:rsid w:val="00DA25B0"/>
    <w:rsid w:val="00DB022E"/>
    <w:rsid w:val="00DB0371"/>
    <w:rsid w:val="00DB24CC"/>
    <w:rsid w:val="00DB3BA7"/>
    <w:rsid w:val="00DC1F2A"/>
    <w:rsid w:val="00DF47CC"/>
    <w:rsid w:val="00E0689A"/>
    <w:rsid w:val="00E52E29"/>
    <w:rsid w:val="00E853BA"/>
    <w:rsid w:val="00E87201"/>
    <w:rsid w:val="00E96F76"/>
    <w:rsid w:val="00E973C5"/>
    <w:rsid w:val="00E97C5D"/>
    <w:rsid w:val="00EA44BE"/>
    <w:rsid w:val="00EA7FE6"/>
    <w:rsid w:val="00EB0751"/>
    <w:rsid w:val="00EB12F4"/>
    <w:rsid w:val="00EB5C94"/>
    <w:rsid w:val="00ED2A93"/>
    <w:rsid w:val="00EF76D8"/>
    <w:rsid w:val="00F03535"/>
    <w:rsid w:val="00F04621"/>
    <w:rsid w:val="00F36E50"/>
    <w:rsid w:val="00F4313C"/>
    <w:rsid w:val="00F7570B"/>
    <w:rsid w:val="00F75C44"/>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B38B"/>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248610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artom_lukasov@mzv.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erce_hanoi@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rminguk.com/news/defra-unveils-new-route-for-10-000-farm-workers-to-come-to-uk_6057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bos.marek@mze.cz" TargetMode="External"/><Relationship Id="rId5" Type="http://schemas.openxmlformats.org/officeDocument/2006/relationships/webSettings" Target="webSettings.xml"/><Relationship Id="rId15" Type="http://schemas.openxmlformats.org/officeDocument/2006/relationships/hyperlink" Target="https://www.farminguk.com/news/scotland-will-not-follow-england-and-change-gm-rules-minister-says_60562.html" TargetMode="External"/><Relationship Id="rId10" Type="http://schemas.openxmlformats.org/officeDocument/2006/relationships/hyperlink" Target="mailto:irena_leopoldova@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uktrade@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0FB575C-E60F-4DC2-BA3F-8F0A1E95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4</TotalTime>
  <Pages>4</Pages>
  <Words>1848</Words>
  <Characters>10905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12728</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dcterms:created xsi:type="dcterms:W3CDTF">2022-06-17T13:58:00Z</dcterms:created>
  <dcterms:modified xsi:type="dcterms:W3CDTF">2022-06-17T14:02:00Z</dcterms:modified>
</cp:coreProperties>
</file>