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9B40" w14:textId="33A2330E" w:rsidR="00937595"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337BB6">
        <w:rPr>
          <w:rFonts w:ascii="Arial" w:hAnsi="Arial" w:cs="Arial"/>
          <w:noProof/>
        </w:rPr>
        <w:t>pátek 16. prosince 2022</w:t>
      </w:r>
      <w:r w:rsidR="00035FAD" w:rsidRPr="00937595">
        <w:rPr>
          <w:rFonts w:ascii="Arial" w:hAnsi="Arial" w:cs="Arial"/>
        </w:rPr>
        <w:fldChar w:fldCharType="end"/>
      </w:r>
    </w:p>
    <w:p w14:paraId="1676A580" w14:textId="77777777" w:rsidR="006F78ED" w:rsidRPr="006F78ED" w:rsidRDefault="006F78ED" w:rsidP="006F78ED"/>
    <w:p w14:paraId="48002484"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SRBSKO</w:t>
      </w:r>
    </w:p>
    <w:p w14:paraId="4885C095" w14:textId="77777777" w:rsidR="00DB3BA7" w:rsidRPr="00587417" w:rsidRDefault="002A2D85"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00035FAD" w:rsidRPr="00587417">
        <w:rPr>
          <w:rFonts w:cs="Arial"/>
        </w:rPr>
        <w:t>, Z</w:t>
      </w:r>
      <w:r w:rsidR="00DB3BA7" w:rsidRPr="00587417">
        <w:rPr>
          <w:rFonts w:cs="Arial"/>
        </w:rPr>
        <w:t>emědělský diplomat</w:t>
      </w:r>
      <w:r w:rsidR="00035FAD" w:rsidRPr="00587417">
        <w:rPr>
          <w:rFonts w:cs="Arial"/>
        </w:rPr>
        <w:t>,</w:t>
      </w:r>
      <w:r w:rsidR="00DB3BA7" w:rsidRPr="00587417">
        <w:rPr>
          <w:rFonts w:cs="Arial"/>
        </w:rPr>
        <w:t xml:space="preserve"> velvyslanectví ČR v Bělehradě </w:t>
      </w:r>
    </w:p>
    <w:p w14:paraId="0D59CA9A" w14:textId="4C3EC190" w:rsidR="00337BB6" w:rsidRDefault="00DB3BA7" w:rsidP="00C6655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D5E3F" w:rsidRPr="00587417">
        <w:rPr>
          <w:rFonts w:cs="Arial"/>
        </w:rPr>
        <w:t>.</w:t>
      </w:r>
      <w:r w:rsidRPr="00587417">
        <w:rPr>
          <w:rFonts w:cs="Arial"/>
        </w:rPr>
        <w:t>:</w:t>
      </w:r>
      <w:r w:rsidR="005B7043">
        <w:rPr>
          <w:rFonts w:cs="Arial"/>
        </w:rPr>
        <w:t xml:space="preserve"> </w:t>
      </w:r>
      <w:r w:rsidRPr="00587417">
        <w:rPr>
          <w:rFonts w:cs="Arial"/>
        </w:rPr>
        <w:t xml:space="preserve">+381 63 388931, </w:t>
      </w:r>
      <w:r w:rsidR="00D4434C">
        <w:rPr>
          <w:rFonts w:cs="Arial"/>
        </w:rPr>
        <w:t xml:space="preserve">e-mail: </w:t>
      </w:r>
      <w:hyperlink r:id="rId8" w:history="1">
        <w:r w:rsidR="00656C69" w:rsidRPr="00F00B6D">
          <w:rPr>
            <w:rStyle w:val="Hypertextovodkaz"/>
            <w:rFonts w:cs="Arial"/>
          </w:rPr>
          <w:t>vladimir_vana@mzv.cz</w:t>
        </w:r>
      </w:hyperlink>
      <w:r w:rsidR="00B554B9" w:rsidRPr="00587417">
        <w:rPr>
          <w:rFonts w:cs="Arial"/>
        </w:rPr>
        <w:t xml:space="preserve"> </w:t>
      </w:r>
    </w:p>
    <w:p w14:paraId="2734A48E" w14:textId="6440F025" w:rsidR="00337BB6" w:rsidRPr="00337BB6" w:rsidRDefault="00337BB6" w:rsidP="00337BB6">
      <w:pPr>
        <w:pStyle w:val="Nadpis3"/>
        <w:spacing w:line="276" w:lineRule="auto"/>
      </w:pPr>
      <w:r w:rsidRPr="00337BB6">
        <w:t>SRBSKO – na dotace je vyčleněno 87</w:t>
      </w:r>
      <w:r w:rsidR="008F2CC4">
        <w:t xml:space="preserve"> </w:t>
      </w:r>
      <w:r w:rsidRPr="00337BB6">
        <w:t>% rozpočtu Ministerstva zemědělství Srbska na rok 2023</w:t>
      </w:r>
    </w:p>
    <w:p w14:paraId="046DFAD7" w14:textId="0F6BACDC" w:rsidR="00337BB6" w:rsidRPr="00337BB6" w:rsidRDefault="00337BB6" w:rsidP="00B018AA">
      <w:pPr>
        <w:spacing w:before="240" w:line="276" w:lineRule="auto"/>
        <w:jc w:val="both"/>
      </w:pPr>
      <w:r w:rsidRPr="00337BB6">
        <w:t>Podle portálu „e-</w:t>
      </w:r>
      <w:proofErr w:type="spellStart"/>
      <w:r w:rsidRPr="00337BB6">
        <w:t>Kapija</w:t>
      </w:r>
      <w:proofErr w:type="spellEnd"/>
      <w:r w:rsidRPr="00337BB6">
        <w:t xml:space="preserve">“ je ve schváleném rozpočtu Ministerstva zemědělství, lesnictví </w:t>
      </w:r>
      <w:r w:rsidR="00B018AA">
        <w:br/>
      </w:r>
      <w:r w:rsidRPr="00337BB6">
        <w:t xml:space="preserve">a vodního hospodářství Srbska pro příští rok 87 % prostředků určeno na dotace farmářům formou přímých plateb a na národní podporou projektů IPARD a projektů z úvěrů Světové banky. Celkový rozpočet na rok 2023 činí 79,7 mld. dinárů (asi 700 mil. </w:t>
      </w:r>
      <w:r w:rsidR="00B018AA">
        <w:t>€</w:t>
      </w:r>
      <w:r w:rsidRPr="00337BB6">
        <w:t xml:space="preserve">) a celková hodnota všech plánovaných dotací je 68,7 mld. dinárů (600 mil. </w:t>
      </w:r>
      <w:r w:rsidR="00B018AA">
        <w:t>€</w:t>
      </w:r>
      <w:r w:rsidRPr="00337BB6">
        <w:t>). Zemědělské dotace tak tvoří 35 % ze všech plánovaných dotací, které bude stát v rámci svého rozpočtu na rok 2023 poskytovat.</w:t>
      </w:r>
    </w:p>
    <w:p w14:paraId="0A3CBD36" w14:textId="490D82FE" w:rsidR="00337BB6" w:rsidRDefault="00337BB6" w:rsidP="00337BB6">
      <w:pPr>
        <w:spacing w:line="276" w:lineRule="auto"/>
        <w:jc w:val="both"/>
      </w:pPr>
      <w:r w:rsidRPr="00337BB6">
        <w:t xml:space="preserve">Na přímé platby je vyčleněno 400 mil. </w:t>
      </w:r>
      <w:r w:rsidR="006E0882">
        <w:t>€</w:t>
      </w:r>
      <w:r w:rsidR="006E0882">
        <w:t xml:space="preserve"> </w:t>
      </w:r>
      <w:r w:rsidRPr="00337BB6">
        <w:t xml:space="preserve">a jsou určeny především na dotace do výroby mléka a do rostlinné a živočišné výroby. 70 mil. </w:t>
      </w:r>
      <w:r w:rsidR="006E0882">
        <w:t>€</w:t>
      </w:r>
      <w:r w:rsidR="006E0882">
        <w:t xml:space="preserve"> </w:t>
      </w:r>
      <w:r w:rsidRPr="00337BB6">
        <w:t xml:space="preserve">půjde na rozvoj venkova, 50 mil. </w:t>
      </w:r>
      <w:r w:rsidR="006E0882">
        <w:t>€</w:t>
      </w:r>
      <w:r w:rsidR="006E0882">
        <w:t xml:space="preserve"> </w:t>
      </w:r>
      <w:r w:rsidRPr="00337BB6">
        <w:t xml:space="preserve">na podporu projektů IPARD a 20 mil. </w:t>
      </w:r>
      <w:r w:rsidR="006E0882">
        <w:t>€</w:t>
      </w:r>
      <w:r w:rsidR="006E0882">
        <w:t xml:space="preserve"> </w:t>
      </w:r>
      <w:r w:rsidRPr="00337BB6">
        <w:t xml:space="preserve">na podporu projektů financovaných prostřednictvím půjčky Světové banky. Kromě dotací je v rozpočtu ministerstva počítáno také s investicemi do regulace vodních toků (20 mil. </w:t>
      </w:r>
      <w:r w:rsidR="006E0882">
        <w:t>€</w:t>
      </w:r>
      <w:r w:rsidRPr="00337BB6">
        <w:t xml:space="preserve">) a na realizaci projektů zavlažování a čištění odpadních vod. </w:t>
      </w:r>
    </w:p>
    <w:p w14:paraId="2373A6CC" w14:textId="77777777" w:rsidR="006E0882" w:rsidRDefault="00337BB6" w:rsidP="00337BB6">
      <w:pPr>
        <w:spacing w:line="276" w:lineRule="auto"/>
        <w:jc w:val="both"/>
      </w:pPr>
      <w:r w:rsidRPr="00337BB6">
        <w:t xml:space="preserve">V rámci podpory živočišné výroby lze žádat i o dotace na nákup plemenného skotu, což může významně napomoci zájmu srbských farmářů o nákup kvalitních jalovic i býků od českých farmářů. </w:t>
      </w:r>
    </w:p>
    <w:p w14:paraId="77E4CE1E" w14:textId="77777777" w:rsidR="006E0882" w:rsidRDefault="006E0882" w:rsidP="00337BB6">
      <w:pPr>
        <w:spacing w:line="276" w:lineRule="auto"/>
        <w:jc w:val="both"/>
      </w:pPr>
    </w:p>
    <w:p w14:paraId="1077345B" w14:textId="1FC44D63" w:rsidR="00524BA5" w:rsidRDefault="00337BB6" w:rsidP="00337BB6">
      <w:pPr>
        <w:spacing w:line="276" w:lineRule="auto"/>
        <w:jc w:val="both"/>
      </w:pPr>
      <w:r w:rsidRPr="00337BB6">
        <w:t xml:space="preserve">Ministerstvo zemědělství České republiky prostřednictvím svého zemědělského diplomata v Srbsku v posledních letech cíleně pracuje na zvýšení povědomí o kvalitách českého skotu. Tyto aktivity se začínají projevovat zvýšeným zájmem farmářů ze Srbska, Bosny </w:t>
      </w:r>
      <w:r w:rsidR="006E0882">
        <w:br/>
      </w:r>
      <w:r w:rsidRPr="00337BB6">
        <w:t xml:space="preserve">a Hercegoviny a také Černé Hory o české jalovice, býky a genetický materiál jak mléčného, tak i masného skotu. </w:t>
      </w:r>
    </w:p>
    <w:p w14:paraId="3CBFAD6F" w14:textId="77777777" w:rsidR="00337BB6" w:rsidRPr="005A312B" w:rsidRDefault="00337BB6" w:rsidP="00337BB6">
      <w:pPr>
        <w:spacing w:line="276" w:lineRule="auto"/>
        <w:jc w:val="both"/>
      </w:pPr>
    </w:p>
    <w:p w14:paraId="2D9D85D1"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w:t>
      </w:r>
      <w:r w:rsidR="00587417">
        <w:rPr>
          <w:rFonts w:ascii="Arial" w:hAnsi="Arial" w:cs="Arial"/>
        </w:rPr>
        <w:t>pojené arabské emiráty</w:t>
      </w:r>
    </w:p>
    <w:p w14:paraId="6D3479CC"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Lukáš </w:t>
      </w:r>
      <w:r w:rsidR="00715795" w:rsidRPr="00587417">
        <w:rPr>
          <w:rFonts w:cs="Arial"/>
        </w:rPr>
        <w:t xml:space="preserve">Zamrzla, </w:t>
      </w:r>
      <w:r w:rsidRPr="00587417">
        <w:rPr>
          <w:rFonts w:cs="Arial"/>
        </w:rPr>
        <w:t>Zemědělský diplomat velvyslanectví ČR</w:t>
      </w:r>
      <w:r w:rsidR="005D5E3F" w:rsidRPr="00587417">
        <w:rPr>
          <w:rFonts w:cs="Arial"/>
        </w:rPr>
        <w:t xml:space="preserve"> v Abú Dhabí</w:t>
      </w:r>
      <w:r w:rsidR="00E853BA" w:rsidRPr="00587417">
        <w:rPr>
          <w:rFonts w:cs="Arial"/>
        </w:rPr>
        <w:t>,</w:t>
      </w:r>
      <w:r w:rsidR="005D5E3F" w:rsidRPr="00587417">
        <w:rPr>
          <w:rFonts w:cs="Arial"/>
        </w:rPr>
        <w:t xml:space="preserve"> </w:t>
      </w:r>
    </w:p>
    <w:p w14:paraId="0F237A12" w14:textId="5A84A79D" w:rsidR="00A53226" w:rsidRPr="00D4434C" w:rsidRDefault="005D5E3F"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A13F9">
        <w:rPr>
          <w:rFonts w:cs="Arial"/>
        </w:rPr>
        <w:t xml:space="preserve"> </w:t>
      </w:r>
      <w:r w:rsidR="00715795" w:rsidRPr="00587417">
        <w:rPr>
          <w:rFonts w:cs="Arial"/>
        </w:rPr>
        <w:t>+ 420 602 768</w:t>
      </w:r>
      <w:r w:rsidRPr="00587417">
        <w:rPr>
          <w:rFonts w:cs="Arial"/>
        </w:rPr>
        <w:t> </w:t>
      </w:r>
      <w:r w:rsidR="00715795" w:rsidRPr="00587417">
        <w:rPr>
          <w:rFonts w:cs="Arial"/>
        </w:rPr>
        <w:t>207</w:t>
      </w:r>
      <w:r w:rsidRPr="00587417">
        <w:rPr>
          <w:rFonts w:cs="Arial"/>
        </w:rPr>
        <w:t xml:space="preserve">, </w:t>
      </w:r>
      <w:r w:rsidR="00D4434C">
        <w:rPr>
          <w:rFonts w:cs="Arial"/>
        </w:rPr>
        <w:t xml:space="preserve">e-mail: </w:t>
      </w:r>
      <w:hyperlink r:id="rId9" w:history="1">
        <w:r w:rsidRPr="00D4434C">
          <w:rPr>
            <w:rStyle w:val="Hypertextovodkaz"/>
          </w:rPr>
          <w:t>lukas_zamrzla@mzv.cz</w:t>
        </w:r>
      </w:hyperlink>
      <w:r w:rsidR="00D4434C">
        <w:rPr>
          <w:rStyle w:val="Hypertextovodkaz"/>
          <w:rFonts w:cs="Arial"/>
          <w:color w:val="auto"/>
        </w:rPr>
        <w:t xml:space="preserve"> </w:t>
      </w:r>
    </w:p>
    <w:p w14:paraId="7142FC4E" w14:textId="77777777" w:rsidR="00337BB6" w:rsidRPr="00337BB6" w:rsidRDefault="00337BB6" w:rsidP="00337BB6">
      <w:pPr>
        <w:pStyle w:val="Nadpis3"/>
        <w:spacing w:line="276" w:lineRule="auto"/>
      </w:pPr>
      <w:r w:rsidRPr="00337BB6">
        <w:t>Tři prosincové veletrhy skvěle uzavřely letošní arabskou sezónu</w:t>
      </w:r>
    </w:p>
    <w:p w14:paraId="29BE8D56" w14:textId="77777777" w:rsidR="00337BB6" w:rsidRPr="00337BB6" w:rsidRDefault="00337BB6" w:rsidP="006E0882">
      <w:pPr>
        <w:spacing w:before="240" w:line="276" w:lineRule="auto"/>
        <w:jc w:val="both"/>
      </w:pPr>
      <w:r w:rsidRPr="00337BB6">
        <w:t xml:space="preserve">Příchod mrazivých měsíců do Evropy znamená v regionu Blízkého východu vrchol veletržní sezóny. Tento rok také dokázal, že </w:t>
      </w:r>
      <w:proofErr w:type="spellStart"/>
      <w:r w:rsidRPr="00337BB6">
        <w:t>covidové</w:t>
      </w:r>
      <w:proofErr w:type="spellEnd"/>
      <w:r w:rsidRPr="00337BB6">
        <w:t xml:space="preserve"> období a omezení jsou minulostí a veletrhy se mohou pořádat v plné síle. Zajímavé je, že snad nejsilnější veletržní rok byl určitě ten minulý, 2021. To bylo především díky zvládnutým pandemickým opatřením v Dubaji a zrušení většiny veletrhů napříč Evropou. Návštěvnost byla neuvěřitelná nejenom pro pořadatele, ale i pro samotné vystavovatele. Letošní rok si dovolím s porovnáním říct, že byl oproti tomu loňskému slabší, ale pořád skvělý. Možná je i pro pocit příjemnější, když výstaviště nepraská ve švech. Stejný pocit měli kolegové i na veletrzích napříč jinými sektory. </w:t>
      </w:r>
    </w:p>
    <w:p w14:paraId="0E40E873" w14:textId="1BB20D68" w:rsidR="00337BB6" w:rsidRDefault="00337BB6" w:rsidP="00337BB6">
      <w:pPr>
        <w:spacing w:line="276" w:lineRule="auto"/>
        <w:jc w:val="both"/>
      </w:pPr>
      <w:r w:rsidRPr="00337BB6">
        <w:t>Konec roku byl jako vždy opravdu nabitý. Kromě mnoha konferencí se v regionu Blízkého východu konaly čtyři velmi zajímavé zemědělské veletrhy. I když se některé časově prolínaly, stihnul jsem alespoň tři navštívit.</w:t>
      </w:r>
    </w:p>
    <w:p w14:paraId="18B910F2" w14:textId="77777777" w:rsidR="006E0882" w:rsidRPr="00337BB6" w:rsidRDefault="006E0882" w:rsidP="00337BB6">
      <w:pPr>
        <w:spacing w:line="276" w:lineRule="auto"/>
        <w:jc w:val="both"/>
      </w:pPr>
    </w:p>
    <w:p w14:paraId="6B222CD6" w14:textId="0ECBD64E" w:rsidR="00337BB6" w:rsidRDefault="00337BB6" w:rsidP="00337BB6">
      <w:pPr>
        <w:spacing w:line="276" w:lineRule="auto"/>
        <w:jc w:val="both"/>
      </w:pPr>
      <w:r w:rsidRPr="00337BB6">
        <w:t xml:space="preserve">Nejdříve jsem začátkem prosince prozkoumal veletrh AGEX v saúdskoarabském městě </w:t>
      </w:r>
      <w:proofErr w:type="spellStart"/>
      <w:r w:rsidRPr="00337BB6">
        <w:t>Džida</w:t>
      </w:r>
      <w:proofErr w:type="spellEnd"/>
      <w:r w:rsidRPr="00337BB6">
        <w:t xml:space="preserve">. Toto obchodní přímořské město bylo obrovským překvapením. Mezinárodní pocit, autentické arabské město se starým centrem, mnohem uvolněnější prostředí, včetně mnoha žen bez zahalení, velmi kvalitní obchody a zásobení. V porovnání s hlavním městem, Rijádem, jsem byl opravdu velmi pozitivně překvapen. Co se ale týká veletrhu samotného, i přes velkou propagaci v regionu potřebuje ještě nějaký čas na rozjezd. Pořád bude lepší saúdské protějšky potkat například na </w:t>
      </w:r>
      <w:proofErr w:type="spellStart"/>
      <w:r w:rsidRPr="00337BB6">
        <w:t>Gulfoodu</w:t>
      </w:r>
      <w:proofErr w:type="spellEnd"/>
      <w:r w:rsidRPr="00337BB6">
        <w:t xml:space="preserve"> v Emirátech. Potenciál tu ale je, pocit návštěvníka rovněž dobrý, s rostoucí ekonomikou a plánovanými projekty </w:t>
      </w:r>
      <w:proofErr w:type="spellStart"/>
      <w:r w:rsidRPr="00337BB6">
        <w:t>Neom</w:t>
      </w:r>
      <w:proofErr w:type="spellEnd"/>
      <w:r w:rsidRPr="00337BB6">
        <w:t xml:space="preserve"> a </w:t>
      </w:r>
      <w:proofErr w:type="spellStart"/>
      <w:r w:rsidRPr="00337BB6">
        <w:t>Red</w:t>
      </w:r>
      <w:proofErr w:type="spellEnd"/>
      <w:r w:rsidRPr="00337BB6">
        <w:t xml:space="preserve"> </w:t>
      </w:r>
      <w:proofErr w:type="spellStart"/>
      <w:r w:rsidRPr="00337BB6">
        <w:t>Sea</w:t>
      </w:r>
      <w:proofErr w:type="spellEnd"/>
      <w:r w:rsidRPr="00337BB6">
        <w:t xml:space="preserve"> o saúdském pobřeží u Rudého moře ještě uslyšíme.</w:t>
      </w:r>
    </w:p>
    <w:p w14:paraId="3CE91F44" w14:textId="77777777" w:rsidR="006E0882" w:rsidRPr="00337BB6" w:rsidRDefault="006E0882" w:rsidP="00337BB6">
      <w:pPr>
        <w:spacing w:line="276" w:lineRule="auto"/>
        <w:jc w:val="both"/>
      </w:pPr>
    </w:p>
    <w:p w14:paraId="191EFC44" w14:textId="56613EA1" w:rsidR="00337BB6" w:rsidRDefault="00337BB6" w:rsidP="00337BB6">
      <w:pPr>
        <w:spacing w:line="276" w:lineRule="auto"/>
        <w:jc w:val="both"/>
      </w:pPr>
      <w:r w:rsidRPr="00337BB6">
        <w:t xml:space="preserve">O pár dní později a 2000 km dále, v Ománském hlavním městě Maskat, proběhl poměrně známý veletrh Oman </w:t>
      </w:r>
      <w:proofErr w:type="spellStart"/>
      <w:r w:rsidRPr="00337BB6">
        <w:t>Agrofood</w:t>
      </w:r>
      <w:proofErr w:type="spellEnd"/>
      <w:r w:rsidRPr="00337BB6">
        <w:t xml:space="preserve">. Pro české exportéry možná nejde o novinku, historicky tam české firmy i vystavovaly. Šlo sice o menší veletrh, ale s o to větší návštěvností místních Ománců. Kvalita veletržního centra i stánků mě opravdu překvapila a odnesl jsem si mnoho zajímavých kontaktů. Vzhledem a kvalitou bych ho přirovnal k veletrhu </w:t>
      </w:r>
      <w:proofErr w:type="spellStart"/>
      <w:r w:rsidRPr="00337BB6">
        <w:t>Agriteq</w:t>
      </w:r>
      <w:proofErr w:type="spellEnd"/>
      <w:r w:rsidRPr="00337BB6">
        <w:t xml:space="preserve"> v Kataru. Mezinárodní účast byla nižší, nicméně pokud firma míří přímo na Omán jako na novou destinaci pro český export, je Oman </w:t>
      </w:r>
      <w:proofErr w:type="spellStart"/>
      <w:r w:rsidRPr="00337BB6">
        <w:t>Agrofood</w:t>
      </w:r>
      <w:proofErr w:type="spellEnd"/>
      <w:r w:rsidRPr="00337BB6">
        <w:t xml:space="preserve"> velmi zajímavý veletrh.</w:t>
      </w:r>
    </w:p>
    <w:p w14:paraId="6BAC98E7" w14:textId="77777777" w:rsidR="006E0882" w:rsidRPr="00337BB6" w:rsidRDefault="006E0882" w:rsidP="00337BB6">
      <w:pPr>
        <w:spacing w:line="276" w:lineRule="auto"/>
        <w:jc w:val="both"/>
      </w:pPr>
    </w:p>
    <w:p w14:paraId="3D7591ED" w14:textId="77777777" w:rsidR="00C66558" w:rsidRDefault="00337BB6" w:rsidP="00854F9B">
      <w:pPr>
        <w:spacing w:line="276" w:lineRule="auto"/>
        <w:jc w:val="both"/>
      </w:pPr>
      <w:r w:rsidRPr="00337BB6">
        <w:t xml:space="preserve">Prosinec jsem uzavřel zpět v Dubaji na veletrhu </w:t>
      </w:r>
      <w:proofErr w:type="spellStart"/>
      <w:r w:rsidRPr="00337BB6">
        <w:t>Organic</w:t>
      </w:r>
      <w:proofErr w:type="spellEnd"/>
      <w:r w:rsidRPr="00337BB6">
        <w:t xml:space="preserve"> and Natural Expo. Šlo již o třetí ročník, kterého jsem se mohl zúčastnit. Před dvěma lety ve vrcholícím </w:t>
      </w:r>
      <w:proofErr w:type="spellStart"/>
      <w:r w:rsidRPr="00337BB6">
        <w:t>covidu</w:t>
      </w:r>
      <w:proofErr w:type="spellEnd"/>
      <w:r w:rsidRPr="00337BB6">
        <w:t xml:space="preserve"> jsem ve svém článku napsal, že jde o malou a bohužel trochu nezajímavou akci. Hned další ročník jsem ale musel přiznat, že se veletrh zlepšuje a má potenciál. A jak dopadl letošní ročník? Určitě velmi pozitivní překvapení. Veletrh se skvěle rozpíná, z původní velikosti půl haly, na jednu halu v roce 2021 a letos již zabral haly dvě. Rychle rostoucí veletrh s velmi jasným zaměřením na organické a zdravé produkty, který pokrývá nejen potraviny, ale také kosmetiku a obalové materiály. Pokud bude pokračovat ve stejném trendu, tak si tam už umím příští rok představit i české spokojené vystavovatele.</w:t>
      </w:r>
    </w:p>
    <w:p w14:paraId="3D076D4E" w14:textId="626C143A" w:rsidR="00337BB6" w:rsidRDefault="00337BB6" w:rsidP="00854F9B">
      <w:pPr>
        <w:spacing w:line="276" w:lineRule="auto"/>
        <w:jc w:val="both"/>
      </w:pPr>
    </w:p>
    <w:p w14:paraId="20461498" w14:textId="77777777" w:rsidR="003964FA" w:rsidRPr="00587417" w:rsidRDefault="003964FA"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JAPONSKO</w:t>
      </w:r>
    </w:p>
    <w:p w14:paraId="2D744BAD" w14:textId="77777777" w:rsidR="007D2A9E" w:rsidRDefault="003964FA"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Irena Leopoldová</w:t>
      </w:r>
      <w:r w:rsidRPr="00587417">
        <w:rPr>
          <w:rFonts w:cs="Arial"/>
        </w:rPr>
        <w:t>, Zemědělský diplomat, velvyslanectví ČR v </w:t>
      </w:r>
      <w:r>
        <w:rPr>
          <w:rFonts w:cs="Arial"/>
        </w:rPr>
        <w:t>Tokiu</w:t>
      </w:r>
      <w:r w:rsidRPr="00587417">
        <w:rPr>
          <w:rFonts w:cs="Arial"/>
        </w:rPr>
        <w:t xml:space="preserve">, </w:t>
      </w:r>
    </w:p>
    <w:p w14:paraId="3FC1ACDB" w14:textId="5D8409AE" w:rsidR="003964FA" w:rsidRPr="00892E02" w:rsidRDefault="003964FA" w:rsidP="00EF76D8">
      <w:pPr>
        <w:pBdr>
          <w:top w:val="single" w:sz="4" w:space="1" w:color="auto"/>
          <w:left w:val="single" w:sz="4" w:space="4" w:color="auto"/>
          <w:bottom w:val="single" w:sz="4" w:space="1" w:color="auto"/>
          <w:right w:val="single" w:sz="4" w:space="4" w:color="auto"/>
        </w:pBdr>
        <w:spacing w:line="276" w:lineRule="auto"/>
        <w:jc w:val="both"/>
      </w:pPr>
      <w:r w:rsidRPr="00AC33EB">
        <w:rPr>
          <w:rFonts w:cs="Arial"/>
        </w:rPr>
        <w:t>Mobil CZ a WhatsApp +420 773 743 880</w:t>
      </w:r>
      <w:r w:rsidRPr="00587417">
        <w:rPr>
          <w:rFonts w:cs="Arial"/>
        </w:rPr>
        <w:t>,</w:t>
      </w:r>
      <w:r w:rsidR="00D4434C" w:rsidRPr="00D4434C">
        <w:t xml:space="preserve"> </w:t>
      </w:r>
      <w:r w:rsidR="00D4434C">
        <w:rPr>
          <w:rFonts w:cs="Arial"/>
        </w:rPr>
        <w:t>e-mail:</w:t>
      </w:r>
      <w:r w:rsidRPr="00587417">
        <w:rPr>
          <w:rFonts w:cs="Arial"/>
        </w:rPr>
        <w:t xml:space="preserve"> </w:t>
      </w:r>
      <w:hyperlink r:id="rId10" w:history="1">
        <w:r w:rsidRPr="00D4434C">
          <w:rPr>
            <w:rStyle w:val="Hypertextovodkaz"/>
          </w:rPr>
          <w:t>irena_leopoldova@mzv.cz</w:t>
        </w:r>
      </w:hyperlink>
      <w:r w:rsidR="00D4434C">
        <w:t xml:space="preserve"> </w:t>
      </w:r>
    </w:p>
    <w:p w14:paraId="3A074768" w14:textId="77777777" w:rsidR="00337BB6" w:rsidRPr="00337BB6" w:rsidRDefault="00337BB6" w:rsidP="00337BB6">
      <w:pPr>
        <w:pStyle w:val="Nadpis3"/>
        <w:spacing w:line="276" w:lineRule="auto"/>
      </w:pPr>
      <w:r w:rsidRPr="00337BB6">
        <w:t>Ceny vajec v Japonsku prudce rostou kvůli nákladům na krmivo a výskytu ptačí chřipky</w:t>
      </w:r>
    </w:p>
    <w:p w14:paraId="444B2531" w14:textId="606E75B8" w:rsidR="00337BB6" w:rsidRDefault="00337BB6" w:rsidP="00062E28">
      <w:pPr>
        <w:spacing w:before="240" w:line="276" w:lineRule="auto"/>
        <w:jc w:val="both"/>
      </w:pPr>
      <w:r w:rsidRPr="00337BB6">
        <w:t xml:space="preserve">Velkoobchodní ceny vajec v Japonsku, které jsou dlouhodobě známé svou stabilitou, </w:t>
      </w:r>
      <w:r w:rsidR="00062E28">
        <w:br/>
      </w:r>
      <w:r w:rsidRPr="00337BB6">
        <w:t xml:space="preserve">se zvyšují v důsledku prudkého růstu nákladů na krmivo pro slepice a výskytu ptačí chřipky. Rychlé šíření ptačí chřipky ovlivňuje ceny vajec právě v době, kdy se nízká poptávka po vejcích s koncem pandemie </w:t>
      </w:r>
      <w:proofErr w:type="spellStart"/>
      <w:r w:rsidRPr="00337BB6">
        <w:t>covidu</w:t>
      </w:r>
      <w:proofErr w:type="spellEnd"/>
      <w:r w:rsidRPr="00337BB6">
        <w:t xml:space="preserve"> začala zotavovat. Velkoobchodní ceny vajec jsou tak nyní o 31 % vyšší v porovnání s cenami z loňského prosince a dosáhly devítiletého maxima.</w:t>
      </w:r>
    </w:p>
    <w:p w14:paraId="238E9F6F" w14:textId="77777777" w:rsidR="00062E28" w:rsidRDefault="00337BB6" w:rsidP="00337BB6">
      <w:pPr>
        <w:spacing w:line="276" w:lineRule="auto"/>
        <w:jc w:val="both"/>
      </w:pPr>
      <w:r w:rsidRPr="00337BB6">
        <w:t xml:space="preserve">V letošní sezoně počet vyřazených nosnic kvůli ptačí chřipce přesáhl 3,8 </w:t>
      </w:r>
      <w:r w:rsidR="00062E28">
        <w:t>mil.</w:t>
      </w:r>
      <w:r w:rsidRPr="00337BB6">
        <w:t xml:space="preserve"> k</w:t>
      </w:r>
      <w:r w:rsidR="00062E28">
        <w:t>s</w:t>
      </w:r>
      <w:r w:rsidRPr="00337BB6">
        <w:t xml:space="preserve">, což ovlivnilo dodávky vajec i jejich ceny. Protože tento počet představuje pouze 2,7 % ze 137 </w:t>
      </w:r>
      <w:r w:rsidR="00062E28">
        <w:t>mil.</w:t>
      </w:r>
      <w:r w:rsidRPr="00337BB6">
        <w:t xml:space="preserve"> nosnic v chovech po celé zemi, nabídka vajec se začala rychle obnovovat.  Rostoucí ceny se však pomalu začínají přelévat i do cen dalších výrobků z vajec např. majonézy. </w:t>
      </w:r>
    </w:p>
    <w:p w14:paraId="11DE9C6D" w14:textId="6BA7E87B" w:rsidR="00337BB6" w:rsidRDefault="00337BB6" w:rsidP="00337BB6">
      <w:pPr>
        <w:spacing w:line="276" w:lineRule="auto"/>
        <w:jc w:val="both"/>
      </w:pPr>
      <w:r w:rsidRPr="00337BB6">
        <w:t>I přes předpokládaný pokles cen v důsledku menší poptávky na přelomu roku, existují obavy z vyšších cen kvůli pokračujícímu výskytu ptačí chřipky.</w:t>
      </w:r>
    </w:p>
    <w:p w14:paraId="2423A9FC" w14:textId="77777777" w:rsidR="00337BB6" w:rsidRDefault="00337BB6" w:rsidP="00337BB6">
      <w:pPr>
        <w:spacing w:line="276" w:lineRule="auto"/>
        <w:jc w:val="both"/>
        <w:rPr>
          <w:rFonts w:cs="Arial"/>
        </w:rPr>
      </w:pPr>
    </w:p>
    <w:p w14:paraId="073CFEB8" w14:textId="77777777" w:rsidR="00337BB6" w:rsidRPr="00337BB6" w:rsidRDefault="00337BB6" w:rsidP="00337BB6">
      <w:pPr>
        <w:pStyle w:val="Nadpis3"/>
        <w:spacing w:line="276" w:lineRule="auto"/>
      </w:pPr>
      <w:r w:rsidRPr="00337BB6">
        <w:t>V Japonsku prudce roste počet případů ptačí chřipky</w:t>
      </w:r>
    </w:p>
    <w:p w14:paraId="4A0487F9" w14:textId="77777777" w:rsidR="00337BB6" w:rsidRPr="00337BB6" w:rsidRDefault="00337BB6" w:rsidP="00062E28">
      <w:pPr>
        <w:spacing w:before="240" w:line="276" w:lineRule="auto"/>
        <w:jc w:val="both"/>
      </w:pPr>
      <w:r w:rsidRPr="00337BB6">
        <w:t>Počet případů ptačí chřipky v Japonsku nyní roste rychleji než před dvěma lety, kdy byl kvůli této nemoci vybit rekordní počet drůbeže. Vláda proto vyzvala zemědělce a místní samosprávy k důkladnému dodržování preventivních opatření.</w:t>
      </w:r>
    </w:p>
    <w:p w14:paraId="2AE13EF7" w14:textId="05692119" w:rsidR="00337BB6" w:rsidRPr="00337BB6" w:rsidRDefault="00337BB6" w:rsidP="00337BB6">
      <w:pPr>
        <w:spacing w:line="276" w:lineRule="auto"/>
        <w:jc w:val="both"/>
      </w:pPr>
      <w:r w:rsidRPr="00337BB6">
        <w:t xml:space="preserve">V letošní vlně bylo v 16 prefekturách Japonska potvrzeno 28 případů chřipky, což vedlo k utracení více než 4 </w:t>
      </w:r>
      <w:r w:rsidR="00062E28">
        <w:t xml:space="preserve">mil. </w:t>
      </w:r>
      <w:r w:rsidRPr="00337BB6">
        <w:t>ks drůbeže. V sezoně od listopadu 2020 do března 2021 bylo v 18 prefekturách potvrzeno 52 případů, a utraceno bylo rekordní množství téměř 10 mil</w:t>
      </w:r>
      <w:r w:rsidR="00062E28">
        <w:t>.</w:t>
      </w:r>
      <w:r w:rsidRPr="00337BB6">
        <w:t xml:space="preserve"> kusů.</w:t>
      </w:r>
    </w:p>
    <w:p w14:paraId="1E39459A" w14:textId="77777777" w:rsidR="00337BB6" w:rsidRPr="00337BB6" w:rsidRDefault="00337BB6" w:rsidP="00337BB6">
      <w:pPr>
        <w:spacing w:line="276" w:lineRule="auto"/>
        <w:jc w:val="both"/>
      </w:pPr>
      <w:r w:rsidRPr="00337BB6">
        <w:t>První případ ptačí chřipky v letošní sezoně byl potvrzen v říjnu, kdy byl stejně jako v ČR zjištěn vysoce smrtelný kmen H5N1. Vzhledem k tomu, že se ptačí chřipka šíří po celém světě, předpokládá se, že ji do Japonska zanesli stěhovaví ptáci.</w:t>
      </w:r>
    </w:p>
    <w:p w14:paraId="162FDD72" w14:textId="77777777" w:rsidR="00337BB6" w:rsidRPr="00337BB6" w:rsidRDefault="00337BB6" w:rsidP="00337BB6">
      <w:pPr>
        <w:spacing w:line="276" w:lineRule="auto"/>
        <w:jc w:val="both"/>
      </w:pPr>
      <w:r w:rsidRPr="00337BB6">
        <w:t>Míra soběstačnosti Japonska v produkci vajec se dlouhodobě drží na úrovni 97 %. Největšími dovozci jsou USA, Německo a Čína. Co se týká drůbežího masa, Japonsko je soběstačné z cca 60 %, nejvíc se dováží z Brazílie, Thajska a USA.</w:t>
      </w:r>
    </w:p>
    <w:p w14:paraId="5C48DA1F" w14:textId="77777777" w:rsidR="00062E28" w:rsidRDefault="00062E28" w:rsidP="00337BB6">
      <w:pPr>
        <w:spacing w:line="276" w:lineRule="auto"/>
        <w:jc w:val="both"/>
      </w:pPr>
    </w:p>
    <w:p w14:paraId="454F103E" w14:textId="2D276B37" w:rsidR="00337BB6" w:rsidRPr="00337BB6" w:rsidRDefault="00337BB6" w:rsidP="00337BB6">
      <w:pPr>
        <w:spacing w:line="276" w:lineRule="auto"/>
        <w:jc w:val="both"/>
      </w:pPr>
      <w:r w:rsidRPr="00337BB6">
        <w:t xml:space="preserve">Zdroj: The </w:t>
      </w:r>
      <w:proofErr w:type="spellStart"/>
      <w:r w:rsidRPr="00337BB6">
        <w:t>Mainichi</w:t>
      </w:r>
      <w:proofErr w:type="spellEnd"/>
      <w:r w:rsidRPr="00337BB6">
        <w:t xml:space="preserve"> a </w:t>
      </w:r>
      <w:proofErr w:type="spellStart"/>
      <w:r w:rsidRPr="00337BB6">
        <w:t>JapanTimes</w:t>
      </w:r>
      <w:proofErr w:type="spellEnd"/>
    </w:p>
    <w:p w14:paraId="06DA89C1" w14:textId="77777777" w:rsidR="00337BB6" w:rsidRPr="00337BB6" w:rsidRDefault="00337BB6" w:rsidP="00337BB6">
      <w:pPr>
        <w:spacing w:line="276" w:lineRule="auto"/>
        <w:jc w:val="both"/>
      </w:pPr>
    </w:p>
    <w:p w14:paraId="104693B1" w14:textId="77777777" w:rsidR="00505C2E" w:rsidRPr="00587417" w:rsidRDefault="00505C2E"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KAZACHSTÁN</w:t>
      </w:r>
    </w:p>
    <w:p w14:paraId="683F99CF" w14:textId="6750DAD2" w:rsidR="00337BB6" w:rsidRPr="00C66558" w:rsidRDefault="00505C2E" w:rsidP="00C66558">
      <w:pPr>
        <w:pBdr>
          <w:top w:val="single" w:sz="4" w:space="1" w:color="auto"/>
          <w:left w:val="single" w:sz="4" w:space="4" w:color="auto"/>
          <w:bottom w:val="single" w:sz="4" w:space="1" w:color="auto"/>
          <w:right w:val="single" w:sz="4" w:space="4" w:color="auto"/>
        </w:pBdr>
        <w:spacing w:line="276" w:lineRule="auto"/>
        <w:jc w:val="both"/>
      </w:pPr>
      <w:proofErr w:type="spellStart"/>
      <w:r w:rsidRPr="00505C2E">
        <w:rPr>
          <w:rFonts w:cs="Arial"/>
        </w:rPr>
        <w:t>Artyom</w:t>
      </w:r>
      <w:proofErr w:type="spellEnd"/>
      <w:r w:rsidRPr="00505C2E">
        <w:rPr>
          <w:rFonts w:cs="Arial"/>
        </w:rPr>
        <w:t xml:space="preserve"> </w:t>
      </w:r>
      <w:proofErr w:type="spellStart"/>
      <w:r w:rsidRPr="00505C2E">
        <w:rPr>
          <w:rFonts w:cs="Arial"/>
        </w:rPr>
        <w:t>Lukashov</w:t>
      </w:r>
      <w:proofErr w:type="spellEnd"/>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proofErr w:type="spellStart"/>
      <w:r>
        <w:rPr>
          <w:rFonts w:cs="Arial"/>
        </w:rPr>
        <w:t>Almatě</w:t>
      </w:r>
      <w:proofErr w:type="spellEnd"/>
      <w:r w:rsidRPr="00587417">
        <w:rPr>
          <w:rFonts w:cs="Arial"/>
        </w:rPr>
        <w:t xml:space="preserve">, </w:t>
      </w:r>
      <w:r>
        <w:t xml:space="preserve">tel: </w:t>
      </w:r>
      <w:r w:rsidRPr="00505C2E">
        <w:t>+7 701 5150541</w:t>
      </w:r>
      <w:r>
        <w:t xml:space="preserve">, e-mail: </w:t>
      </w:r>
      <w:hyperlink r:id="rId11" w:history="1">
        <w:r w:rsidR="00D4434C" w:rsidRPr="00D54C30">
          <w:rPr>
            <w:rStyle w:val="Hypertextovodkaz"/>
          </w:rPr>
          <w:t>artom_lukasov@mzv.cz</w:t>
        </w:r>
      </w:hyperlink>
      <w:r w:rsidR="00D4434C">
        <w:t xml:space="preserve"> </w:t>
      </w:r>
    </w:p>
    <w:p w14:paraId="523031E4" w14:textId="62B581C0" w:rsidR="00337BB6" w:rsidRPr="00337BB6" w:rsidRDefault="00337BB6" w:rsidP="00337BB6">
      <w:pPr>
        <w:pStyle w:val="Nadpis3"/>
        <w:spacing w:line="276" w:lineRule="auto"/>
      </w:pPr>
      <w:r w:rsidRPr="00337BB6">
        <w:t xml:space="preserve">Kazachstán investuje do skladovacích prostor zeleniny </w:t>
      </w:r>
    </w:p>
    <w:p w14:paraId="22F2C67B" w14:textId="3C8ED73E" w:rsidR="00337BB6" w:rsidRPr="00337BB6" w:rsidRDefault="00337BB6" w:rsidP="00337BB6">
      <w:pPr>
        <w:spacing w:line="276" w:lineRule="auto"/>
        <w:jc w:val="both"/>
        <w:rPr>
          <w:rStyle w:val="y2iqfc"/>
          <w:rFonts w:eastAsiaTheme="minorEastAsia"/>
        </w:rPr>
      </w:pPr>
      <w:r w:rsidRPr="00337BB6">
        <w:rPr>
          <w:rStyle w:val="y2iqfc"/>
          <w:rFonts w:eastAsiaTheme="minorEastAsia"/>
        </w:rPr>
        <w:t>14. prosince 2022 se uskutečnila rozšířena schůze</w:t>
      </w:r>
      <w:r w:rsidR="00062E28">
        <w:rPr>
          <w:rStyle w:val="y2iqfc"/>
          <w:rFonts w:eastAsiaTheme="minorEastAsia"/>
        </w:rPr>
        <w:t xml:space="preserve"> kazašské</w:t>
      </w:r>
      <w:r w:rsidRPr="00337BB6">
        <w:rPr>
          <w:rStyle w:val="y2iqfc"/>
          <w:rFonts w:eastAsiaTheme="minorEastAsia"/>
        </w:rPr>
        <w:t xml:space="preserve"> vlády, na kterém </w:t>
      </w:r>
      <w:r w:rsidR="00062E28">
        <w:rPr>
          <w:rStyle w:val="y2iqfc"/>
          <w:rFonts w:eastAsiaTheme="minorEastAsia"/>
        </w:rPr>
        <w:t xml:space="preserve">jejich </w:t>
      </w:r>
      <w:r w:rsidRPr="00337BB6">
        <w:rPr>
          <w:rStyle w:val="y2iqfc"/>
          <w:rFonts w:eastAsiaTheme="minorEastAsia"/>
        </w:rPr>
        <w:t xml:space="preserve">ministerstvo vypracovalo operativní opatření. Tato opatření mají vést ke zlepšení situace v oblasti potravinářství. Jinými slovy, v zájmu zajištění potravinového zabezpečení se má do konce letošního roku zvýšit počet investičních projektů v zemědělsko-průmyslovém komplexu, a to na 237. Dosud bylo realizováno 227 nových projektů v hodnotě 0,43 mld. €. Do roku 2025 se plánuje realizovat 800 investičních projektů v hodnotě 5,2 mld. €. </w:t>
      </w:r>
    </w:p>
    <w:p w14:paraId="59989D78" w14:textId="77777777" w:rsidR="00062E28" w:rsidRDefault="00062E28" w:rsidP="00337BB6">
      <w:pPr>
        <w:spacing w:line="276" w:lineRule="auto"/>
        <w:jc w:val="both"/>
        <w:rPr>
          <w:rStyle w:val="y2iqfc"/>
          <w:rFonts w:eastAsiaTheme="minorEastAsia"/>
        </w:rPr>
      </w:pPr>
    </w:p>
    <w:p w14:paraId="7FC8D20E" w14:textId="3199AF43" w:rsidR="00337BB6" w:rsidRPr="00062E28" w:rsidRDefault="00337BB6" w:rsidP="00337BB6">
      <w:pPr>
        <w:spacing w:line="276" w:lineRule="auto"/>
        <w:jc w:val="both"/>
        <w:rPr>
          <w:rFonts w:eastAsiaTheme="minorEastAsia"/>
        </w:rPr>
      </w:pPr>
      <w:r w:rsidRPr="00337BB6">
        <w:rPr>
          <w:rStyle w:val="y2iqfc"/>
          <w:rFonts w:eastAsiaTheme="minorEastAsia"/>
        </w:rPr>
        <w:t>Mimo jiné se kazašská vláda</w:t>
      </w:r>
      <w:r w:rsidR="00062E28">
        <w:rPr>
          <w:rStyle w:val="y2iqfc"/>
          <w:rFonts w:eastAsiaTheme="minorEastAsia"/>
        </w:rPr>
        <w:t xml:space="preserve"> </w:t>
      </w:r>
      <w:r w:rsidR="00062E28" w:rsidRPr="00337BB6">
        <w:rPr>
          <w:rStyle w:val="y2iqfc"/>
          <w:rFonts w:eastAsiaTheme="minorEastAsia"/>
        </w:rPr>
        <w:t>chystá</w:t>
      </w:r>
      <w:r w:rsidRPr="00337BB6">
        <w:rPr>
          <w:rStyle w:val="y2iqfc"/>
          <w:rFonts w:eastAsiaTheme="minorEastAsia"/>
        </w:rPr>
        <w:t xml:space="preserve"> podpořit rozvoj „skladovací infrastruktury“, respektive budou modernizovány staré skladovací prostory a postaveny nové. V letech 2021-2022 </w:t>
      </w:r>
      <w:r w:rsidR="00062E28">
        <w:rPr>
          <w:rStyle w:val="y2iqfc"/>
          <w:rFonts w:eastAsiaTheme="minorEastAsia"/>
        </w:rPr>
        <w:br/>
      </w:r>
      <w:r w:rsidRPr="00337BB6">
        <w:rPr>
          <w:rStyle w:val="y2iqfc"/>
          <w:rFonts w:eastAsiaTheme="minorEastAsia"/>
        </w:rPr>
        <w:t xml:space="preserve">se překročil plán výstavby skladů na 111 %. Plán vlády byl vytvořit prostory pro 181,5 tis. tun zeleniny, nakonec však byly vybudovány prostory pro 201,1 tis. tun. Do konce roku 2025 budou uvedeny do provozu další sklady zeleniny s kapacitou 135 tis. tun. </w:t>
      </w:r>
    </w:p>
    <w:p w14:paraId="562F71AC" w14:textId="77777777" w:rsidR="00337BB6" w:rsidRPr="00337BB6" w:rsidRDefault="00337BB6" w:rsidP="00337BB6">
      <w:pPr>
        <w:pStyle w:val="Nadpis3"/>
        <w:spacing w:line="276" w:lineRule="auto"/>
      </w:pPr>
      <w:r w:rsidRPr="00337BB6">
        <w:t>Růst zemědělské produkce v Euroasijské ekonomické unii</w:t>
      </w:r>
    </w:p>
    <w:p w14:paraId="7528C6CC" w14:textId="720ED3C8" w:rsidR="00337BB6" w:rsidRPr="00337BB6" w:rsidRDefault="00337BB6" w:rsidP="00337BB6">
      <w:pPr>
        <w:spacing w:line="276" w:lineRule="auto"/>
        <w:jc w:val="both"/>
        <w:rPr>
          <w:rStyle w:val="y2iqfc"/>
          <w:rFonts w:eastAsiaTheme="minorEastAsia"/>
        </w:rPr>
      </w:pPr>
      <w:r w:rsidRPr="00337BB6">
        <w:rPr>
          <w:rStyle w:val="y2iqfc"/>
          <w:rFonts w:eastAsiaTheme="minorEastAsia"/>
        </w:rPr>
        <w:t xml:space="preserve">Od ledna do října 2022 vzrostla zemědělská produkce v Euroasijské </w:t>
      </w:r>
      <w:r w:rsidR="00062E28">
        <w:rPr>
          <w:rStyle w:val="y2iqfc"/>
          <w:rFonts w:eastAsiaTheme="minorEastAsia"/>
        </w:rPr>
        <w:t>ekonomické</w:t>
      </w:r>
      <w:r w:rsidRPr="00337BB6">
        <w:rPr>
          <w:rStyle w:val="y2iqfc"/>
          <w:rFonts w:eastAsiaTheme="minorEastAsia"/>
        </w:rPr>
        <w:t xml:space="preserve"> unii (EAEU)</w:t>
      </w:r>
      <w:r w:rsidR="00891C42">
        <w:rPr>
          <w:rStyle w:val="y2iqfc"/>
          <w:rFonts w:eastAsiaTheme="minorEastAsia"/>
        </w:rPr>
        <w:t xml:space="preserve"> </w:t>
      </w:r>
      <w:r w:rsidRPr="00337BB6">
        <w:rPr>
          <w:rStyle w:val="y2iqfc"/>
          <w:rFonts w:eastAsiaTheme="minorEastAsia"/>
        </w:rPr>
        <w:t xml:space="preserve">o 5,3 % ve srovnání se stejným obdobím r. 2021. Růst zemědělské produkce v Kazachstánu za uvedené období činil 8,2 %, v Kyrgyzstánu – 6,7 %, v Rusku – 5 %, v Bělorusku – 3,5 %. </w:t>
      </w:r>
    </w:p>
    <w:p w14:paraId="78DEFC9A" w14:textId="57FA3B41" w:rsidR="006F78ED" w:rsidRPr="00891C42" w:rsidRDefault="00337BB6" w:rsidP="00EF76D8">
      <w:pPr>
        <w:spacing w:line="276" w:lineRule="auto"/>
        <w:jc w:val="both"/>
        <w:rPr>
          <w:rStyle w:val="y2iqfc"/>
          <w:rFonts w:eastAsiaTheme="minorEastAsia"/>
        </w:rPr>
      </w:pPr>
      <w:r w:rsidRPr="00337BB6">
        <w:rPr>
          <w:rStyle w:val="y2iqfc"/>
          <w:rFonts w:eastAsiaTheme="minorEastAsia"/>
        </w:rPr>
        <w:t xml:space="preserve">Za 10 měsíců r. 2022 se v EAEU zvýšila produkce hlavních produktů živočišné výroby </w:t>
      </w:r>
      <w:r w:rsidR="00891C42">
        <w:rPr>
          <w:rStyle w:val="y2iqfc"/>
          <w:rFonts w:eastAsiaTheme="minorEastAsia"/>
        </w:rPr>
        <w:br/>
      </w:r>
      <w:r w:rsidRPr="00337BB6">
        <w:rPr>
          <w:rStyle w:val="y2iqfc"/>
          <w:rFonts w:eastAsiaTheme="minorEastAsia"/>
        </w:rPr>
        <w:t>ve srovnání se stejným obdobím r</w:t>
      </w:r>
      <w:r w:rsidR="00891C42">
        <w:rPr>
          <w:rStyle w:val="y2iqfc"/>
          <w:rFonts w:eastAsiaTheme="minorEastAsia"/>
        </w:rPr>
        <w:t xml:space="preserve">. </w:t>
      </w:r>
      <w:r w:rsidRPr="00337BB6">
        <w:rPr>
          <w:rStyle w:val="y2iqfc"/>
          <w:rFonts w:eastAsiaTheme="minorEastAsia"/>
        </w:rPr>
        <w:t xml:space="preserve">2021. U jatečných zvířat a drůbeže (v živé hmotnosti) došlo </w:t>
      </w:r>
      <w:r w:rsidR="00891C42">
        <w:rPr>
          <w:rStyle w:val="y2iqfc"/>
          <w:rFonts w:eastAsiaTheme="minorEastAsia"/>
        </w:rPr>
        <w:t xml:space="preserve">k nárůstu </w:t>
      </w:r>
      <w:r w:rsidRPr="00337BB6">
        <w:rPr>
          <w:rStyle w:val="y2iqfc"/>
          <w:rFonts w:eastAsiaTheme="minorEastAsia"/>
        </w:rPr>
        <w:t>o 2,7 %, u mléka</w:t>
      </w:r>
      <w:r w:rsidR="00891C42">
        <w:rPr>
          <w:rStyle w:val="y2iqfc"/>
          <w:rFonts w:eastAsiaTheme="minorEastAsia"/>
        </w:rPr>
        <w:t xml:space="preserve"> </w:t>
      </w:r>
      <w:r w:rsidRPr="00337BB6">
        <w:rPr>
          <w:rStyle w:val="y2iqfc"/>
          <w:rFonts w:eastAsiaTheme="minorEastAsia"/>
        </w:rPr>
        <w:t xml:space="preserve">o 1,2 % a u vejcí o 2,4 %. </w:t>
      </w:r>
    </w:p>
    <w:p w14:paraId="5A5A452D" w14:textId="541CAD02" w:rsidR="006F78ED" w:rsidRDefault="006F78ED" w:rsidP="00EF76D8">
      <w:pPr>
        <w:spacing w:line="276" w:lineRule="auto"/>
        <w:jc w:val="both"/>
      </w:pPr>
    </w:p>
    <w:p w14:paraId="06CA9258"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57541E82" w14:textId="77777777" w:rsidR="007D2A9E"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r>
        <w:rPr>
          <w:rFonts w:cs="Arial"/>
        </w:rPr>
        <w:t>Hanoji</w:t>
      </w:r>
      <w:r w:rsidRPr="00587417">
        <w:rPr>
          <w:rFonts w:cs="Arial"/>
        </w:rPr>
        <w:t xml:space="preserve">, </w:t>
      </w:r>
    </w:p>
    <w:p w14:paraId="1B674797" w14:textId="0EB39304" w:rsidR="00D4434C" w:rsidRPr="001D3F62" w:rsidRDefault="005A13F9" w:rsidP="00EF76D8">
      <w:pPr>
        <w:pBdr>
          <w:top w:val="single" w:sz="4" w:space="1" w:color="auto"/>
          <w:left w:val="single" w:sz="4" w:space="4" w:color="auto"/>
          <w:bottom w:val="single" w:sz="4" w:space="1" w:color="auto"/>
          <w:right w:val="single" w:sz="4" w:space="4" w:color="auto"/>
        </w:pBdr>
        <w:spacing w:line="276" w:lineRule="auto"/>
        <w:jc w:val="both"/>
      </w:pPr>
      <w:r>
        <w:t>tel.</w:t>
      </w:r>
      <w:r w:rsidR="00D4434C">
        <w:t xml:space="preserve">: </w:t>
      </w:r>
      <w:r w:rsidR="00D4434C" w:rsidRPr="00D4434C">
        <w:t>+84 904 099 562</w:t>
      </w:r>
      <w:r w:rsidR="00D4434C">
        <w:t xml:space="preserve">, e-mail: </w:t>
      </w:r>
      <w:hyperlink r:id="rId12" w:history="1">
        <w:r w:rsidR="00D4434C" w:rsidRPr="00D54C30">
          <w:rPr>
            <w:rStyle w:val="Hypertextovodkaz"/>
          </w:rPr>
          <w:t>lubos.marek@mze.cz</w:t>
        </w:r>
      </w:hyperlink>
      <w:r w:rsidR="00D4434C">
        <w:t xml:space="preserve"> / </w:t>
      </w:r>
      <w:hyperlink r:id="rId13" w:history="1">
        <w:r w:rsidR="00D4434C" w:rsidRPr="00D54C30">
          <w:rPr>
            <w:rStyle w:val="Hypertextovodkaz"/>
          </w:rPr>
          <w:t>commerce_hanoi@mzv.cz</w:t>
        </w:r>
      </w:hyperlink>
      <w:r w:rsidR="00D4434C">
        <w:t xml:space="preserve"> </w:t>
      </w:r>
    </w:p>
    <w:p w14:paraId="7559C520" w14:textId="77777777" w:rsidR="00337BB6" w:rsidRPr="00337BB6" w:rsidRDefault="00337BB6" w:rsidP="00337BB6">
      <w:pPr>
        <w:pStyle w:val="Nadpis3"/>
        <w:spacing w:line="276" w:lineRule="auto"/>
      </w:pPr>
      <w:r w:rsidRPr="00337BB6">
        <w:t>Vietnam očekává zdvojnásobení zahraničních investic do zemědělství</w:t>
      </w:r>
    </w:p>
    <w:p w14:paraId="11614DE5" w14:textId="127D93ED" w:rsidR="00891C42" w:rsidRDefault="00337BB6" w:rsidP="00337BB6">
      <w:pPr>
        <w:pStyle w:val="FormtovanvHTML"/>
        <w:spacing w:line="276" w:lineRule="auto"/>
        <w:jc w:val="both"/>
        <w:rPr>
          <w:rStyle w:val="y2iqfc"/>
          <w:rFonts w:ascii="Arial" w:eastAsiaTheme="minorEastAsia" w:hAnsi="Arial" w:cs="Arial"/>
          <w:sz w:val="22"/>
          <w:szCs w:val="22"/>
          <w:lang w:val="cs-CZ"/>
        </w:rPr>
      </w:pPr>
      <w:r>
        <w:rPr>
          <w:rStyle w:val="y2iqfc"/>
          <w:rFonts w:ascii="Arial" w:eastAsiaTheme="minorEastAsia" w:hAnsi="Arial" w:cs="Arial"/>
          <w:sz w:val="22"/>
          <w:szCs w:val="22"/>
          <w:lang w:val="cs-CZ"/>
        </w:rPr>
        <w:t>Vietnam si stanovil za cíl zdvojnásobit objem zahraničních investic do zemědělství do konce roku 2030 na 34 mld</w:t>
      </w:r>
      <w:r w:rsidR="00891C42">
        <w:rPr>
          <w:rStyle w:val="y2iqfc"/>
          <w:rFonts w:ascii="Arial" w:eastAsiaTheme="minorEastAsia" w:hAnsi="Arial" w:cs="Arial"/>
          <w:sz w:val="22"/>
          <w:szCs w:val="22"/>
          <w:lang w:val="cs-CZ"/>
        </w:rPr>
        <w:t>. $</w:t>
      </w:r>
      <w:r>
        <w:rPr>
          <w:rStyle w:val="y2iqfc"/>
          <w:rFonts w:ascii="Arial" w:eastAsiaTheme="minorEastAsia" w:hAnsi="Arial" w:cs="Arial"/>
          <w:sz w:val="22"/>
          <w:szCs w:val="22"/>
          <w:lang w:val="cs-CZ"/>
        </w:rPr>
        <w:t>. Podle politiků i expertů však existuje řada nedostatků a omezení, které musí země naléhavě řešit, aby dosáhla svého cíle.</w:t>
      </w:r>
    </w:p>
    <w:p w14:paraId="65282E3F" w14:textId="77777777" w:rsidR="00891C42" w:rsidRDefault="00891C42" w:rsidP="00337BB6">
      <w:pPr>
        <w:pStyle w:val="FormtovanvHTML"/>
        <w:spacing w:line="276" w:lineRule="auto"/>
        <w:jc w:val="both"/>
        <w:rPr>
          <w:rStyle w:val="y2iqfc"/>
          <w:rFonts w:ascii="Arial" w:eastAsiaTheme="minorEastAsia" w:hAnsi="Arial" w:cs="Arial"/>
          <w:sz w:val="22"/>
          <w:szCs w:val="22"/>
          <w:lang w:val="cs-CZ"/>
        </w:rPr>
      </w:pPr>
    </w:p>
    <w:p w14:paraId="00FACAAC" w14:textId="0A3C3B63" w:rsidR="00337BB6" w:rsidRDefault="00337BB6" w:rsidP="00337BB6">
      <w:pPr>
        <w:pStyle w:val="FormtovanvHTML"/>
        <w:spacing w:line="276" w:lineRule="auto"/>
        <w:jc w:val="both"/>
        <w:rPr>
          <w:rStyle w:val="y2iqfc"/>
          <w:rFonts w:ascii="Arial" w:eastAsiaTheme="minorEastAsia" w:hAnsi="Arial" w:cs="Arial"/>
          <w:sz w:val="22"/>
          <w:szCs w:val="22"/>
          <w:lang w:val="cs-CZ"/>
        </w:rPr>
      </w:pPr>
      <w:r>
        <w:rPr>
          <w:rStyle w:val="y2iqfc"/>
          <w:rFonts w:ascii="Arial" w:eastAsiaTheme="minorEastAsia" w:hAnsi="Arial" w:cs="Arial"/>
          <w:sz w:val="22"/>
          <w:szCs w:val="22"/>
          <w:lang w:val="cs-CZ"/>
        </w:rPr>
        <w:t>Agrární sektor zaznamenal v posledním desetiletí významný pokrok, přičemž zemědělství Vietnamu rostlo každoročně v průměru o 3 %. Důležitou roli při modernizaci zemědělského sektoru sehráli zahraniční investoři. V agrárním sektoru je však stále mnoho nevyužitého potenciálu.</w:t>
      </w:r>
      <w:r w:rsidR="00891C42">
        <w:rPr>
          <w:rStyle w:val="y2iqfc"/>
          <w:rFonts w:ascii="Arial" w:eastAsiaTheme="minorEastAsia" w:hAnsi="Arial" w:cs="Arial"/>
          <w:sz w:val="22"/>
          <w:szCs w:val="22"/>
          <w:lang w:val="cs-CZ"/>
        </w:rPr>
        <w:t xml:space="preserve"> </w:t>
      </w:r>
      <w:r>
        <w:rPr>
          <w:rStyle w:val="y2iqfc"/>
          <w:rFonts w:ascii="Arial" w:eastAsiaTheme="minorEastAsia" w:hAnsi="Arial" w:cs="Arial"/>
          <w:sz w:val="22"/>
          <w:szCs w:val="22"/>
          <w:lang w:val="cs-CZ"/>
        </w:rPr>
        <w:t>V letech 2009-</w:t>
      </w:r>
      <w:r w:rsidR="00891C42">
        <w:rPr>
          <w:rStyle w:val="y2iqfc"/>
          <w:rFonts w:ascii="Arial" w:eastAsiaTheme="minorEastAsia" w:hAnsi="Arial" w:cs="Arial"/>
          <w:sz w:val="22"/>
          <w:szCs w:val="22"/>
          <w:lang w:val="cs-CZ"/>
        </w:rPr>
        <w:t>20</w:t>
      </w:r>
      <w:r>
        <w:rPr>
          <w:rStyle w:val="y2iqfc"/>
          <w:rFonts w:ascii="Arial" w:eastAsiaTheme="minorEastAsia" w:hAnsi="Arial" w:cs="Arial"/>
          <w:sz w:val="22"/>
          <w:szCs w:val="22"/>
          <w:lang w:val="cs-CZ"/>
        </w:rPr>
        <w:t>21 zahraniční investoři zaregistrovali v agrární oblasti 2000 projektů, tj. 5,7 % všech zahraničních projektů a investovali 17,64 mld</w:t>
      </w:r>
      <w:r w:rsidR="00891C42">
        <w:rPr>
          <w:rStyle w:val="y2iqfc"/>
          <w:rFonts w:ascii="Arial" w:eastAsiaTheme="minorEastAsia" w:hAnsi="Arial" w:cs="Arial"/>
          <w:sz w:val="22"/>
          <w:szCs w:val="22"/>
          <w:lang w:val="cs-CZ"/>
        </w:rPr>
        <w:t>. $</w:t>
      </w:r>
      <w:r>
        <w:rPr>
          <w:rStyle w:val="y2iqfc"/>
          <w:rFonts w:ascii="Arial" w:eastAsiaTheme="minorEastAsia" w:hAnsi="Arial" w:cs="Arial"/>
          <w:sz w:val="22"/>
          <w:szCs w:val="22"/>
          <w:lang w:val="cs-CZ"/>
        </w:rPr>
        <w:t xml:space="preserve">, tj. pouze 4,3 % </w:t>
      </w:r>
      <w:r w:rsidR="00891C42">
        <w:rPr>
          <w:rStyle w:val="y2iqfc"/>
          <w:rFonts w:ascii="Arial" w:eastAsiaTheme="minorEastAsia" w:hAnsi="Arial" w:cs="Arial"/>
          <w:sz w:val="22"/>
          <w:szCs w:val="22"/>
          <w:lang w:val="cs-CZ"/>
        </w:rPr>
        <w:br/>
      </w:r>
      <w:r>
        <w:rPr>
          <w:rStyle w:val="y2iqfc"/>
          <w:rFonts w:ascii="Arial" w:eastAsiaTheme="minorEastAsia" w:hAnsi="Arial" w:cs="Arial"/>
          <w:sz w:val="22"/>
          <w:szCs w:val="22"/>
          <w:lang w:val="cs-CZ"/>
        </w:rPr>
        <w:t>z celkových investic. Pro agrární zemi, jakou je Vietnam, je objem zahraničních investic v tomto sektoru nízký.</w:t>
      </w:r>
      <w:r w:rsidR="00891C42">
        <w:rPr>
          <w:rStyle w:val="y2iqfc"/>
          <w:rFonts w:ascii="Arial" w:eastAsiaTheme="minorEastAsia" w:hAnsi="Arial" w:cs="Arial"/>
          <w:sz w:val="22"/>
          <w:szCs w:val="22"/>
          <w:lang w:val="cs-CZ"/>
        </w:rPr>
        <w:t xml:space="preserve"> </w:t>
      </w:r>
      <w:r>
        <w:rPr>
          <w:rStyle w:val="y2iqfc"/>
          <w:rFonts w:ascii="Arial" w:eastAsiaTheme="minorEastAsia" w:hAnsi="Arial" w:cs="Arial"/>
          <w:sz w:val="22"/>
          <w:szCs w:val="22"/>
          <w:lang w:val="cs-CZ"/>
        </w:rPr>
        <w:t>Naprostá většina zmíněných projektů byla dosud z asijských zemí, které většinou směřovaly do oblastí kolem hlavního města Hanoje a delty řeky Mekongu. Výjimkou nejsou případy,</w:t>
      </w:r>
      <w:r w:rsidR="00891C42">
        <w:rPr>
          <w:rStyle w:val="y2iqfc"/>
          <w:rFonts w:ascii="Arial" w:eastAsiaTheme="minorEastAsia" w:hAnsi="Arial" w:cs="Arial"/>
          <w:sz w:val="22"/>
          <w:szCs w:val="22"/>
          <w:lang w:val="cs-CZ"/>
        </w:rPr>
        <w:t xml:space="preserve"> </w:t>
      </w:r>
      <w:r>
        <w:rPr>
          <w:rStyle w:val="y2iqfc"/>
          <w:rFonts w:ascii="Arial" w:eastAsiaTheme="minorEastAsia" w:hAnsi="Arial" w:cs="Arial"/>
          <w:sz w:val="22"/>
          <w:szCs w:val="22"/>
          <w:lang w:val="cs-CZ"/>
        </w:rPr>
        <w:t xml:space="preserve">kdy zahraniční subjekty využívají dohod Vietnamu o volném obchodu k exportu svých produktů, aniž by v zemi investovaly do výroby. </w:t>
      </w:r>
    </w:p>
    <w:p w14:paraId="10152D5C" w14:textId="77777777" w:rsidR="00891C42" w:rsidRDefault="00891C42" w:rsidP="00337BB6">
      <w:pPr>
        <w:pStyle w:val="FormtovanvHTML"/>
        <w:spacing w:line="276" w:lineRule="auto"/>
        <w:jc w:val="both"/>
        <w:rPr>
          <w:rStyle w:val="y2iqfc"/>
          <w:rFonts w:ascii="Arial" w:eastAsiaTheme="minorEastAsia" w:hAnsi="Arial" w:cs="Arial"/>
          <w:sz w:val="22"/>
          <w:szCs w:val="22"/>
          <w:lang w:val="cs-CZ"/>
        </w:rPr>
      </w:pPr>
    </w:p>
    <w:p w14:paraId="3FA06531" w14:textId="77777777" w:rsidR="00891C42" w:rsidRDefault="00337BB6" w:rsidP="00337BB6">
      <w:pPr>
        <w:pStyle w:val="FormtovanvHTML"/>
        <w:spacing w:line="276" w:lineRule="auto"/>
        <w:jc w:val="both"/>
        <w:rPr>
          <w:rStyle w:val="y2iqfc"/>
          <w:rFonts w:ascii="Arial" w:eastAsiaTheme="minorEastAsia" w:hAnsi="Arial" w:cs="Arial"/>
          <w:sz w:val="22"/>
          <w:szCs w:val="22"/>
          <w:lang w:val="cs-CZ"/>
        </w:rPr>
      </w:pPr>
      <w:r>
        <w:rPr>
          <w:rStyle w:val="y2iqfc"/>
          <w:rFonts w:ascii="Arial" w:eastAsiaTheme="minorEastAsia" w:hAnsi="Arial" w:cs="Arial"/>
          <w:sz w:val="22"/>
          <w:szCs w:val="22"/>
          <w:lang w:val="cs-CZ"/>
        </w:rPr>
        <w:t xml:space="preserve">Mluvčí Ministerstva zemědělství a rozvoje venkova (MARD), dr. Nguyen Anh Phong, uvedl, </w:t>
      </w:r>
      <w:r w:rsidR="00891C42">
        <w:rPr>
          <w:rStyle w:val="y2iqfc"/>
          <w:rFonts w:ascii="Arial" w:eastAsiaTheme="minorEastAsia" w:hAnsi="Arial" w:cs="Arial"/>
          <w:sz w:val="22"/>
          <w:szCs w:val="22"/>
          <w:lang w:val="cs-CZ"/>
        </w:rPr>
        <w:br/>
      </w:r>
      <w:r>
        <w:rPr>
          <w:rStyle w:val="y2iqfc"/>
          <w:rFonts w:ascii="Arial" w:eastAsiaTheme="minorEastAsia" w:hAnsi="Arial" w:cs="Arial"/>
          <w:sz w:val="22"/>
          <w:szCs w:val="22"/>
          <w:lang w:val="cs-CZ"/>
        </w:rPr>
        <w:t xml:space="preserve">že pokud mají zahraniční investice do zemědělského sektoru ve Vietnamu dosáhnout </w:t>
      </w:r>
      <w:r w:rsidR="00891C42">
        <w:rPr>
          <w:rStyle w:val="y2iqfc"/>
          <w:rFonts w:ascii="Arial" w:eastAsiaTheme="minorEastAsia" w:hAnsi="Arial" w:cs="Arial"/>
          <w:sz w:val="22"/>
          <w:szCs w:val="22"/>
          <w:lang w:val="cs-CZ"/>
        </w:rPr>
        <w:br/>
      </w:r>
      <w:r>
        <w:rPr>
          <w:rStyle w:val="y2iqfc"/>
          <w:rFonts w:ascii="Arial" w:eastAsiaTheme="minorEastAsia" w:hAnsi="Arial" w:cs="Arial"/>
          <w:sz w:val="22"/>
          <w:szCs w:val="22"/>
          <w:lang w:val="cs-CZ"/>
        </w:rPr>
        <w:t>do konce roku 2030 výše 34. mld</w:t>
      </w:r>
      <w:r w:rsidR="00891C42">
        <w:rPr>
          <w:rStyle w:val="y2iqfc"/>
          <w:rFonts w:ascii="Arial" w:eastAsiaTheme="minorEastAsia" w:hAnsi="Arial" w:cs="Arial"/>
          <w:sz w:val="22"/>
          <w:szCs w:val="22"/>
          <w:lang w:val="cs-CZ"/>
        </w:rPr>
        <w:t>.</w:t>
      </w:r>
      <w:r>
        <w:rPr>
          <w:rStyle w:val="y2iqfc"/>
          <w:rFonts w:ascii="Arial" w:eastAsiaTheme="minorEastAsia" w:hAnsi="Arial" w:cs="Arial"/>
          <w:sz w:val="22"/>
          <w:szCs w:val="22"/>
          <w:lang w:val="cs-CZ"/>
        </w:rPr>
        <w:t xml:space="preserve"> </w:t>
      </w:r>
      <w:r w:rsidR="00891C42">
        <w:rPr>
          <w:rStyle w:val="y2iqfc"/>
          <w:rFonts w:ascii="Arial" w:eastAsiaTheme="minorEastAsia" w:hAnsi="Arial" w:cs="Arial"/>
          <w:sz w:val="22"/>
          <w:szCs w:val="22"/>
          <w:lang w:val="cs-CZ"/>
        </w:rPr>
        <w:t>$</w:t>
      </w:r>
      <w:r w:rsidR="00891C42">
        <w:rPr>
          <w:rStyle w:val="y2iqfc"/>
          <w:rFonts w:ascii="Arial" w:eastAsiaTheme="minorEastAsia" w:hAnsi="Arial" w:cs="Arial"/>
          <w:sz w:val="22"/>
          <w:szCs w:val="22"/>
          <w:lang w:val="cs-CZ"/>
        </w:rPr>
        <w:t xml:space="preserve"> </w:t>
      </w:r>
      <w:r>
        <w:rPr>
          <w:rStyle w:val="y2iqfc"/>
          <w:rFonts w:ascii="Arial" w:eastAsiaTheme="minorEastAsia" w:hAnsi="Arial" w:cs="Arial"/>
          <w:sz w:val="22"/>
          <w:szCs w:val="22"/>
          <w:lang w:val="cs-CZ"/>
        </w:rPr>
        <w:t xml:space="preserve">(ročně), je naléhavě potřeba zvýšit spolupráci s velkými korporacemi, zejména v transferu technologií. MARD chce proto provádět selekci vhodných </w:t>
      </w:r>
      <w:r w:rsidR="00891C42">
        <w:rPr>
          <w:rStyle w:val="y2iqfc"/>
          <w:rFonts w:ascii="Arial" w:eastAsiaTheme="minorEastAsia" w:hAnsi="Arial" w:cs="Arial"/>
          <w:sz w:val="22"/>
          <w:szCs w:val="22"/>
          <w:lang w:val="cs-CZ"/>
        </w:rPr>
        <w:br/>
      </w:r>
      <w:r>
        <w:rPr>
          <w:rStyle w:val="y2iqfc"/>
          <w:rFonts w:ascii="Arial" w:eastAsiaTheme="minorEastAsia" w:hAnsi="Arial" w:cs="Arial"/>
          <w:sz w:val="22"/>
          <w:szCs w:val="22"/>
          <w:lang w:val="cs-CZ"/>
        </w:rPr>
        <w:t>a žádoucích investorů, aby byly vybrány ty nejlepší technologie pro farmáře.</w:t>
      </w:r>
      <w:r w:rsidR="00891C42">
        <w:rPr>
          <w:rStyle w:val="y2iqfc"/>
          <w:rFonts w:ascii="Arial" w:eastAsiaTheme="minorEastAsia" w:hAnsi="Arial" w:cs="Arial"/>
          <w:sz w:val="22"/>
          <w:szCs w:val="22"/>
          <w:lang w:val="cs-CZ"/>
        </w:rPr>
        <w:t xml:space="preserve">  </w:t>
      </w:r>
    </w:p>
    <w:p w14:paraId="4F4088A5" w14:textId="0756DBE6" w:rsidR="00337BB6" w:rsidRDefault="00337BB6" w:rsidP="00337BB6">
      <w:pPr>
        <w:pStyle w:val="FormtovanvHTML"/>
        <w:spacing w:line="276" w:lineRule="auto"/>
        <w:jc w:val="both"/>
        <w:rPr>
          <w:rStyle w:val="y2iqfc"/>
          <w:rFonts w:ascii="Arial" w:eastAsiaTheme="minorEastAsia" w:hAnsi="Arial" w:cs="Arial"/>
          <w:sz w:val="22"/>
          <w:szCs w:val="22"/>
          <w:lang w:val="cs-CZ"/>
        </w:rPr>
      </w:pPr>
      <w:proofErr w:type="spellStart"/>
      <w:r>
        <w:rPr>
          <w:rStyle w:val="y2iqfc"/>
          <w:rFonts w:ascii="Arial" w:eastAsiaTheme="minorEastAsia" w:hAnsi="Arial" w:cs="Arial"/>
          <w:sz w:val="22"/>
          <w:szCs w:val="22"/>
          <w:lang w:val="cs-CZ"/>
        </w:rPr>
        <w:t>Doung</w:t>
      </w:r>
      <w:proofErr w:type="spellEnd"/>
      <w:r>
        <w:rPr>
          <w:rStyle w:val="y2iqfc"/>
          <w:rFonts w:ascii="Arial" w:eastAsiaTheme="minorEastAsia" w:hAnsi="Arial" w:cs="Arial"/>
          <w:sz w:val="22"/>
          <w:szCs w:val="22"/>
          <w:lang w:val="cs-CZ"/>
        </w:rPr>
        <w:t xml:space="preserve"> </w:t>
      </w:r>
      <w:proofErr w:type="spellStart"/>
      <w:r>
        <w:rPr>
          <w:rStyle w:val="y2iqfc"/>
          <w:rFonts w:ascii="Arial" w:eastAsiaTheme="minorEastAsia" w:hAnsi="Arial" w:cs="Arial"/>
          <w:sz w:val="22"/>
          <w:szCs w:val="22"/>
          <w:lang w:val="cs-CZ"/>
        </w:rPr>
        <w:t>Danh</w:t>
      </w:r>
      <w:proofErr w:type="spellEnd"/>
      <w:r>
        <w:rPr>
          <w:rStyle w:val="y2iqfc"/>
          <w:rFonts w:ascii="Arial" w:eastAsiaTheme="minorEastAsia" w:hAnsi="Arial" w:cs="Arial"/>
          <w:sz w:val="22"/>
          <w:szCs w:val="22"/>
          <w:lang w:val="cs-CZ"/>
        </w:rPr>
        <w:t xml:space="preserve"> </w:t>
      </w:r>
      <w:proofErr w:type="spellStart"/>
      <w:r>
        <w:rPr>
          <w:rStyle w:val="y2iqfc"/>
          <w:rFonts w:ascii="Arial" w:eastAsiaTheme="minorEastAsia" w:hAnsi="Arial" w:cs="Arial"/>
          <w:sz w:val="22"/>
          <w:szCs w:val="22"/>
          <w:lang w:val="cs-CZ"/>
        </w:rPr>
        <w:t>Cong</w:t>
      </w:r>
      <w:proofErr w:type="spellEnd"/>
      <w:r>
        <w:rPr>
          <w:rStyle w:val="y2iqfc"/>
          <w:rFonts w:ascii="Arial" w:eastAsiaTheme="minorEastAsia" w:hAnsi="Arial" w:cs="Arial"/>
          <w:sz w:val="22"/>
          <w:szCs w:val="22"/>
          <w:lang w:val="cs-CZ"/>
        </w:rPr>
        <w:t xml:space="preserve"> z </w:t>
      </w:r>
      <w:proofErr w:type="spellStart"/>
      <w:r>
        <w:rPr>
          <w:rStyle w:val="y2iqfc"/>
          <w:rFonts w:ascii="Arial" w:eastAsiaTheme="minorEastAsia" w:hAnsi="Arial" w:cs="Arial"/>
          <w:sz w:val="22"/>
          <w:szCs w:val="22"/>
          <w:lang w:val="cs-CZ"/>
        </w:rPr>
        <w:t>Agrotrade</w:t>
      </w:r>
      <w:proofErr w:type="spellEnd"/>
      <w:r>
        <w:rPr>
          <w:rStyle w:val="y2iqfc"/>
          <w:rFonts w:ascii="Arial" w:eastAsiaTheme="minorEastAsia" w:hAnsi="Arial" w:cs="Arial"/>
          <w:sz w:val="22"/>
          <w:szCs w:val="22"/>
          <w:lang w:val="cs-CZ"/>
        </w:rPr>
        <w:t xml:space="preserve"> při MARD vyzval k vytvoření pracovní skupiny specializující </w:t>
      </w:r>
      <w:r w:rsidR="00891C42">
        <w:rPr>
          <w:rStyle w:val="y2iqfc"/>
          <w:rFonts w:ascii="Arial" w:eastAsiaTheme="minorEastAsia" w:hAnsi="Arial" w:cs="Arial"/>
          <w:sz w:val="22"/>
          <w:szCs w:val="22"/>
          <w:lang w:val="cs-CZ"/>
        </w:rPr>
        <w:br/>
      </w:r>
      <w:r>
        <w:rPr>
          <w:rStyle w:val="y2iqfc"/>
          <w:rFonts w:ascii="Arial" w:eastAsiaTheme="minorEastAsia" w:hAnsi="Arial" w:cs="Arial"/>
          <w:sz w:val="22"/>
          <w:szCs w:val="22"/>
          <w:lang w:val="cs-CZ"/>
        </w:rPr>
        <w:t>se na vyhledávání bonitních zahraničních investorů do zemědělství. „Pracovní skupina musí rozumět potřebám potenciálních investorů i potenciálu místních subjektů," řekl.</w:t>
      </w:r>
    </w:p>
    <w:p w14:paraId="45FA597B" w14:textId="77777777" w:rsidR="00891C42" w:rsidRDefault="00891C42" w:rsidP="00337BB6">
      <w:pPr>
        <w:pStyle w:val="FormtovanvHTML"/>
        <w:spacing w:line="276" w:lineRule="auto"/>
        <w:jc w:val="both"/>
        <w:rPr>
          <w:rStyle w:val="y2iqfc"/>
          <w:rFonts w:ascii="Arial" w:eastAsiaTheme="minorEastAsia" w:hAnsi="Arial" w:cs="Arial"/>
          <w:sz w:val="22"/>
          <w:szCs w:val="22"/>
          <w:lang w:val="cs-CZ"/>
        </w:rPr>
      </w:pPr>
    </w:p>
    <w:p w14:paraId="79C6FF7C" w14:textId="2A3ECAE4" w:rsidR="00337BB6" w:rsidRDefault="00337BB6" w:rsidP="00337BB6">
      <w:pPr>
        <w:pStyle w:val="FormtovanvHTML"/>
        <w:spacing w:line="276" w:lineRule="auto"/>
        <w:jc w:val="both"/>
        <w:rPr>
          <w:rStyle w:val="y2iqfc"/>
          <w:rFonts w:ascii="Arial" w:eastAsiaTheme="minorEastAsia" w:hAnsi="Arial" w:cs="Arial"/>
          <w:sz w:val="22"/>
          <w:szCs w:val="22"/>
          <w:lang w:val="cs-CZ"/>
        </w:rPr>
      </w:pPr>
      <w:r>
        <w:rPr>
          <w:rStyle w:val="y2iqfc"/>
          <w:rFonts w:ascii="Arial" w:eastAsiaTheme="minorEastAsia" w:hAnsi="Arial" w:cs="Arial"/>
          <w:sz w:val="22"/>
          <w:szCs w:val="22"/>
          <w:lang w:val="cs-CZ"/>
        </w:rPr>
        <w:t>V důsledku mnohaleté laviny rozvojové pomoci, bezúročných půjček a dobrodružných investic, panuje ve Vietnamu všeobecný pocit, že transfer zahraničních technologií a toky peněz jsou nezištné dary z lásky, soucitu, obdivu či naivity. VSR je dnes již středně příjmová ekonomika, která přes velký podíl šedé ekonomiky svým oficiálním HDP na obyvatele předstihla některé evropské země. Pro přilákání dalších zahraničních investic je tedy třeba udělat více, hlavně v oblasti legislativy (např. u využívání zemědělské půdy, které je ve Vietnamu 33 mil. hektarů).</w:t>
      </w:r>
    </w:p>
    <w:p w14:paraId="624442F6" w14:textId="77777777" w:rsidR="00337BB6" w:rsidRDefault="00337BB6" w:rsidP="00337BB6">
      <w:pPr>
        <w:pStyle w:val="FormtovanvHTML"/>
        <w:spacing w:line="276" w:lineRule="auto"/>
        <w:jc w:val="both"/>
        <w:rPr>
          <w:rStyle w:val="y2iqfc"/>
          <w:rFonts w:ascii="Arial" w:eastAsiaTheme="minorEastAsia" w:hAnsi="Arial" w:cs="Arial"/>
          <w:sz w:val="22"/>
          <w:szCs w:val="22"/>
          <w:lang w:val="cs-CZ"/>
        </w:rPr>
      </w:pPr>
    </w:p>
    <w:p w14:paraId="0B5C2F4B" w14:textId="77777777"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14:paraId="6A8F121B" w14:textId="77777777" w:rsidR="00F36E50" w:rsidRPr="00062DAB"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proofErr w:type="spellStart"/>
      <w:r w:rsidR="00062DAB">
        <w:rPr>
          <w:rFonts w:cs="Arial"/>
        </w:rPr>
        <w:t>A</w:t>
      </w:r>
      <w:r w:rsidR="00062DAB" w:rsidRPr="00062DAB">
        <w:rPr>
          <w:rFonts w:cs="Arial"/>
        </w:rPr>
        <w:t>ngyal</w:t>
      </w:r>
      <w:proofErr w:type="spellEnd"/>
      <w:r w:rsidR="00062DAB">
        <w:rPr>
          <w:rFonts w:cs="Arial"/>
        </w:rPr>
        <w:t xml:space="preserve">, </w:t>
      </w:r>
      <w:r w:rsidRPr="00BC015D">
        <w:rPr>
          <w:rFonts w:cs="Arial"/>
        </w:rPr>
        <w:t>Místní zástupc</w:t>
      </w:r>
      <w:r w:rsidR="00062DAB">
        <w:rPr>
          <w:rFonts w:cs="Arial"/>
        </w:rPr>
        <w:t>i</w:t>
      </w:r>
      <w:r w:rsidRPr="00BC015D">
        <w:rPr>
          <w:rFonts w:cs="Arial"/>
        </w:rPr>
        <w:t xml:space="preserve"> ČR pro </w:t>
      </w:r>
      <w:proofErr w:type="spellStart"/>
      <w:r w:rsidRPr="00BC015D">
        <w:rPr>
          <w:rFonts w:cs="Arial"/>
        </w:rPr>
        <w:t>agro</w:t>
      </w:r>
      <w:proofErr w:type="spellEnd"/>
      <w:r w:rsidRPr="00BC015D">
        <w:rPr>
          <w:rFonts w:cs="Arial"/>
        </w:rPr>
        <w:t>-potravinářství,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14"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14:paraId="0439BDFA" w14:textId="77777777" w:rsidR="00337BB6" w:rsidRDefault="00337BB6" w:rsidP="00337BB6">
      <w:pPr>
        <w:rPr>
          <w:b/>
          <w:bCs/>
        </w:rPr>
      </w:pPr>
    </w:p>
    <w:p w14:paraId="2436C30F" w14:textId="7520BE84" w:rsidR="00337BB6" w:rsidRPr="00337BB6" w:rsidRDefault="00337BB6" w:rsidP="00337BB6">
      <w:pPr>
        <w:pStyle w:val="Nadpis3"/>
        <w:spacing w:line="276" w:lineRule="auto"/>
      </w:pPr>
      <w:r w:rsidRPr="00337BB6">
        <w:t>Zákazníci supermarketů ve Velké Británii letos před Vánoci nakupují méně, ale utrácejí více</w:t>
      </w:r>
    </w:p>
    <w:p w14:paraId="32C0B141" w14:textId="77777777" w:rsidR="00891C42" w:rsidRDefault="00337BB6" w:rsidP="00C66558">
      <w:pPr>
        <w:spacing w:line="276" w:lineRule="auto"/>
        <w:jc w:val="both"/>
        <w:rPr>
          <w:rStyle w:val="y2iqfc"/>
          <w:rFonts w:eastAsiaTheme="minorEastAsia"/>
        </w:rPr>
      </w:pPr>
      <w:r w:rsidRPr="00C66558">
        <w:rPr>
          <w:rStyle w:val="y2iqfc"/>
          <w:rFonts w:eastAsiaTheme="minorEastAsia"/>
        </w:rPr>
        <w:t xml:space="preserve">Podle nejnovějších údajů společnosti </w:t>
      </w:r>
      <w:proofErr w:type="spellStart"/>
      <w:r w:rsidRPr="00C66558">
        <w:rPr>
          <w:rStyle w:val="y2iqfc"/>
          <w:rFonts w:eastAsiaTheme="minorEastAsia"/>
        </w:rPr>
        <w:t>NielsenIQ</w:t>
      </w:r>
      <w:proofErr w:type="spellEnd"/>
      <w:r w:rsidRPr="00C66558">
        <w:rPr>
          <w:rStyle w:val="y2iqfc"/>
          <w:rFonts w:eastAsiaTheme="minorEastAsia"/>
        </w:rPr>
        <w:t xml:space="preserve"> nakupující v supermarketech ve Velké Británii utrácejí více, přestože nakupují méně. Může za to dvouciferná inflace v Británii, která způsobila nárůst celkových tržeb v supermarketech o 7,6 %. Údaje za čtyři listopadové týdny odhalily, že spotřebitelé v předvánočním období nakupují méně, přičemž objem nakoupeného zboží </w:t>
      </w:r>
      <w:r w:rsidR="00C66558">
        <w:rPr>
          <w:rStyle w:val="y2iqfc"/>
          <w:rFonts w:eastAsiaTheme="minorEastAsia"/>
        </w:rPr>
        <w:br/>
      </w:r>
      <w:r w:rsidRPr="00C66558">
        <w:rPr>
          <w:rStyle w:val="y2iqfc"/>
          <w:rFonts w:eastAsiaTheme="minorEastAsia"/>
        </w:rPr>
        <w:t>u největších prodejců potravin poklesl o 4,3 %.</w:t>
      </w:r>
    </w:p>
    <w:p w14:paraId="02BC8C8C" w14:textId="7144E3C2" w:rsidR="00337BB6" w:rsidRPr="00C66558" w:rsidRDefault="00337BB6" w:rsidP="00C66558">
      <w:pPr>
        <w:spacing w:line="276" w:lineRule="auto"/>
        <w:jc w:val="both"/>
        <w:rPr>
          <w:rStyle w:val="y2iqfc"/>
          <w:rFonts w:eastAsiaTheme="minorEastAsia"/>
        </w:rPr>
      </w:pPr>
      <w:r w:rsidRPr="00C66558">
        <w:rPr>
          <w:rStyle w:val="y2iqfc"/>
          <w:rFonts w:eastAsiaTheme="minorEastAsia"/>
        </w:rPr>
        <w:t>Mezi kategorie, které zaznamenaly nárůst hodnoty tržeb, patří mléčné výrobky (13,9 %), chipsy</w:t>
      </w:r>
      <w:r w:rsidR="00891C42">
        <w:rPr>
          <w:rStyle w:val="y2iqfc"/>
          <w:rFonts w:eastAsiaTheme="minorEastAsia"/>
        </w:rPr>
        <w:t xml:space="preserve"> </w:t>
      </w:r>
      <w:r w:rsidRPr="00C66558">
        <w:rPr>
          <w:rStyle w:val="y2iqfc"/>
          <w:rFonts w:eastAsiaTheme="minorEastAsia"/>
        </w:rPr>
        <w:t xml:space="preserve">a občerstvení (12,7 %), domácí zvířata (12,5 %), mražené potraviny (11,9 %), nealkoholické nápoje (10 %) a balené potraviny (9,2 %). Pivo, vína a lihoviny – klíčová kategorie v tomto ročním období – zaznamenaly pokles hodnoty tržeb o 1,5 % a objemu o 3,6 %, ačkoli díky mistrovství světa ve fotbale vzrostl ve srovnání s loňským rokem prodej piva </w:t>
      </w:r>
      <w:r w:rsidR="00891C42">
        <w:rPr>
          <w:rStyle w:val="y2iqfc"/>
          <w:rFonts w:eastAsiaTheme="minorEastAsia"/>
        </w:rPr>
        <w:br/>
      </w:r>
      <w:r w:rsidRPr="00C66558">
        <w:rPr>
          <w:rStyle w:val="y2iqfc"/>
          <w:rFonts w:eastAsiaTheme="minorEastAsia"/>
        </w:rPr>
        <w:t>o 3,1 %.</w:t>
      </w:r>
    </w:p>
    <w:p w14:paraId="5DBD817E" w14:textId="77777777" w:rsidR="00891C42" w:rsidRDefault="00891C42" w:rsidP="00C66558">
      <w:pPr>
        <w:spacing w:line="276" w:lineRule="auto"/>
        <w:jc w:val="both"/>
        <w:rPr>
          <w:rStyle w:val="y2iqfc"/>
          <w:rFonts w:eastAsiaTheme="minorEastAsia"/>
        </w:rPr>
      </w:pPr>
    </w:p>
    <w:p w14:paraId="448CCB89" w14:textId="0A4EA63C" w:rsidR="00337BB6" w:rsidRPr="00C66558" w:rsidRDefault="00337BB6" w:rsidP="00C66558">
      <w:pPr>
        <w:spacing w:line="276" w:lineRule="auto"/>
        <w:jc w:val="both"/>
        <w:rPr>
          <w:rStyle w:val="y2iqfc"/>
          <w:rFonts w:eastAsiaTheme="minorEastAsia"/>
        </w:rPr>
      </w:pPr>
      <w:r w:rsidRPr="00C66558">
        <w:rPr>
          <w:rStyle w:val="y2iqfc"/>
          <w:rFonts w:eastAsiaTheme="minorEastAsia"/>
        </w:rPr>
        <w:t xml:space="preserve">Diskontní supermarkety v uplynulých 12 týdnech nadále posilovaly, přičemž prodeje Lidlu vzrostly o 12,9 % a </w:t>
      </w:r>
      <w:proofErr w:type="spellStart"/>
      <w:r w:rsidRPr="00C66558">
        <w:rPr>
          <w:rStyle w:val="y2iqfc"/>
          <w:rFonts w:eastAsiaTheme="minorEastAsia"/>
        </w:rPr>
        <w:t>Aldi</w:t>
      </w:r>
      <w:proofErr w:type="spellEnd"/>
      <w:r w:rsidRPr="00C66558">
        <w:rPr>
          <w:rStyle w:val="y2iqfc"/>
          <w:rFonts w:eastAsiaTheme="minorEastAsia"/>
        </w:rPr>
        <w:t xml:space="preserve"> o 12,4 %. Co-op zaznamenal nárůst tržeb o 8,8 %, neboť těžil z toho, že se spotřebitelé snaží ušetřit a nakupují v místě bydliště. Tržby se zvýšily také </w:t>
      </w:r>
      <w:proofErr w:type="spellStart"/>
      <w:r w:rsidRPr="00C66558">
        <w:rPr>
          <w:rStyle w:val="y2iqfc"/>
          <w:rFonts w:eastAsiaTheme="minorEastAsia"/>
        </w:rPr>
        <w:t>Icelandu</w:t>
      </w:r>
      <w:proofErr w:type="spellEnd"/>
      <w:r w:rsidRPr="00C66558">
        <w:rPr>
          <w:rStyle w:val="y2iqfc"/>
          <w:rFonts w:eastAsiaTheme="minorEastAsia"/>
        </w:rPr>
        <w:t xml:space="preserve"> </w:t>
      </w:r>
      <w:r w:rsidR="00891C42">
        <w:rPr>
          <w:rStyle w:val="y2iqfc"/>
          <w:rFonts w:eastAsiaTheme="minorEastAsia"/>
        </w:rPr>
        <w:br/>
      </w:r>
      <w:r w:rsidRPr="00C66558">
        <w:rPr>
          <w:rStyle w:val="y2iqfc"/>
          <w:rFonts w:eastAsiaTheme="minorEastAsia"/>
        </w:rPr>
        <w:t xml:space="preserve">(7,6 %), protože spotřebitelé se v souvislosti s rostoucími cenami energií a dalšími obavami </w:t>
      </w:r>
      <w:r w:rsidR="00891C42">
        <w:rPr>
          <w:rStyle w:val="y2iqfc"/>
          <w:rFonts w:eastAsiaTheme="minorEastAsia"/>
        </w:rPr>
        <w:br/>
      </w:r>
      <w:r w:rsidRPr="00C66558">
        <w:rPr>
          <w:rStyle w:val="y2iqfc"/>
          <w:rFonts w:eastAsiaTheme="minorEastAsia"/>
        </w:rPr>
        <w:t xml:space="preserve">z inflace orientují na mražené potraviny, aby omezili plýtvání. Tržby společnosti </w:t>
      </w:r>
      <w:proofErr w:type="spellStart"/>
      <w:r w:rsidRPr="00C66558">
        <w:rPr>
          <w:rStyle w:val="y2iqfc"/>
          <w:rFonts w:eastAsiaTheme="minorEastAsia"/>
        </w:rPr>
        <w:t>Asda</w:t>
      </w:r>
      <w:proofErr w:type="spellEnd"/>
      <w:r w:rsidRPr="00C66558">
        <w:rPr>
          <w:rStyle w:val="y2iqfc"/>
          <w:rFonts w:eastAsiaTheme="minorEastAsia"/>
        </w:rPr>
        <w:t xml:space="preserve"> vzrostly ve sledovaném období o 7,7 %, přičemž společnosti </w:t>
      </w:r>
      <w:proofErr w:type="spellStart"/>
      <w:r w:rsidRPr="00C66558">
        <w:rPr>
          <w:rStyle w:val="y2iqfc"/>
          <w:rFonts w:eastAsiaTheme="minorEastAsia"/>
        </w:rPr>
        <w:t>Sainsbury's</w:t>
      </w:r>
      <w:proofErr w:type="spellEnd"/>
      <w:r w:rsidRPr="00C66558">
        <w:rPr>
          <w:rStyle w:val="y2iqfc"/>
          <w:rFonts w:eastAsiaTheme="minorEastAsia"/>
        </w:rPr>
        <w:t xml:space="preserve"> a Tesco vykázaly nárůst </w:t>
      </w:r>
      <w:r w:rsidR="00891C42">
        <w:rPr>
          <w:rStyle w:val="y2iqfc"/>
          <w:rFonts w:eastAsiaTheme="minorEastAsia"/>
        </w:rPr>
        <w:br/>
      </w:r>
      <w:r w:rsidRPr="00C66558">
        <w:rPr>
          <w:rStyle w:val="y2iqfc"/>
          <w:rFonts w:eastAsiaTheme="minorEastAsia"/>
        </w:rPr>
        <w:t>o 6,6 %, resp. 6,5 %.</w:t>
      </w:r>
      <w:r w:rsidR="00891C42">
        <w:rPr>
          <w:rStyle w:val="y2iqfc"/>
          <w:rFonts w:eastAsiaTheme="minorEastAsia"/>
        </w:rPr>
        <w:t xml:space="preserve"> </w:t>
      </w:r>
      <w:proofErr w:type="gramStart"/>
      <w:r w:rsidRPr="00C66558">
        <w:rPr>
          <w:rStyle w:val="y2iqfc"/>
          <w:rFonts w:eastAsiaTheme="minorEastAsia"/>
        </w:rPr>
        <w:t>Online</w:t>
      </w:r>
      <w:proofErr w:type="gramEnd"/>
      <w:r w:rsidRPr="00C66558">
        <w:rPr>
          <w:rStyle w:val="y2iqfc"/>
          <w:rFonts w:eastAsiaTheme="minorEastAsia"/>
        </w:rPr>
        <w:t xml:space="preserve"> prodej klesl o 1,3 %, přičemž podíl online prodeje na útratách za rychloobrátkové zboží se udržel na 11,3 %. To je o jedno procento méně ve srovnání s tímto obdobím loňského roku. Naproti tomu byl zaznamenán silný nárůst využití kamenných obchodů, kde tržby vzrostly o 9,3 % a návštěvy o 7,4 %.</w:t>
      </w:r>
    </w:p>
    <w:p w14:paraId="2AB2A771" w14:textId="77777777" w:rsidR="00891C42" w:rsidRDefault="00891C42" w:rsidP="00C66558">
      <w:pPr>
        <w:spacing w:line="276" w:lineRule="auto"/>
        <w:jc w:val="both"/>
        <w:rPr>
          <w:rStyle w:val="y2iqfc"/>
          <w:rFonts w:eastAsiaTheme="minorEastAsia"/>
        </w:rPr>
      </w:pPr>
    </w:p>
    <w:p w14:paraId="1BA5FC99" w14:textId="77777777" w:rsidR="00891C42" w:rsidRDefault="00337BB6" w:rsidP="00C66558">
      <w:pPr>
        <w:spacing w:line="276" w:lineRule="auto"/>
        <w:jc w:val="both"/>
        <w:rPr>
          <w:rStyle w:val="y2iqfc"/>
          <w:rFonts w:eastAsiaTheme="minorEastAsia"/>
        </w:rPr>
      </w:pPr>
      <w:r w:rsidRPr="00C66558">
        <w:rPr>
          <w:rStyle w:val="y2iqfc"/>
          <w:rFonts w:eastAsiaTheme="minorEastAsia"/>
        </w:rPr>
        <w:t xml:space="preserve">Mike </w:t>
      </w:r>
      <w:proofErr w:type="spellStart"/>
      <w:r w:rsidRPr="00C66558">
        <w:rPr>
          <w:rStyle w:val="y2iqfc"/>
          <w:rFonts w:eastAsiaTheme="minorEastAsia"/>
        </w:rPr>
        <w:t>Watkins</w:t>
      </w:r>
      <w:proofErr w:type="spellEnd"/>
      <w:r w:rsidRPr="00C66558">
        <w:rPr>
          <w:rStyle w:val="y2iqfc"/>
          <w:rFonts w:eastAsiaTheme="minorEastAsia"/>
        </w:rPr>
        <w:t xml:space="preserve">, vedoucí oddělení maloobchodu a obchodních informací společnosti </w:t>
      </w:r>
      <w:proofErr w:type="spellStart"/>
      <w:r w:rsidRPr="00C66558">
        <w:rPr>
          <w:rStyle w:val="y2iqfc"/>
          <w:rFonts w:eastAsiaTheme="minorEastAsia"/>
        </w:rPr>
        <w:t>NielsenIQ</w:t>
      </w:r>
      <w:proofErr w:type="spellEnd"/>
      <w:r w:rsidRPr="00C66558">
        <w:rPr>
          <w:rStyle w:val="y2iqfc"/>
          <w:rFonts w:eastAsiaTheme="minorEastAsia"/>
        </w:rPr>
        <w:t xml:space="preserve"> ve Velké Británii, uvedl: „Prodejny v Británii profitují ze současné situace. Vzhledem </w:t>
      </w:r>
      <w:r w:rsidR="00891C42">
        <w:rPr>
          <w:rStyle w:val="y2iqfc"/>
          <w:rFonts w:eastAsiaTheme="minorEastAsia"/>
        </w:rPr>
        <w:br/>
      </w:r>
      <w:r w:rsidRPr="00C66558">
        <w:rPr>
          <w:rStyle w:val="y2iqfc"/>
          <w:rFonts w:eastAsiaTheme="minorEastAsia"/>
        </w:rPr>
        <w:t xml:space="preserve">ke dvouciferné inflaci u potravin budou zákazníci o letošních Vánocích utrácet více, </w:t>
      </w:r>
      <w:r w:rsidR="00891C42">
        <w:rPr>
          <w:rStyle w:val="y2iqfc"/>
          <w:rFonts w:eastAsiaTheme="minorEastAsia"/>
        </w:rPr>
        <w:br/>
      </w:r>
      <w:r w:rsidRPr="00C66558">
        <w:rPr>
          <w:rStyle w:val="y2iqfc"/>
          <w:rFonts w:eastAsiaTheme="minorEastAsia"/>
        </w:rPr>
        <w:t xml:space="preserve">ale nakoupí méně. Již nyní však existuje řada nových strategií, které jim pomohou vyrovnat </w:t>
      </w:r>
      <w:r w:rsidR="00891C42">
        <w:rPr>
          <w:rStyle w:val="y2iqfc"/>
          <w:rFonts w:eastAsiaTheme="minorEastAsia"/>
        </w:rPr>
        <w:br/>
      </w:r>
      <w:r w:rsidRPr="00C66558">
        <w:rPr>
          <w:rStyle w:val="y2iqfc"/>
          <w:rFonts w:eastAsiaTheme="minorEastAsia"/>
        </w:rPr>
        <w:t xml:space="preserve">se se zvýšenými náklady. Patří mezi ně menší plýtvání potravinami, nakupování menšího množství a častěji a také využívání slev, které nabízejí věrnostní programy maloobchodníků. </w:t>
      </w:r>
    </w:p>
    <w:p w14:paraId="08AF42CF" w14:textId="77777777" w:rsidR="00891C42" w:rsidRDefault="00891C42" w:rsidP="00C66558">
      <w:pPr>
        <w:spacing w:line="276" w:lineRule="auto"/>
        <w:jc w:val="both"/>
        <w:rPr>
          <w:rStyle w:val="y2iqfc"/>
          <w:rFonts w:eastAsiaTheme="minorEastAsia"/>
        </w:rPr>
      </w:pPr>
    </w:p>
    <w:p w14:paraId="686925C7" w14:textId="49D843D6" w:rsidR="00337BB6" w:rsidRPr="00C66558" w:rsidRDefault="00337BB6" w:rsidP="00C66558">
      <w:pPr>
        <w:spacing w:line="276" w:lineRule="auto"/>
        <w:jc w:val="both"/>
        <w:rPr>
          <w:rStyle w:val="y2iqfc"/>
          <w:rFonts w:eastAsiaTheme="minorEastAsia"/>
        </w:rPr>
      </w:pPr>
      <w:r w:rsidRPr="00C66558">
        <w:rPr>
          <w:rStyle w:val="y2iqfc"/>
          <w:rFonts w:eastAsiaTheme="minorEastAsia"/>
        </w:rPr>
        <w:t xml:space="preserve">Současnou situaci však nejvíce charakterizuje to, že zákazníci přecházejí k levnějšímu zboží například privátních značek, nebo nakupují jiné velikosti balení. Tak lze ušetřit až třetinu ceny typického nákupního košíku.“ I při rekordních hodnotových tržbách </w:t>
      </w:r>
      <w:proofErr w:type="spellStart"/>
      <w:r w:rsidRPr="00C66558">
        <w:rPr>
          <w:rStyle w:val="y2iqfc"/>
          <w:rFonts w:eastAsiaTheme="minorEastAsia"/>
        </w:rPr>
        <w:t>Watkins</w:t>
      </w:r>
      <w:proofErr w:type="spellEnd"/>
      <w:r w:rsidRPr="00C66558">
        <w:rPr>
          <w:rStyle w:val="y2iqfc"/>
          <w:rFonts w:eastAsiaTheme="minorEastAsia"/>
        </w:rPr>
        <w:t xml:space="preserve"> očekává, že objem prodejů v supermarketech o letošních Vánocích klesne přibližně o 4 %, přičemž diskontní řetězce by měly poprvé překročit 19% podíl na trhu ve Velké Británii.</w:t>
      </w:r>
    </w:p>
    <w:p w14:paraId="36EC2DF5" w14:textId="77777777" w:rsidR="00C66558" w:rsidRDefault="00C66558" w:rsidP="00337BB6">
      <w:pPr>
        <w:jc w:val="both"/>
      </w:pPr>
    </w:p>
    <w:p w14:paraId="24DB296C" w14:textId="4F2E1BC5" w:rsidR="00337BB6" w:rsidRDefault="00337BB6" w:rsidP="00337BB6">
      <w:pPr>
        <w:jc w:val="both"/>
      </w:pPr>
      <w:hyperlink r:id="rId15" w:history="1">
        <w:r>
          <w:rPr>
            <w:rStyle w:val="Hypertextovodkaz"/>
          </w:rPr>
          <w:t>Zdroj</w:t>
        </w:r>
      </w:hyperlink>
    </w:p>
    <w:p w14:paraId="2EB47923" w14:textId="537F00F7" w:rsidR="00F36E50" w:rsidRPr="00F36E50" w:rsidRDefault="00F36E50" w:rsidP="00337BB6">
      <w:pPr>
        <w:pStyle w:val="Nadpis3"/>
        <w:spacing w:line="276" w:lineRule="auto"/>
      </w:pPr>
    </w:p>
    <w:sectPr w:rsidR="00F36E50" w:rsidRPr="00F36E50" w:rsidSect="00505C2E">
      <w:footerReference w:type="default" r:id="rId1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38A4A" w14:textId="77777777" w:rsidR="00081455" w:rsidRDefault="00081455" w:rsidP="00D4434C">
      <w:r>
        <w:separator/>
      </w:r>
    </w:p>
  </w:endnote>
  <w:endnote w:type="continuationSeparator" w:id="0">
    <w:p w14:paraId="714AF2CF" w14:textId="77777777" w:rsidR="00081455" w:rsidRDefault="00081455"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EndPr/>
    <w:sdtContent>
      <w:p w14:paraId="1B6C5355" w14:textId="230C0D14" w:rsidR="00D4434C" w:rsidRDefault="00D4434C">
        <w:pPr>
          <w:pStyle w:val="Zpat"/>
          <w:jc w:val="center"/>
        </w:pPr>
        <w:r>
          <w:fldChar w:fldCharType="begin"/>
        </w:r>
        <w:r>
          <w:instrText>PAGE   \* MERGEFORMAT</w:instrText>
        </w:r>
        <w:r>
          <w:fldChar w:fldCharType="separate"/>
        </w:r>
        <w:r w:rsidR="00CF2F53">
          <w:rPr>
            <w:noProof/>
          </w:rPr>
          <w:t>2</w:t>
        </w:r>
        <w:r>
          <w:fldChar w:fldCharType="end"/>
        </w:r>
      </w:p>
    </w:sdtContent>
  </w:sdt>
  <w:p w14:paraId="25C5ADFC"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D979A" w14:textId="77777777" w:rsidR="00081455" w:rsidRDefault="00081455" w:rsidP="00D4434C">
      <w:r>
        <w:separator/>
      </w:r>
    </w:p>
  </w:footnote>
  <w:footnote w:type="continuationSeparator" w:id="0">
    <w:p w14:paraId="60B8079E" w14:textId="77777777" w:rsidR="00081455" w:rsidRDefault="00081455"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E3407B"/>
    <w:multiLevelType w:val="hybridMultilevel"/>
    <w:tmpl w:val="54BAEC92"/>
    <w:lvl w:ilvl="0" w:tplc="5D62139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7"/>
  </w:num>
  <w:num w:numId="4">
    <w:abstractNumId w:val="11"/>
  </w:num>
  <w:num w:numId="5">
    <w:abstractNumId w:val="21"/>
  </w:num>
  <w:num w:numId="6">
    <w:abstractNumId w:val="22"/>
  </w:num>
  <w:num w:numId="7">
    <w:abstractNumId w:val="18"/>
  </w:num>
  <w:num w:numId="8">
    <w:abstractNumId w:val="3"/>
  </w:num>
  <w:num w:numId="9">
    <w:abstractNumId w:val="10"/>
  </w:num>
  <w:num w:numId="10">
    <w:abstractNumId w:val="7"/>
  </w:num>
  <w:num w:numId="11">
    <w:abstractNumId w:val="16"/>
  </w:num>
  <w:num w:numId="12">
    <w:abstractNumId w:val="12"/>
  </w:num>
  <w:num w:numId="13">
    <w:abstractNumId w:val="27"/>
  </w:num>
  <w:num w:numId="14">
    <w:abstractNumId w:val="9"/>
  </w:num>
  <w:num w:numId="15">
    <w:abstractNumId w:val="2"/>
  </w:num>
  <w:num w:numId="16">
    <w:abstractNumId w:val="14"/>
  </w:num>
  <w:num w:numId="17">
    <w:abstractNumId w:val="8"/>
  </w:num>
  <w:num w:numId="18">
    <w:abstractNumId w:val="1"/>
  </w:num>
  <w:num w:numId="19">
    <w:abstractNumId w:val="25"/>
  </w:num>
  <w:num w:numId="20">
    <w:abstractNumId w:val="24"/>
  </w:num>
  <w:num w:numId="21">
    <w:abstractNumId w:val="0"/>
  </w:num>
  <w:num w:numId="22">
    <w:abstractNumId w:val="5"/>
  </w:num>
  <w:num w:numId="23">
    <w:abstractNumId w:val="26"/>
  </w:num>
  <w:num w:numId="24">
    <w:abstractNumId w:val="13"/>
  </w:num>
  <w:num w:numId="25">
    <w:abstractNumId w:val="4"/>
  </w:num>
  <w:num w:numId="26">
    <w:abstractNumId w:val="20"/>
  </w:num>
  <w:num w:numId="27">
    <w:abstractNumId w:val="2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35FAD"/>
    <w:rsid w:val="000458E0"/>
    <w:rsid w:val="00056BBE"/>
    <w:rsid w:val="00061EED"/>
    <w:rsid w:val="00062DAB"/>
    <w:rsid w:val="00062E28"/>
    <w:rsid w:val="000663DF"/>
    <w:rsid w:val="00081455"/>
    <w:rsid w:val="00084BB4"/>
    <w:rsid w:val="000A4F06"/>
    <w:rsid w:val="000F717B"/>
    <w:rsid w:val="00126ADE"/>
    <w:rsid w:val="00146BCF"/>
    <w:rsid w:val="001D3F62"/>
    <w:rsid w:val="001F023C"/>
    <w:rsid w:val="001F29AF"/>
    <w:rsid w:val="00223F87"/>
    <w:rsid w:val="002616B5"/>
    <w:rsid w:val="00267D97"/>
    <w:rsid w:val="002A2D85"/>
    <w:rsid w:val="002A56DF"/>
    <w:rsid w:val="002E5EAD"/>
    <w:rsid w:val="00337BB6"/>
    <w:rsid w:val="00370E34"/>
    <w:rsid w:val="003964FA"/>
    <w:rsid w:val="003D2B3B"/>
    <w:rsid w:val="003D56E1"/>
    <w:rsid w:val="00411AC7"/>
    <w:rsid w:val="004232BE"/>
    <w:rsid w:val="004559E3"/>
    <w:rsid w:val="004962CD"/>
    <w:rsid w:val="004A6C5B"/>
    <w:rsid w:val="004E6FCD"/>
    <w:rsid w:val="00505C2E"/>
    <w:rsid w:val="005248F4"/>
    <w:rsid w:val="00524BA5"/>
    <w:rsid w:val="00587417"/>
    <w:rsid w:val="005A13F9"/>
    <w:rsid w:val="005A312B"/>
    <w:rsid w:val="005B7043"/>
    <w:rsid w:val="005C3BF7"/>
    <w:rsid w:val="005D0DCF"/>
    <w:rsid w:val="005D5E3F"/>
    <w:rsid w:val="005D69CD"/>
    <w:rsid w:val="005D7F74"/>
    <w:rsid w:val="005E20B4"/>
    <w:rsid w:val="00613A7D"/>
    <w:rsid w:val="00636521"/>
    <w:rsid w:val="00656C69"/>
    <w:rsid w:val="0067358D"/>
    <w:rsid w:val="006805F4"/>
    <w:rsid w:val="006931C2"/>
    <w:rsid w:val="006A353A"/>
    <w:rsid w:val="006A382E"/>
    <w:rsid w:val="006E0882"/>
    <w:rsid w:val="006E5DF8"/>
    <w:rsid w:val="006F78ED"/>
    <w:rsid w:val="006F79AC"/>
    <w:rsid w:val="00715795"/>
    <w:rsid w:val="00717F96"/>
    <w:rsid w:val="00780119"/>
    <w:rsid w:val="0078308B"/>
    <w:rsid w:val="00790E93"/>
    <w:rsid w:val="00795E13"/>
    <w:rsid w:val="007A531E"/>
    <w:rsid w:val="007D2A9E"/>
    <w:rsid w:val="007F3E9B"/>
    <w:rsid w:val="007F44D0"/>
    <w:rsid w:val="007F5F98"/>
    <w:rsid w:val="00807D31"/>
    <w:rsid w:val="00854F9B"/>
    <w:rsid w:val="00875992"/>
    <w:rsid w:val="00886E98"/>
    <w:rsid w:val="00891C42"/>
    <w:rsid w:val="00892A59"/>
    <w:rsid w:val="00892E02"/>
    <w:rsid w:val="00897840"/>
    <w:rsid w:val="008A6BB3"/>
    <w:rsid w:val="008A799A"/>
    <w:rsid w:val="008F2CC4"/>
    <w:rsid w:val="00901EB4"/>
    <w:rsid w:val="00937595"/>
    <w:rsid w:val="009677BC"/>
    <w:rsid w:val="00974743"/>
    <w:rsid w:val="00993C8E"/>
    <w:rsid w:val="00A22A8F"/>
    <w:rsid w:val="00A53226"/>
    <w:rsid w:val="00A91B8F"/>
    <w:rsid w:val="00AB1996"/>
    <w:rsid w:val="00AD54F3"/>
    <w:rsid w:val="00AE3F61"/>
    <w:rsid w:val="00AF51BE"/>
    <w:rsid w:val="00B018AA"/>
    <w:rsid w:val="00B05BDF"/>
    <w:rsid w:val="00B173B4"/>
    <w:rsid w:val="00B208A7"/>
    <w:rsid w:val="00B27E33"/>
    <w:rsid w:val="00B318F6"/>
    <w:rsid w:val="00B554B9"/>
    <w:rsid w:val="00BA6A5B"/>
    <w:rsid w:val="00BC341A"/>
    <w:rsid w:val="00BC4BD8"/>
    <w:rsid w:val="00BD647F"/>
    <w:rsid w:val="00BD7227"/>
    <w:rsid w:val="00C0233A"/>
    <w:rsid w:val="00C34CC6"/>
    <w:rsid w:val="00C57B4E"/>
    <w:rsid w:val="00C66558"/>
    <w:rsid w:val="00C833B6"/>
    <w:rsid w:val="00CA1C10"/>
    <w:rsid w:val="00CA2C8C"/>
    <w:rsid w:val="00CA478D"/>
    <w:rsid w:val="00CE2A3A"/>
    <w:rsid w:val="00CF2F53"/>
    <w:rsid w:val="00D05C35"/>
    <w:rsid w:val="00D4434C"/>
    <w:rsid w:val="00D71800"/>
    <w:rsid w:val="00DA01A0"/>
    <w:rsid w:val="00DA25B0"/>
    <w:rsid w:val="00DB022E"/>
    <w:rsid w:val="00DB0371"/>
    <w:rsid w:val="00DB3BA7"/>
    <w:rsid w:val="00E0689A"/>
    <w:rsid w:val="00E1270D"/>
    <w:rsid w:val="00E52E29"/>
    <w:rsid w:val="00E853BA"/>
    <w:rsid w:val="00E87201"/>
    <w:rsid w:val="00E96F76"/>
    <w:rsid w:val="00E973C5"/>
    <w:rsid w:val="00E97C5D"/>
    <w:rsid w:val="00EA44BE"/>
    <w:rsid w:val="00EA7FE6"/>
    <w:rsid w:val="00EB12F4"/>
    <w:rsid w:val="00EF76D8"/>
    <w:rsid w:val="00F03535"/>
    <w:rsid w:val="00F04621"/>
    <w:rsid w:val="00F36E50"/>
    <w:rsid w:val="00F4313C"/>
    <w:rsid w:val="00F7570B"/>
    <w:rsid w:val="00FA52AF"/>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8E6D"/>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 w:type="paragraph" w:styleId="FormtovanvHTML">
    <w:name w:val="HTML Preformatted"/>
    <w:basedOn w:val="Normln"/>
    <w:link w:val="FormtovanvHTMLChar"/>
    <w:uiPriority w:val="99"/>
    <w:unhideWhenUsed/>
    <w:rsid w:val="005D0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FormtovanvHTMLChar">
    <w:name w:val="Formátovaný v HTML Char"/>
    <w:basedOn w:val="Standardnpsmoodstavce"/>
    <w:link w:val="FormtovanvHTML"/>
    <w:uiPriority w:val="99"/>
    <w:rsid w:val="005D0DCF"/>
    <w:rPr>
      <w:rFonts w:ascii="Courier New" w:eastAsia="Times New Roman" w:hAnsi="Courier New" w:cs="Courier New"/>
      <w:lang w:val="en-US" w:eastAsia="en-US"/>
    </w:rPr>
  </w:style>
  <w:style w:type="character" w:customStyle="1" w:styleId="y2iqfc">
    <w:name w:val="y2iqfc"/>
    <w:basedOn w:val="Standardnpsmoodstavce"/>
    <w:rsid w:val="005D0DCF"/>
  </w:style>
  <w:style w:type="character" w:styleId="Nevyeenzmnka">
    <w:name w:val="Unresolved Mention"/>
    <w:basedOn w:val="Standardnpsmoodstavce"/>
    <w:uiPriority w:val="99"/>
    <w:semiHidden/>
    <w:unhideWhenUsed/>
    <w:rsid w:val="00337BB6"/>
    <w:rPr>
      <w:color w:val="605E5C"/>
      <w:shd w:val="clear" w:color="auto" w:fill="E1DFDD"/>
    </w:rPr>
  </w:style>
  <w:style w:type="paragraph" w:customStyle="1" w:styleId="xmsonormal">
    <w:name w:val="x_msonormal"/>
    <w:basedOn w:val="Normln"/>
    <w:rsid w:val="00337BB6"/>
    <w:pPr>
      <w:spacing w:before="100" w:beforeAutospacing="1" w:after="100" w:afterAutospacing="1"/>
    </w:pPr>
    <w:rPr>
      <w:rFonts w:ascii="Times New Roman" w:eastAsia="Times New Roman" w:hAnsi="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662469825">
      <w:bodyDiv w:val="1"/>
      <w:marLeft w:val="0"/>
      <w:marRight w:val="0"/>
      <w:marTop w:val="0"/>
      <w:marBottom w:val="0"/>
      <w:divBdr>
        <w:top w:val="none" w:sz="0" w:space="0" w:color="auto"/>
        <w:left w:val="none" w:sz="0" w:space="0" w:color="auto"/>
        <w:bottom w:val="none" w:sz="0" w:space="0" w:color="auto"/>
        <w:right w:val="none" w:sz="0" w:space="0" w:color="auto"/>
      </w:divBdr>
    </w:div>
    <w:div w:id="758143231">
      <w:bodyDiv w:val="1"/>
      <w:marLeft w:val="0"/>
      <w:marRight w:val="0"/>
      <w:marTop w:val="0"/>
      <w:marBottom w:val="0"/>
      <w:divBdr>
        <w:top w:val="none" w:sz="0" w:space="0" w:color="auto"/>
        <w:left w:val="none" w:sz="0" w:space="0" w:color="auto"/>
        <w:bottom w:val="none" w:sz="0" w:space="0" w:color="auto"/>
        <w:right w:val="none" w:sz="0" w:space="0" w:color="auto"/>
      </w:divBdr>
    </w:div>
    <w:div w:id="767115973">
      <w:bodyDiv w:val="1"/>
      <w:marLeft w:val="0"/>
      <w:marRight w:val="0"/>
      <w:marTop w:val="0"/>
      <w:marBottom w:val="0"/>
      <w:divBdr>
        <w:top w:val="none" w:sz="0" w:space="0" w:color="auto"/>
        <w:left w:val="none" w:sz="0" w:space="0" w:color="auto"/>
        <w:bottom w:val="none" w:sz="0" w:space="0" w:color="auto"/>
        <w:right w:val="none" w:sz="0" w:space="0" w:color="auto"/>
      </w:divBdr>
    </w:div>
    <w:div w:id="874729437">
      <w:bodyDiv w:val="1"/>
      <w:marLeft w:val="0"/>
      <w:marRight w:val="0"/>
      <w:marTop w:val="0"/>
      <w:marBottom w:val="0"/>
      <w:divBdr>
        <w:top w:val="none" w:sz="0" w:space="0" w:color="auto"/>
        <w:left w:val="none" w:sz="0" w:space="0" w:color="auto"/>
        <w:bottom w:val="none" w:sz="0" w:space="0" w:color="auto"/>
        <w:right w:val="none" w:sz="0" w:space="0" w:color="auto"/>
      </w:divBdr>
    </w:div>
    <w:div w:id="905187966">
      <w:bodyDiv w:val="1"/>
      <w:marLeft w:val="0"/>
      <w:marRight w:val="0"/>
      <w:marTop w:val="0"/>
      <w:marBottom w:val="0"/>
      <w:divBdr>
        <w:top w:val="none" w:sz="0" w:space="0" w:color="auto"/>
        <w:left w:val="none" w:sz="0" w:space="0" w:color="auto"/>
        <w:bottom w:val="none" w:sz="0" w:space="0" w:color="auto"/>
        <w:right w:val="none" w:sz="0" w:space="0" w:color="auto"/>
      </w:divBdr>
    </w:div>
    <w:div w:id="1013846800">
      <w:bodyDiv w:val="1"/>
      <w:marLeft w:val="0"/>
      <w:marRight w:val="0"/>
      <w:marTop w:val="0"/>
      <w:marBottom w:val="0"/>
      <w:divBdr>
        <w:top w:val="none" w:sz="0" w:space="0" w:color="auto"/>
        <w:left w:val="none" w:sz="0" w:space="0" w:color="auto"/>
        <w:bottom w:val="none" w:sz="0" w:space="0" w:color="auto"/>
        <w:right w:val="none" w:sz="0" w:space="0" w:color="auto"/>
      </w:divBdr>
    </w:div>
    <w:div w:id="1678999178">
      <w:bodyDiv w:val="1"/>
      <w:marLeft w:val="0"/>
      <w:marRight w:val="0"/>
      <w:marTop w:val="0"/>
      <w:marBottom w:val="0"/>
      <w:divBdr>
        <w:top w:val="none" w:sz="0" w:space="0" w:color="auto"/>
        <w:left w:val="none" w:sz="0" w:space="0" w:color="auto"/>
        <w:bottom w:val="none" w:sz="0" w:space="0" w:color="auto"/>
        <w:right w:val="none" w:sz="0" w:space="0" w:color="auto"/>
      </w:divBdr>
    </w:div>
    <w:div w:id="189026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_vana@mzv.cz" TargetMode="External"/><Relationship Id="rId13" Type="http://schemas.openxmlformats.org/officeDocument/2006/relationships/hyperlink" Target="mailto:commerce_hanoi@mzv.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bos.marek@mze.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tom_lukasov@mzv.cz" TargetMode="External"/><Relationship Id="rId5" Type="http://schemas.openxmlformats.org/officeDocument/2006/relationships/webSettings" Target="webSettings.xml"/><Relationship Id="rId15" Type="http://schemas.openxmlformats.org/officeDocument/2006/relationships/hyperlink" Target="https://www.grocerygazette.co.uk/2022/12/13/supermarket-shoppers-christmas/" TargetMode="External"/><Relationship Id="rId10" Type="http://schemas.openxmlformats.org/officeDocument/2006/relationships/hyperlink" Target="mailto:irena_leopoldova@mzv.cz" TargetMode="External"/><Relationship Id="rId4" Type="http://schemas.openxmlformats.org/officeDocument/2006/relationships/settings" Target="settings.xml"/><Relationship Id="rId9" Type="http://schemas.openxmlformats.org/officeDocument/2006/relationships/hyperlink" Target="mailto:lukas_zamrzla@mzv.cz" TargetMode="External"/><Relationship Id="rId14" Type="http://schemas.openxmlformats.org/officeDocument/2006/relationships/hyperlink" Target="mailto:uktrade@mze.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8C605D1-1501-4BF2-BEAD-8FE942EC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103</TotalTime>
  <Pages>1</Pages>
  <Words>2175</Words>
  <Characters>12837</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14983</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Hakobjan Ani</cp:lastModifiedBy>
  <cp:revision>5</cp:revision>
  <dcterms:created xsi:type="dcterms:W3CDTF">2022-12-16T14:35:00Z</dcterms:created>
  <dcterms:modified xsi:type="dcterms:W3CDTF">2022-12-16T14:56:00Z</dcterms:modified>
</cp:coreProperties>
</file>