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94D3C" w14:textId="520E56E1"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536674">
        <w:rPr>
          <w:rFonts w:ascii="Arial" w:hAnsi="Arial" w:cs="Arial"/>
          <w:noProof/>
        </w:rPr>
        <w:t>pátek 12. srpna 2022</w:t>
      </w:r>
      <w:r w:rsidR="00035FAD" w:rsidRPr="00937595">
        <w:rPr>
          <w:rFonts w:ascii="Arial" w:hAnsi="Arial" w:cs="Arial"/>
        </w:rPr>
        <w:fldChar w:fldCharType="end"/>
      </w:r>
    </w:p>
    <w:p w14:paraId="6C44A5ED"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209E589B" w14:textId="77777777"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5950F9CA" w14:textId="128B9E31" w:rsidR="00023FF9" w:rsidRPr="00023FF9" w:rsidRDefault="00D71800" w:rsidP="00023FF9">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535F5712" w14:textId="77777777" w:rsidR="002B7265" w:rsidRPr="002B7265" w:rsidRDefault="002B7265" w:rsidP="002B7265">
      <w:pPr>
        <w:pStyle w:val="Nadpis3"/>
      </w:pPr>
      <w:r w:rsidRPr="002B7265">
        <w:t>Stabilní čínská poptávka po hovězím, horší pozice skopového</w:t>
      </w:r>
    </w:p>
    <w:p w14:paraId="36EAC9E3" w14:textId="77777777" w:rsidR="002B7265" w:rsidRDefault="002B7265" w:rsidP="002B7265">
      <w:pPr>
        <w:spacing w:line="276" w:lineRule="auto"/>
        <w:jc w:val="both"/>
        <w:rPr>
          <w:rFonts w:cs="Arial"/>
        </w:rPr>
      </w:pPr>
    </w:p>
    <w:p w14:paraId="0B9C3A1D" w14:textId="04B53625" w:rsidR="002B7265" w:rsidRDefault="002B7265" w:rsidP="002B7265">
      <w:pPr>
        <w:spacing w:line="276" w:lineRule="auto"/>
        <w:jc w:val="both"/>
        <w:rPr>
          <w:rFonts w:cs="Arial"/>
        </w:rPr>
      </w:pPr>
      <w:r>
        <w:rPr>
          <w:rFonts w:cs="Arial"/>
        </w:rPr>
        <w:t>Dle údajů zpravodajského webu The Cattle Site</w:t>
      </w:r>
      <w:r w:rsidRPr="00D42545">
        <w:rPr>
          <w:rFonts w:cs="Arial"/>
        </w:rPr>
        <w:t xml:space="preserve"> </w:t>
      </w:r>
      <w:r>
        <w:rPr>
          <w:rFonts w:cs="Arial"/>
        </w:rPr>
        <w:t>importovala Čína během první poloviny letošního roku 3,5 milionu metrických tun masa, ve srovnání s prvním pololetím minulého roku se jedná téměř o 32% propad. Důvodem jsou zejména nižší dovozy vepřového masa.</w:t>
      </w:r>
    </w:p>
    <w:p w14:paraId="036E2595" w14:textId="77777777" w:rsidR="002B7265" w:rsidRDefault="002B7265" w:rsidP="002B7265">
      <w:pPr>
        <w:spacing w:line="276" w:lineRule="auto"/>
        <w:jc w:val="both"/>
        <w:rPr>
          <w:rFonts w:cs="Arial"/>
        </w:rPr>
      </w:pPr>
      <w:r>
        <w:rPr>
          <w:rFonts w:cs="Arial"/>
        </w:rPr>
        <w:t>Analytička Rabobank, Chenjun Pan, zabývající se živočišnými proteiny v nedávném podcastu uvedla, že do konce letošního roku očekává v Číně stabilní poptávku po hovězím a nižší poptávku po skopovém. Oba zdroje proteinů získaly u čínských spotřebitelů během posledních let na popularitě díky nižší nabídce vepřového zapříčiněné epidemií afrického moru prasat, která vyhnala jeho ceny do nevídaných výšin. Australské ministerstvo zemědělství však uvádí, že i v roce 2021, kdy ceny vepřového na čínském trhu klesly, dosáhla spotřeba hovězího vyšší úrovně než v roce 2020.</w:t>
      </w:r>
    </w:p>
    <w:p w14:paraId="33A47DB3" w14:textId="5A2FE447" w:rsidR="002B7265" w:rsidRPr="000A145E" w:rsidRDefault="002B7265" w:rsidP="002B7265">
      <w:pPr>
        <w:spacing w:line="276" w:lineRule="auto"/>
        <w:jc w:val="both"/>
        <w:rPr>
          <w:rFonts w:cs="Arial"/>
        </w:rPr>
      </w:pPr>
      <w:r>
        <w:rPr>
          <w:rFonts w:cs="Arial"/>
        </w:rPr>
        <w:t xml:space="preserve">Paní Chenjun Pan dává změny ve spotřebitelském chování promítající se do poptávky </w:t>
      </w:r>
      <w:r>
        <w:rPr>
          <w:rFonts w:cs="Arial"/>
        </w:rPr>
        <w:br/>
        <w:t>po jednotlivých druzích masa do souvislosti s přetrvávajícími čínskými lockdowny a dalšími přísnými protiepidemickými opatřeními, které mají negativní vliv na sektor stravovacích služeb. Tato situace naopak nahrává maloobchodním prodejům, rozvozu jídla a prodejům předpřipravených jídel. Zatímco spotřeba skopového je ve větší míře závislá na sektoru stravovacích služeb, hovězí si bylo schopné zajistit i jiné prodejní kanály. Skopové je zároveň více provázáno s prémiovými stravovacími službami, na jeho poptávku tedy může silněji dopadnout ochlazování čínské ekonomiky. Čínský dovoz hovězího v první půli letošního roku meziročně vzrostl o 2 %.</w:t>
      </w:r>
    </w:p>
    <w:p w14:paraId="21BA5756" w14:textId="77777777" w:rsidR="002B7265" w:rsidRPr="002B7265" w:rsidRDefault="002B7265" w:rsidP="002B7265"/>
    <w:p w14:paraId="2CBCD91E" w14:textId="77777777" w:rsidR="00A519C7" w:rsidRPr="00A519C7" w:rsidRDefault="00A519C7" w:rsidP="00A519C7">
      <w:pPr>
        <w:keepNext/>
        <w:pBdr>
          <w:top w:val="single" w:sz="4" w:space="1" w:color="auto"/>
          <w:left w:val="single" w:sz="4" w:space="4" w:color="auto"/>
          <w:bottom w:val="single" w:sz="4" w:space="1" w:color="auto"/>
          <w:right w:val="single" w:sz="4" w:space="4" w:color="auto"/>
        </w:pBdr>
        <w:spacing w:before="240" w:after="60" w:line="276" w:lineRule="auto"/>
        <w:jc w:val="both"/>
        <w:outlineLvl w:val="3"/>
        <w:rPr>
          <w:rFonts w:eastAsiaTheme="minorEastAsia" w:cs="Arial"/>
          <w:b/>
          <w:bCs/>
          <w:sz w:val="28"/>
          <w:szCs w:val="28"/>
        </w:rPr>
      </w:pPr>
      <w:r w:rsidRPr="00A519C7">
        <w:rPr>
          <w:rFonts w:eastAsiaTheme="minorEastAsia" w:cs="Arial"/>
          <w:b/>
          <w:bCs/>
          <w:sz w:val="28"/>
          <w:szCs w:val="28"/>
        </w:rPr>
        <w:t>SRBSKO</w:t>
      </w:r>
    </w:p>
    <w:p w14:paraId="63E21276" w14:textId="77777777" w:rsidR="00A519C7" w:rsidRPr="00A519C7" w:rsidRDefault="00A519C7" w:rsidP="00A519C7">
      <w:pPr>
        <w:pBdr>
          <w:top w:val="single" w:sz="4" w:space="1" w:color="auto"/>
          <w:left w:val="single" w:sz="4" w:space="4" w:color="auto"/>
          <w:bottom w:val="single" w:sz="4" w:space="1" w:color="auto"/>
          <w:right w:val="single" w:sz="4" w:space="4" w:color="auto"/>
        </w:pBdr>
        <w:spacing w:line="276" w:lineRule="auto"/>
        <w:jc w:val="both"/>
        <w:rPr>
          <w:rFonts w:cs="Arial"/>
        </w:rPr>
      </w:pPr>
      <w:r w:rsidRPr="00A519C7">
        <w:rPr>
          <w:rFonts w:cs="Arial"/>
        </w:rPr>
        <w:t xml:space="preserve">Vladimír Váňa, Zemědělský diplomat, velvyslanectví ČR v Bělehradě </w:t>
      </w:r>
    </w:p>
    <w:p w14:paraId="72EB2C67" w14:textId="7D03A5A0" w:rsidR="00A519C7" w:rsidRPr="00A519C7" w:rsidRDefault="00AF519C" w:rsidP="00A519C7">
      <w:pPr>
        <w:pBdr>
          <w:top w:val="single" w:sz="4" w:space="1" w:color="auto"/>
          <w:left w:val="single" w:sz="4" w:space="4" w:color="auto"/>
          <w:bottom w:val="single" w:sz="4" w:space="1" w:color="auto"/>
          <w:right w:val="single" w:sz="4" w:space="4" w:color="auto"/>
        </w:pBdr>
        <w:spacing w:line="276" w:lineRule="auto"/>
        <w:jc w:val="both"/>
        <w:rPr>
          <w:rFonts w:cs="Arial"/>
        </w:rPr>
      </w:pPr>
      <w:r w:rsidRPr="00A519C7">
        <w:rPr>
          <w:rFonts w:cs="Arial"/>
        </w:rPr>
        <w:t>Mob.: +</w:t>
      </w:r>
      <w:r w:rsidR="00A519C7" w:rsidRPr="00A519C7">
        <w:rPr>
          <w:rFonts w:cs="Arial"/>
        </w:rPr>
        <w:t xml:space="preserve">381 63 388931, e-mail: </w:t>
      </w:r>
      <w:hyperlink r:id="rId9" w:history="1">
        <w:r w:rsidR="00A519C7" w:rsidRPr="00A519C7">
          <w:rPr>
            <w:rFonts w:cs="Arial"/>
            <w:color w:val="0000FF"/>
            <w:u w:val="single"/>
          </w:rPr>
          <w:t>vladimir_vana@mzv.cz</w:t>
        </w:r>
      </w:hyperlink>
      <w:r w:rsidR="00A519C7" w:rsidRPr="00A519C7">
        <w:rPr>
          <w:rFonts w:cs="Arial"/>
        </w:rPr>
        <w:t xml:space="preserve"> </w:t>
      </w:r>
    </w:p>
    <w:p w14:paraId="46500080" w14:textId="54FB4B13" w:rsidR="00A51E70" w:rsidRPr="00FF4B1F" w:rsidRDefault="00A51E70" w:rsidP="00A51E70">
      <w:pPr>
        <w:pStyle w:val="Nadpis3"/>
        <w:rPr>
          <w:rFonts w:ascii="Arial" w:hAnsi="Arial" w:cs="Arial"/>
          <w:b w:val="0"/>
        </w:rPr>
      </w:pPr>
      <w:r w:rsidRPr="00A51E70">
        <w:t>SRBSKO – v rámci projektu Open Balkan organizuje mezinárodní výstavu vína</w:t>
      </w:r>
    </w:p>
    <w:p w14:paraId="41ED6595" w14:textId="77777777" w:rsidR="00A51E70" w:rsidRDefault="00A51E70" w:rsidP="00A51E70">
      <w:pPr>
        <w:pStyle w:val="Bezmezer"/>
        <w:jc w:val="both"/>
        <w:rPr>
          <w:rFonts w:ascii="Arial" w:hAnsi="Arial" w:cs="Arial"/>
        </w:rPr>
      </w:pPr>
    </w:p>
    <w:p w14:paraId="5ECCE92C" w14:textId="196690C5" w:rsidR="00A51E70" w:rsidRDefault="00A51E70" w:rsidP="006F5BC1">
      <w:pPr>
        <w:pStyle w:val="Bezmezer"/>
        <w:spacing w:line="276" w:lineRule="auto"/>
        <w:jc w:val="both"/>
        <w:rPr>
          <w:rFonts w:ascii="Arial" w:hAnsi="Arial" w:cs="Arial"/>
        </w:rPr>
      </w:pPr>
      <w:r>
        <w:rPr>
          <w:rFonts w:ascii="Arial" w:hAnsi="Arial" w:cs="Arial"/>
        </w:rPr>
        <w:t xml:space="preserve">Ve dnech 1. - 4. září 2022 se v Bělehradě bude konat první mezinárodní výstava vína s účastí vinařů ze všech tří zemí, které se zatím připojily k iniciativě Open Balkan. Kromě Srbska se jedná o Severní Makedonii a také Albánii. Na bělehradském výstavišti „Sajam Beograd“ se, podle informací deníku „Politika“, představí kolem 400 vinařství z uvedených zemí. Více než 200 jich bude jenom ze Srbska. Pozvána je také řada odborníků na víno z celého světa a 25 zahraničních hodnotitelů vína; mezi nimi i Caroline Gilby z prestižního časopisu Decanter. Velvyslanectví Srbska v České republice rovněž pozvalo k návštěvě této prestižní akce několik českých společností, které se zabývají obchodem s vínem. Protože se výstavy budou účastnit všechna nejdůležitější vinařství ze Srbska, Severní Makedonie a také Albánie, je tato akce příležitostí seznámit se s aktuálním stavem vinařství ve zmíněných zemích a také navázat nové obchodní kontakty. Podle údajů Českého statistického úřadu se do České republiky z uvedených zemí dovážejí především vína ze Severní Makedonie. Za loňský rok bylo z této </w:t>
      </w:r>
      <w:r>
        <w:rPr>
          <w:rFonts w:ascii="Arial" w:hAnsi="Arial" w:cs="Arial"/>
        </w:rPr>
        <w:lastRenderedPageBreak/>
        <w:t xml:space="preserve">země do ČR dovezeno necelých 427 tun vína za skoro 8 miliónů Kč a jen za prvních šest měsíců tohoto roku už to bylo 703 tun vína za více než 11 miliónů Kč. Ze Srbska bylo za rok 2021 do České republiky dovezeno jen 3,6 tun vína za 401 tisíc Kč a za prvních šest měsíců letošního roku jen 834 kg za 225 tisíc Kč. Albánská vína se na český trh zatím nedovážejí vůbec. Výstava je tak příležitostí poznat nová vinařství. Především v Srbsku vinařský sektor v posledních deseti letech prošel mohutným vývojem a je zde řada kvalitních vinařství. Na výstavě se podle informací z Hospodářské komory Srbska představí také některé domácí destilérky se svými ovocnými destiláty. Kromě toho by na výstavě měli být přítomni i místní srbští výrobci sýrů a producenti masných specialit, tedy výrobků, jež se často konzumují s dobrým vínem. Výstava může být příležitostí nejen pro české obchodníky s vínem, </w:t>
      </w:r>
      <w:r w:rsidR="004C3951">
        <w:rPr>
          <w:rFonts w:ascii="Arial" w:hAnsi="Arial" w:cs="Arial"/>
        </w:rPr>
        <w:br/>
      </w:r>
      <w:r>
        <w:rPr>
          <w:rFonts w:ascii="Arial" w:hAnsi="Arial" w:cs="Arial"/>
        </w:rPr>
        <w:t>ale i pro české společnosti, které dodávají různé vybavení pro vinaře a které zde můžou oslovit zástupce z různých vinařství.</w:t>
      </w:r>
    </w:p>
    <w:p w14:paraId="761A3671" w14:textId="477C0CF1" w:rsidR="00A51E70" w:rsidRPr="00A51E70" w:rsidRDefault="00A51E70" w:rsidP="00A51E70">
      <w:pPr>
        <w:pStyle w:val="Nadpis3"/>
      </w:pPr>
      <w:r w:rsidRPr="00A51E70">
        <w:t>SRBSKO – dojednalo se Saudskou Arábií podmínky vývozu svého masa a mléčných výrobků</w:t>
      </w:r>
    </w:p>
    <w:p w14:paraId="66A777BF" w14:textId="77777777" w:rsidR="00A51E70" w:rsidRPr="004C0458" w:rsidRDefault="00A51E70" w:rsidP="00A51E70">
      <w:pPr>
        <w:pStyle w:val="Bezmezer"/>
        <w:rPr>
          <w:rFonts w:ascii="Arial" w:hAnsi="Arial" w:cs="Arial"/>
          <w:b/>
        </w:rPr>
      </w:pPr>
    </w:p>
    <w:p w14:paraId="41A9CD67" w14:textId="127E7BF8" w:rsidR="00A51E70" w:rsidRPr="00A26E0F" w:rsidRDefault="00A51E70" w:rsidP="00A51E70">
      <w:pPr>
        <w:pStyle w:val="Bezmezer"/>
        <w:spacing w:line="276" w:lineRule="auto"/>
        <w:jc w:val="both"/>
        <w:rPr>
          <w:rFonts w:ascii="Arial" w:hAnsi="Arial" w:cs="Arial"/>
        </w:rPr>
      </w:pPr>
      <w:r>
        <w:rPr>
          <w:rFonts w:ascii="Arial" w:hAnsi="Arial" w:cs="Arial"/>
        </w:rPr>
        <w:t xml:space="preserve">Podle informací srbského tisku a také oficiální zprávy srbského Ministerstva zemědělství, lesnictví a vodního hospodářství se v těchto dnech Srbsku podařilo se Saudskou Arábií odsouhlasit podmínky a patřičné veterinární certifikáty na vývoz srbského masa a mléčných výrobků do této země. Doposud Srbsko do Saudské Arábie vyváželo jen ovoce a to především jablka. Nyní může vyvážet i hovězí maso a mléko a mléčné výrobky. Je však otázkou nakolik budou srbské společnosti schopny tuto situaci využít, protože v posledních letech se v Srbsku výrazně snížily stavy skotu, a to jak masného, tak mléčného. Situaci způsobily především narůstající náklady na krmiva a nízké výkupní ceny mléka. Pokud se však dodávky na lukrativní arabský trh rozběhnou, lze očekávat, že srbští farmáři budou navyšovat početní stavy svých </w:t>
      </w:r>
      <w:r w:rsidR="006F5BC1">
        <w:rPr>
          <w:rFonts w:ascii="Arial" w:hAnsi="Arial" w:cs="Arial"/>
        </w:rPr>
        <w:t>stád,</w:t>
      </w:r>
      <w:r>
        <w:rPr>
          <w:rFonts w:ascii="Arial" w:hAnsi="Arial" w:cs="Arial"/>
        </w:rPr>
        <w:t xml:space="preserve"> a to povede ke zvýšené poptávce po dovozu jalovic, genetického materiálu a zástavového skotu z dalších evropských zemí. Zde by mohla být příležitost i pro české chovatele skotu jak masného, tak mléčného, jejichž kvalita má i díky mnohaleté podpoře </w:t>
      </w:r>
      <w:r w:rsidR="004C3951">
        <w:rPr>
          <w:rFonts w:ascii="Arial" w:hAnsi="Arial" w:cs="Arial"/>
        </w:rPr>
        <w:br/>
      </w:r>
      <w:r>
        <w:rPr>
          <w:rFonts w:ascii="Arial" w:hAnsi="Arial" w:cs="Arial"/>
        </w:rPr>
        <w:t>ze strany českého Ministerstva zemědělství v Srbsku velmi dobé jméno.</w:t>
      </w:r>
    </w:p>
    <w:p w14:paraId="43E2F01C" w14:textId="77777777" w:rsidR="007765B1" w:rsidRPr="000A145E" w:rsidRDefault="007765B1" w:rsidP="007765B1">
      <w:pPr>
        <w:spacing w:line="276" w:lineRule="auto"/>
        <w:jc w:val="both"/>
        <w:rPr>
          <w:rFonts w:cs="Arial"/>
        </w:rPr>
      </w:pPr>
    </w:p>
    <w:p w14:paraId="74223A49" w14:textId="19FB18EE" w:rsidR="007765B1" w:rsidRPr="00A519C7" w:rsidRDefault="007765B1" w:rsidP="007765B1">
      <w:pPr>
        <w:keepNext/>
        <w:pBdr>
          <w:top w:val="single" w:sz="4" w:space="1" w:color="auto"/>
          <w:left w:val="single" w:sz="4" w:space="4" w:color="auto"/>
          <w:bottom w:val="single" w:sz="4" w:space="1" w:color="auto"/>
          <w:right w:val="single" w:sz="4" w:space="4" w:color="auto"/>
        </w:pBdr>
        <w:spacing w:before="240" w:after="60" w:line="276" w:lineRule="auto"/>
        <w:jc w:val="both"/>
        <w:outlineLvl w:val="3"/>
        <w:rPr>
          <w:rFonts w:eastAsiaTheme="minorEastAsia" w:cs="Arial"/>
          <w:b/>
          <w:bCs/>
          <w:sz w:val="28"/>
          <w:szCs w:val="28"/>
        </w:rPr>
      </w:pPr>
      <w:r>
        <w:rPr>
          <w:rFonts w:eastAsiaTheme="minorEastAsia" w:cs="Arial"/>
          <w:b/>
          <w:bCs/>
          <w:sz w:val="28"/>
          <w:szCs w:val="28"/>
        </w:rPr>
        <w:t>SAE</w:t>
      </w:r>
    </w:p>
    <w:p w14:paraId="6022F3BC" w14:textId="12C2360F" w:rsidR="007765B1" w:rsidRPr="00A519C7" w:rsidRDefault="007765B1" w:rsidP="007765B1">
      <w:pPr>
        <w:pBdr>
          <w:top w:val="single" w:sz="4" w:space="1" w:color="auto"/>
          <w:left w:val="single" w:sz="4" w:space="4" w:color="auto"/>
          <w:bottom w:val="single" w:sz="4" w:space="1" w:color="auto"/>
          <w:right w:val="single" w:sz="4" w:space="4" w:color="auto"/>
        </w:pBdr>
        <w:spacing w:line="276" w:lineRule="auto"/>
        <w:jc w:val="both"/>
        <w:rPr>
          <w:rFonts w:cs="Arial"/>
        </w:rPr>
      </w:pPr>
      <w:r w:rsidRPr="007765B1">
        <w:rPr>
          <w:rFonts w:cs="Arial"/>
        </w:rPr>
        <w:t>Lukáš Zamrzla</w:t>
      </w:r>
      <w:r w:rsidRPr="00A519C7">
        <w:rPr>
          <w:rFonts w:cs="Arial"/>
        </w:rPr>
        <w:t xml:space="preserve">, </w:t>
      </w:r>
      <w:r w:rsidRPr="007765B1">
        <w:rPr>
          <w:rFonts w:cs="Arial"/>
        </w:rPr>
        <w:t>zemědělský diplomat velvyslanectví ČR v Abú Dhabí</w:t>
      </w:r>
    </w:p>
    <w:p w14:paraId="392C45F8" w14:textId="4D214DA7" w:rsidR="007765B1" w:rsidRPr="00A519C7" w:rsidRDefault="007765B1" w:rsidP="007765B1">
      <w:pPr>
        <w:pBdr>
          <w:top w:val="single" w:sz="4" w:space="1" w:color="auto"/>
          <w:left w:val="single" w:sz="4" w:space="4" w:color="auto"/>
          <w:bottom w:val="single" w:sz="4" w:space="1" w:color="auto"/>
          <w:right w:val="single" w:sz="4" w:space="4" w:color="auto"/>
        </w:pBdr>
        <w:spacing w:line="276" w:lineRule="auto"/>
        <w:jc w:val="both"/>
        <w:rPr>
          <w:rFonts w:cs="Arial"/>
        </w:rPr>
      </w:pPr>
      <w:r w:rsidRPr="00A519C7">
        <w:rPr>
          <w:rFonts w:cs="Arial"/>
        </w:rPr>
        <w:t>Mob</w:t>
      </w:r>
      <w:r>
        <w:rPr>
          <w:rFonts w:cs="Arial"/>
        </w:rPr>
        <w:t xml:space="preserve">.: </w:t>
      </w:r>
      <w:r w:rsidRPr="007765B1">
        <w:rPr>
          <w:rFonts w:cs="Arial"/>
        </w:rPr>
        <w:t>+971 502 309 663</w:t>
      </w:r>
      <w:r w:rsidRPr="00A519C7">
        <w:rPr>
          <w:rFonts w:cs="Arial"/>
        </w:rPr>
        <w:t xml:space="preserve">, </w:t>
      </w:r>
      <w:r w:rsidRPr="007765B1">
        <w:rPr>
          <w:rFonts w:cs="Arial"/>
        </w:rPr>
        <w:t>Mob</w:t>
      </w:r>
      <w:r>
        <w:rPr>
          <w:rFonts w:cs="Arial"/>
        </w:rPr>
        <w:t xml:space="preserve">.: ČR </w:t>
      </w:r>
      <w:r w:rsidRPr="007765B1">
        <w:rPr>
          <w:rFonts w:cs="Arial"/>
        </w:rPr>
        <w:t>+420 602 768</w:t>
      </w:r>
      <w:r>
        <w:rPr>
          <w:rFonts w:cs="Arial"/>
        </w:rPr>
        <w:t> </w:t>
      </w:r>
      <w:r w:rsidRPr="007765B1">
        <w:rPr>
          <w:rFonts w:cs="Arial"/>
        </w:rPr>
        <w:t>207</w:t>
      </w:r>
      <w:r>
        <w:rPr>
          <w:rFonts w:cs="Arial"/>
        </w:rPr>
        <w:t xml:space="preserve">, e-mail: </w:t>
      </w:r>
      <w:hyperlink r:id="rId10" w:history="1">
        <w:r w:rsidRPr="0054494E">
          <w:rPr>
            <w:rStyle w:val="Hypertextovodkaz"/>
            <w:rFonts w:cs="Arial"/>
          </w:rPr>
          <w:t>lukas_zamrzla@mzv.cz</w:t>
        </w:r>
      </w:hyperlink>
      <w:r>
        <w:rPr>
          <w:rFonts w:cs="Arial"/>
        </w:rPr>
        <w:t xml:space="preserve"> </w:t>
      </w:r>
    </w:p>
    <w:p w14:paraId="008F0415" w14:textId="73C6A660" w:rsidR="00CD21C3" w:rsidRPr="00CD21C3" w:rsidRDefault="00CD21C3" w:rsidP="00CD21C3">
      <w:pPr>
        <w:pStyle w:val="Nadpis3"/>
      </w:pPr>
      <w:r w:rsidRPr="00CD21C3">
        <w:t>Ekologické obalové materiály v Spojených arabských emirátech na vzestupu</w:t>
      </w:r>
    </w:p>
    <w:p w14:paraId="37D156FE" w14:textId="77777777" w:rsidR="00CD21C3" w:rsidRDefault="00CD21C3" w:rsidP="00CD21C3">
      <w:pPr>
        <w:spacing w:line="276" w:lineRule="auto"/>
        <w:jc w:val="both"/>
        <w:rPr>
          <w:rFonts w:cs="Arial"/>
        </w:rPr>
      </w:pPr>
    </w:p>
    <w:p w14:paraId="099C4325" w14:textId="6E43BDB2" w:rsidR="00CD21C3" w:rsidRPr="008B4551" w:rsidRDefault="00CD21C3" w:rsidP="00CD21C3">
      <w:pPr>
        <w:spacing w:line="276" w:lineRule="auto"/>
        <w:jc w:val="both"/>
        <w:rPr>
          <w:rFonts w:cs="Arial"/>
        </w:rPr>
      </w:pPr>
      <w:r w:rsidRPr="008B4551">
        <w:rPr>
          <w:rFonts w:cs="Arial"/>
        </w:rPr>
        <w:t xml:space="preserve">Řešení ekologické stopy a používání jednorázových </w:t>
      </w:r>
      <w:r>
        <w:rPr>
          <w:rFonts w:cs="Arial"/>
        </w:rPr>
        <w:t xml:space="preserve">plastových </w:t>
      </w:r>
      <w:r w:rsidRPr="008B4551">
        <w:rPr>
          <w:rFonts w:cs="Arial"/>
        </w:rPr>
        <w:t>obal</w:t>
      </w:r>
      <w:r>
        <w:rPr>
          <w:rFonts w:cs="Arial"/>
        </w:rPr>
        <w:t xml:space="preserve">ů je řadu let celosvětovým </w:t>
      </w:r>
      <w:r w:rsidRPr="008B4551">
        <w:rPr>
          <w:rFonts w:cs="Arial"/>
        </w:rPr>
        <w:t>téma</w:t>
      </w:r>
      <w:r>
        <w:rPr>
          <w:rFonts w:cs="Arial"/>
        </w:rPr>
        <w:t xml:space="preserve">tem, nicméně </w:t>
      </w:r>
      <w:r w:rsidRPr="008B4551">
        <w:rPr>
          <w:rFonts w:cs="Arial"/>
        </w:rPr>
        <w:t>přístup</w:t>
      </w:r>
      <w:r>
        <w:rPr>
          <w:rFonts w:cs="Arial"/>
        </w:rPr>
        <w:t xml:space="preserve"> k</w:t>
      </w:r>
      <w:r w:rsidRPr="008B4551">
        <w:rPr>
          <w:rFonts w:cs="Arial"/>
        </w:rPr>
        <w:t xml:space="preserve"> </w:t>
      </w:r>
      <w:r>
        <w:rPr>
          <w:rFonts w:cs="Arial"/>
        </w:rPr>
        <w:t>dané</w:t>
      </w:r>
      <w:r w:rsidRPr="008B4551">
        <w:rPr>
          <w:rFonts w:cs="Arial"/>
        </w:rPr>
        <w:t xml:space="preserve"> problematice </w:t>
      </w:r>
      <w:r>
        <w:rPr>
          <w:rFonts w:cs="Arial"/>
        </w:rPr>
        <w:t>je v mnoha</w:t>
      </w:r>
      <w:r w:rsidRPr="008B4551">
        <w:rPr>
          <w:rFonts w:cs="Arial"/>
        </w:rPr>
        <w:t xml:space="preserve"> zemí</w:t>
      </w:r>
      <w:r>
        <w:rPr>
          <w:rFonts w:cs="Arial"/>
        </w:rPr>
        <w:t>ch</w:t>
      </w:r>
      <w:r w:rsidRPr="008B4551">
        <w:rPr>
          <w:rFonts w:cs="Arial"/>
        </w:rPr>
        <w:t xml:space="preserve"> ne</w:t>
      </w:r>
      <w:r>
        <w:rPr>
          <w:rFonts w:cs="Arial"/>
        </w:rPr>
        <w:t>dostatečný</w:t>
      </w:r>
      <w:r w:rsidRPr="008B4551">
        <w:rPr>
          <w:rFonts w:cs="Arial"/>
        </w:rPr>
        <w:t xml:space="preserve">. </w:t>
      </w:r>
      <w:r>
        <w:rPr>
          <w:rFonts w:cs="Arial"/>
        </w:rPr>
        <w:t>O</w:t>
      </w:r>
      <w:r w:rsidRPr="008B4551">
        <w:rPr>
          <w:rFonts w:cs="Arial"/>
        </w:rPr>
        <w:t>d letošního</w:t>
      </w:r>
      <w:r>
        <w:rPr>
          <w:rFonts w:cs="Arial"/>
        </w:rPr>
        <w:t xml:space="preserve"> léta</w:t>
      </w:r>
      <w:r w:rsidRPr="008B4551">
        <w:rPr>
          <w:rFonts w:cs="Arial"/>
        </w:rPr>
        <w:t xml:space="preserve"> zavádí emirát Abú Dhabí úplný zákaz jednorázových tašek v</w:t>
      </w:r>
      <w:r>
        <w:rPr>
          <w:rFonts w:cs="Arial"/>
        </w:rPr>
        <w:t> </w:t>
      </w:r>
      <w:r w:rsidRPr="008B4551">
        <w:rPr>
          <w:rFonts w:cs="Arial"/>
        </w:rPr>
        <w:t>supermarketec</w:t>
      </w:r>
      <w:r>
        <w:rPr>
          <w:rFonts w:cs="Arial"/>
        </w:rPr>
        <w:t>h a zákazníci mají možnost zakoupit pouze ty z ekologických materiálů</w:t>
      </w:r>
      <w:r w:rsidRPr="008B4551">
        <w:rPr>
          <w:rFonts w:cs="Arial"/>
        </w:rPr>
        <w:t>. Jelikož</w:t>
      </w:r>
      <w:r>
        <w:rPr>
          <w:rFonts w:cs="Arial"/>
        </w:rPr>
        <w:t xml:space="preserve"> spotřeba vody a</w:t>
      </w:r>
      <w:r w:rsidRPr="008B4551">
        <w:rPr>
          <w:rFonts w:cs="Arial"/>
        </w:rPr>
        <w:t xml:space="preserve"> jednorázových</w:t>
      </w:r>
      <w:r>
        <w:rPr>
          <w:rFonts w:cs="Arial"/>
        </w:rPr>
        <w:t xml:space="preserve"> obalů</w:t>
      </w:r>
      <w:r w:rsidRPr="008B4551">
        <w:rPr>
          <w:rFonts w:cs="Arial"/>
        </w:rPr>
        <w:t xml:space="preserve"> je v</w:t>
      </w:r>
      <w:r>
        <w:rPr>
          <w:rFonts w:cs="Arial"/>
        </w:rPr>
        <w:t> </w:t>
      </w:r>
      <w:r w:rsidRPr="008B4551">
        <w:rPr>
          <w:rFonts w:cs="Arial"/>
        </w:rPr>
        <w:t>celém regionu extrémní</w:t>
      </w:r>
      <w:r>
        <w:rPr>
          <w:rFonts w:cs="Arial"/>
        </w:rPr>
        <w:t>,</w:t>
      </w:r>
      <w:r w:rsidRPr="008B4551">
        <w:rPr>
          <w:rFonts w:cs="Arial"/>
        </w:rPr>
        <w:t xml:space="preserve"> </w:t>
      </w:r>
      <w:r>
        <w:rPr>
          <w:rFonts w:cs="Arial"/>
        </w:rPr>
        <w:t>jde</w:t>
      </w:r>
      <w:r w:rsidRPr="008B4551">
        <w:rPr>
          <w:rFonts w:cs="Arial"/>
        </w:rPr>
        <w:t xml:space="preserve"> o</w:t>
      </w:r>
      <w:r>
        <w:rPr>
          <w:rFonts w:cs="Arial"/>
        </w:rPr>
        <w:t xml:space="preserve"> poměrně významnou regulaci</w:t>
      </w:r>
      <w:r w:rsidRPr="008B4551">
        <w:rPr>
          <w:rFonts w:cs="Arial"/>
        </w:rPr>
        <w:t>.</w:t>
      </w:r>
    </w:p>
    <w:p w14:paraId="4AC887AE" w14:textId="77777777" w:rsidR="00CD21C3" w:rsidRDefault="00CD21C3" w:rsidP="00CD21C3">
      <w:pPr>
        <w:spacing w:line="276" w:lineRule="auto"/>
        <w:jc w:val="both"/>
        <w:rPr>
          <w:rFonts w:cs="Arial"/>
        </w:rPr>
      </w:pPr>
      <w:r>
        <w:rPr>
          <w:rFonts w:cs="Arial"/>
        </w:rPr>
        <w:t>Podobný trend</w:t>
      </w:r>
      <w:r w:rsidRPr="008B4551">
        <w:rPr>
          <w:rFonts w:cs="Arial"/>
        </w:rPr>
        <w:t xml:space="preserve"> lze</w:t>
      </w:r>
      <w:r>
        <w:rPr>
          <w:rFonts w:cs="Arial"/>
        </w:rPr>
        <w:t xml:space="preserve"> </w:t>
      </w:r>
      <w:r w:rsidRPr="008B4551">
        <w:rPr>
          <w:rFonts w:cs="Arial"/>
        </w:rPr>
        <w:t>v</w:t>
      </w:r>
      <w:r>
        <w:rPr>
          <w:rFonts w:cs="Arial"/>
        </w:rPr>
        <w:t xml:space="preserve"> SAE </w:t>
      </w:r>
      <w:r w:rsidRPr="008B4551">
        <w:rPr>
          <w:rFonts w:cs="Arial"/>
        </w:rPr>
        <w:t>vidět</w:t>
      </w:r>
      <w:r>
        <w:rPr>
          <w:rFonts w:cs="Arial"/>
        </w:rPr>
        <w:t xml:space="preserve"> v</w:t>
      </w:r>
      <w:r w:rsidRPr="008B4551">
        <w:rPr>
          <w:rFonts w:cs="Arial"/>
        </w:rPr>
        <w:t xml:space="preserve"> mnoha </w:t>
      </w:r>
      <w:r>
        <w:rPr>
          <w:rFonts w:cs="Arial"/>
        </w:rPr>
        <w:t>podobách</w:t>
      </w:r>
      <w:r w:rsidRPr="008B4551">
        <w:rPr>
          <w:rFonts w:cs="Arial"/>
        </w:rPr>
        <w:t xml:space="preserve">. </w:t>
      </w:r>
      <w:r>
        <w:rPr>
          <w:rFonts w:cs="Arial"/>
        </w:rPr>
        <w:t>N</w:t>
      </w:r>
      <w:r w:rsidRPr="008B4551">
        <w:rPr>
          <w:rFonts w:cs="Arial"/>
        </w:rPr>
        <w:t>ejvětší lokální firma s balenou vodo</w:t>
      </w:r>
      <w:r>
        <w:rPr>
          <w:rFonts w:cs="Arial"/>
        </w:rPr>
        <w:t>u</w:t>
      </w:r>
      <w:r w:rsidRPr="008B4551">
        <w:rPr>
          <w:rFonts w:cs="Arial"/>
        </w:rPr>
        <w:t xml:space="preserve"> Al Ain Waters </w:t>
      </w:r>
      <w:r>
        <w:rPr>
          <w:rFonts w:cs="Arial"/>
        </w:rPr>
        <w:t>významně inovovala výrobu, když začala na území SAE</w:t>
      </w:r>
      <w:r w:rsidRPr="008B4551">
        <w:rPr>
          <w:rFonts w:cs="Arial"/>
        </w:rPr>
        <w:t xml:space="preserve"> vyvíjet </w:t>
      </w:r>
      <w:r>
        <w:rPr>
          <w:rFonts w:cs="Arial"/>
        </w:rPr>
        <w:t>100% rozl</w:t>
      </w:r>
      <w:r w:rsidRPr="008B4551">
        <w:rPr>
          <w:rFonts w:cs="Arial"/>
        </w:rPr>
        <w:t>ožitelné lahve</w:t>
      </w:r>
      <w:r>
        <w:rPr>
          <w:rFonts w:cs="Arial"/>
        </w:rPr>
        <w:t xml:space="preserve"> </w:t>
      </w:r>
      <w:r w:rsidRPr="008B4551">
        <w:rPr>
          <w:rFonts w:cs="Arial"/>
        </w:rPr>
        <w:t>z kukuřičn</w:t>
      </w:r>
      <w:r>
        <w:rPr>
          <w:rFonts w:cs="Arial"/>
        </w:rPr>
        <w:t>ého</w:t>
      </w:r>
      <w:r w:rsidRPr="008B4551">
        <w:rPr>
          <w:rFonts w:cs="Arial"/>
        </w:rPr>
        <w:t xml:space="preserve"> škrob</w:t>
      </w:r>
      <w:r>
        <w:rPr>
          <w:rFonts w:cs="Arial"/>
        </w:rPr>
        <w:t>u</w:t>
      </w:r>
      <w:r w:rsidRPr="008B4551">
        <w:rPr>
          <w:rFonts w:cs="Arial"/>
        </w:rPr>
        <w:t xml:space="preserve">. </w:t>
      </w:r>
      <w:r>
        <w:rPr>
          <w:rFonts w:cs="Arial"/>
        </w:rPr>
        <w:t>Stejná firma také nově zásobuje vybrané hotely vodou v kompostovatelných ekologických plastových obalech. Společnost dále deklaruje, že při jejich výrobě dochází k poklesu emisí skleníkových plynů o 60 %.</w:t>
      </w:r>
    </w:p>
    <w:p w14:paraId="0A0A0E1F" w14:textId="77777777" w:rsidR="00CD21C3" w:rsidRPr="008B4551" w:rsidRDefault="00CD21C3" w:rsidP="00CD21C3">
      <w:pPr>
        <w:spacing w:line="276" w:lineRule="auto"/>
        <w:jc w:val="both"/>
        <w:rPr>
          <w:rFonts w:cs="Arial"/>
        </w:rPr>
      </w:pPr>
      <w:r w:rsidRPr="008B4551">
        <w:rPr>
          <w:rFonts w:cs="Arial"/>
        </w:rPr>
        <w:t>Další</w:t>
      </w:r>
      <w:r>
        <w:rPr>
          <w:rFonts w:cs="Arial"/>
        </w:rPr>
        <w:t xml:space="preserve"> z</w:t>
      </w:r>
      <w:r w:rsidRPr="008B4551">
        <w:rPr>
          <w:rFonts w:cs="Arial"/>
        </w:rPr>
        <w:t xml:space="preserve"> </w:t>
      </w:r>
      <w:r>
        <w:rPr>
          <w:rFonts w:cs="Arial"/>
        </w:rPr>
        <w:t>ekologických inovací je</w:t>
      </w:r>
      <w:r w:rsidRPr="008B4551">
        <w:rPr>
          <w:rFonts w:cs="Arial"/>
        </w:rPr>
        <w:t xml:space="preserve"> zaměření privátního </w:t>
      </w:r>
      <w:r>
        <w:rPr>
          <w:rFonts w:cs="Arial"/>
        </w:rPr>
        <w:t>i</w:t>
      </w:r>
      <w:r w:rsidRPr="008B4551">
        <w:rPr>
          <w:rFonts w:cs="Arial"/>
        </w:rPr>
        <w:t xml:space="preserve"> </w:t>
      </w:r>
      <w:r>
        <w:rPr>
          <w:rFonts w:cs="Arial"/>
        </w:rPr>
        <w:t xml:space="preserve">veřejného </w:t>
      </w:r>
      <w:r w:rsidRPr="008B4551">
        <w:rPr>
          <w:rFonts w:cs="Arial"/>
        </w:rPr>
        <w:t>sektoru na doplňování vlastních lahví.</w:t>
      </w:r>
      <w:r>
        <w:rPr>
          <w:rFonts w:cs="Arial"/>
        </w:rPr>
        <w:t xml:space="preserve"> Dubajský projekt ze začátku roku se zaměřuje na </w:t>
      </w:r>
      <w:r w:rsidRPr="008B4551">
        <w:rPr>
          <w:rFonts w:cs="Arial"/>
        </w:rPr>
        <w:t>doplňovací vodní fontány</w:t>
      </w:r>
      <w:r>
        <w:rPr>
          <w:rFonts w:cs="Arial"/>
        </w:rPr>
        <w:t xml:space="preserve"> a </w:t>
      </w:r>
      <w:r w:rsidRPr="008B4551">
        <w:rPr>
          <w:rFonts w:cs="Arial"/>
        </w:rPr>
        <w:lastRenderedPageBreak/>
        <w:t>přerost</w:t>
      </w:r>
      <w:r>
        <w:rPr>
          <w:rFonts w:cs="Arial"/>
        </w:rPr>
        <w:t>l</w:t>
      </w:r>
      <w:r w:rsidRPr="008B4551">
        <w:rPr>
          <w:rFonts w:cs="Arial"/>
        </w:rPr>
        <w:t xml:space="preserve"> v</w:t>
      </w:r>
      <w:r>
        <w:rPr>
          <w:rFonts w:cs="Arial"/>
        </w:rPr>
        <w:t xml:space="preserve"> instalaci </w:t>
      </w:r>
      <w:r w:rsidRPr="008B4551">
        <w:rPr>
          <w:rFonts w:cs="Arial"/>
        </w:rPr>
        <w:t>50 doplňovacích stanic s chlazenou pitnou vodou</w:t>
      </w:r>
      <w:r>
        <w:rPr>
          <w:rFonts w:cs="Arial"/>
        </w:rPr>
        <w:t>, které jsou umístěný v rušných</w:t>
      </w:r>
      <w:r w:rsidRPr="008B4551">
        <w:rPr>
          <w:rFonts w:cs="Arial"/>
        </w:rPr>
        <w:t xml:space="preserve"> část</w:t>
      </w:r>
      <w:r>
        <w:rPr>
          <w:rFonts w:cs="Arial"/>
        </w:rPr>
        <w:t>ech</w:t>
      </w:r>
      <w:r w:rsidRPr="008B4551">
        <w:rPr>
          <w:rFonts w:cs="Arial"/>
        </w:rPr>
        <w:t xml:space="preserve"> metropole. Téměř v každém </w:t>
      </w:r>
      <w:r>
        <w:rPr>
          <w:rFonts w:cs="Arial"/>
        </w:rPr>
        <w:t xml:space="preserve">sportovním centru vám od letošního roku </w:t>
      </w:r>
      <w:r w:rsidRPr="008B4551">
        <w:rPr>
          <w:rFonts w:cs="Arial"/>
        </w:rPr>
        <w:t>nab</w:t>
      </w:r>
      <w:r>
        <w:rPr>
          <w:rFonts w:cs="Arial"/>
        </w:rPr>
        <w:t>ízí</w:t>
      </w:r>
      <w:r w:rsidRPr="008B4551">
        <w:rPr>
          <w:rFonts w:cs="Arial"/>
        </w:rPr>
        <w:t xml:space="preserve"> vratnou lahev na vodu</w:t>
      </w:r>
      <w:r>
        <w:rPr>
          <w:rFonts w:cs="Arial"/>
        </w:rPr>
        <w:t>, kterou</w:t>
      </w:r>
      <w:r w:rsidRPr="008B4551">
        <w:rPr>
          <w:rFonts w:cs="Arial"/>
        </w:rPr>
        <w:t xml:space="preserve"> můžete dopl</w:t>
      </w:r>
      <w:r>
        <w:rPr>
          <w:rFonts w:cs="Arial"/>
        </w:rPr>
        <w:t>nit</w:t>
      </w:r>
      <w:r w:rsidRPr="008B4551">
        <w:rPr>
          <w:rFonts w:cs="Arial"/>
        </w:rPr>
        <w:t xml:space="preserve"> na mnoha místech areál</w:t>
      </w:r>
      <w:r>
        <w:rPr>
          <w:rFonts w:cs="Arial"/>
        </w:rPr>
        <w:t>ů</w:t>
      </w:r>
      <w:r w:rsidRPr="008B4551">
        <w:rPr>
          <w:rFonts w:cs="Arial"/>
        </w:rPr>
        <w:t xml:space="preserve">. </w:t>
      </w:r>
      <w:r>
        <w:rPr>
          <w:rFonts w:cs="Arial"/>
        </w:rPr>
        <w:t>V</w:t>
      </w:r>
      <w:r w:rsidRPr="008B4551">
        <w:rPr>
          <w:rFonts w:cs="Arial"/>
        </w:rPr>
        <w:t>od</w:t>
      </w:r>
      <w:r>
        <w:rPr>
          <w:rFonts w:cs="Arial"/>
        </w:rPr>
        <w:t>a</w:t>
      </w:r>
      <w:r w:rsidRPr="008B4551">
        <w:rPr>
          <w:rFonts w:cs="Arial"/>
        </w:rPr>
        <w:t xml:space="preserve"> v jednorázovém obalu již </w:t>
      </w:r>
      <w:r>
        <w:rPr>
          <w:rFonts w:cs="Arial"/>
        </w:rPr>
        <w:t>často</w:t>
      </w:r>
      <w:r w:rsidRPr="008B4551">
        <w:rPr>
          <w:rFonts w:cs="Arial"/>
        </w:rPr>
        <w:t xml:space="preserve"> ne</w:t>
      </w:r>
      <w:r>
        <w:rPr>
          <w:rFonts w:cs="Arial"/>
        </w:rPr>
        <w:t>ní</w:t>
      </w:r>
      <w:r w:rsidRPr="008B4551">
        <w:rPr>
          <w:rFonts w:cs="Arial"/>
        </w:rPr>
        <w:t xml:space="preserve"> v nabídce.</w:t>
      </w:r>
    </w:p>
    <w:p w14:paraId="097033BF" w14:textId="3ECC6645" w:rsidR="002B273A" w:rsidRDefault="00CD21C3" w:rsidP="00CD21C3">
      <w:pPr>
        <w:spacing w:line="276" w:lineRule="auto"/>
        <w:jc w:val="both"/>
        <w:rPr>
          <w:rFonts w:cs="Arial"/>
        </w:rPr>
      </w:pPr>
      <w:r w:rsidRPr="008B4551">
        <w:rPr>
          <w:rFonts w:cs="Arial"/>
        </w:rPr>
        <w:t>Z</w:t>
      </w:r>
      <w:r>
        <w:rPr>
          <w:rFonts w:cs="Arial"/>
        </w:rPr>
        <w:t> </w:t>
      </w:r>
      <w:r w:rsidRPr="008B4551">
        <w:rPr>
          <w:rFonts w:cs="Arial"/>
        </w:rPr>
        <w:t>pohledu</w:t>
      </w:r>
      <w:r>
        <w:rPr>
          <w:rFonts w:cs="Arial"/>
        </w:rPr>
        <w:t xml:space="preserve"> </w:t>
      </w:r>
      <w:r w:rsidRPr="008B4551">
        <w:rPr>
          <w:rFonts w:cs="Arial"/>
        </w:rPr>
        <w:t>export</w:t>
      </w:r>
      <w:r>
        <w:rPr>
          <w:rFonts w:cs="Arial"/>
        </w:rPr>
        <w:t>ní společnosti</w:t>
      </w:r>
      <w:r w:rsidRPr="008B4551">
        <w:rPr>
          <w:rFonts w:cs="Arial"/>
        </w:rPr>
        <w:t xml:space="preserve"> jde o ukázku</w:t>
      </w:r>
      <w:r>
        <w:rPr>
          <w:rFonts w:cs="Arial"/>
        </w:rPr>
        <w:t xml:space="preserve"> flexibilního</w:t>
      </w:r>
      <w:r w:rsidRPr="008B4551">
        <w:rPr>
          <w:rFonts w:cs="Arial"/>
        </w:rPr>
        <w:t xml:space="preserve"> </w:t>
      </w:r>
      <w:r>
        <w:rPr>
          <w:rFonts w:cs="Arial"/>
        </w:rPr>
        <w:t xml:space="preserve">spotřebitelského chování </w:t>
      </w:r>
      <w:r w:rsidRPr="008B4551">
        <w:rPr>
          <w:rFonts w:cs="Arial"/>
        </w:rPr>
        <w:t>v</w:t>
      </w:r>
      <w:r>
        <w:rPr>
          <w:rFonts w:cs="Arial"/>
        </w:rPr>
        <w:t xml:space="preserve"> SAE</w:t>
      </w:r>
      <w:r w:rsidRPr="008B4551">
        <w:rPr>
          <w:rFonts w:cs="Arial"/>
        </w:rPr>
        <w:t xml:space="preserve">. </w:t>
      </w:r>
      <w:r>
        <w:rPr>
          <w:rFonts w:cs="Arial"/>
        </w:rPr>
        <w:t>V současnosti mají f</w:t>
      </w:r>
      <w:r w:rsidRPr="008B4551">
        <w:rPr>
          <w:rFonts w:cs="Arial"/>
        </w:rPr>
        <w:t>irm</w:t>
      </w:r>
      <w:r>
        <w:rPr>
          <w:rFonts w:cs="Arial"/>
        </w:rPr>
        <w:t>y, které akcentují u</w:t>
      </w:r>
      <w:r w:rsidRPr="008B4551">
        <w:rPr>
          <w:rFonts w:cs="Arial"/>
        </w:rPr>
        <w:t>držitelnost j</w:t>
      </w:r>
      <w:r>
        <w:rPr>
          <w:rFonts w:cs="Arial"/>
        </w:rPr>
        <w:t>ako</w:t>
      </w:r>
      <w:r w:rsidRPr="008B4551">
        <w:rPr>
          <w:rFonts w:cs="Arial"/>
        </w:rPr>
        <w:t xml:space="preserve"> součást </w:t>
      </w:r>
      <w:r>
        <w:rPr>
          <w:rFonts w:cs="Arial"/>
        </w:rPr>
        <w:t>svých</w:t>
      </w:r>
      <w:r w:rsidRPr="008B4551">
        <w:rPr>
          <w:rFonts w:cs="Arial"/>
        </w:rPr>
        <w:t xml:space="preserve"> produktů, v tomto progresivním regionu</w:t>
      </w:r>
      <w:r>
        <w:rPr>
          <w:rFonts w:cs="Arial"/>
        </w:rPr>
        <w:t xml:space="preserve"> velký</w:t>
      </w:r>
      <w:r w:rsidRPr="008B4551">
        <w:rPr>
          <w:rFonts w:cs="Arial"/>
        </w:rPr>
        <w:t xml:space="preserve"> </w:t>
      </w:r>
      <w:r>
        <w:rPr>
          <w:rFonts w:cs="Arial"/>
        </w:rPr>
        <w:t>potenciál.</w:t>
      </w:r>
    </w:p>
    <w:p w14:paraId="682A3D7F" w14:textId="77777777" w:rsidR="00F7168B" w:rsidRDefault="00F7168B" w:rsidP="007765B1">
      <w:pPr>
        <w:spacing w:line="276" w:lineRule="auto"/>
        <w:jc w:val="both"/>
        <w:rPr>
          <w:rFonts w:cs="Arial"/>
        </w:rPr>
      </w:pPr>
    </w:p>
    <w:p w14:paraId="4772386B" w14:textId="77777777" w:rsidR="00B94599" w:rsidRPr="00587417" w:rsidRDefault="00B94599" w:rsidP="00B94599">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03EB4488" w14:textId="77777777" w:rsidR="00B94599" w:rsidRDefault="00B94599" w:rsidP="00B94599">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Petr Ježek, Zemědělský diplomat velvyslanectví ČR ve Washingtonu, D. C., </w:t>
      </w:r>
    </w:p>
    <w:p w14:paraId="73B0B8D8" w14:textId="77777777" w:rsidR="00B94599" w:rsidRPr="00587417" w:rsidRDefault="00B94599" w:rsidP="00B94599">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+1 202 507-3859, Mob.: ČR: +420 601 558 079, </w:t>
      </w:r>
      <w:r>
        <w:rPr>
          <w:rFonts w:cs="Arial"/>
        </w:rPr>
        <w:t xml:space="preserve">e-mail: </w:t>
      </w:r>
      <w:hyperlink r:id="rId11" w:history="1">
        <w:r w:rsidRPr="00D4434C">
          <w:rPr>
            <w:rStyle w:val="Hypertextovodkaz"/>
          </w:rPr>
          <w:t>petr_jezek@mzv.cz</w:t>
        </w:r>
      </w:hyperlink>
      <w:r w:rsidRPr="00587417">
        <w:rPr>
          <w:rFonts w:cs="Arial"/>
        </w:rPr>
        <w:t xml:space="preserve"> </w:t>
      </w:r>
    </w:p>
    <w:p w14:paraId="47BA1EE0" w14:textId="77777777" w:rsidR="006F5BC1" w:rsidRPr="006F5BC1" w:rsidRDefault="006F5BC1" w:rsidP="006F5BC1">
      <w:pPr>
        <w:pStyle w:val="Nadpis3"/>
      </w:pPr>
      <w:r w:rsidRPr="006F5BC1">
        <w:t>Ceny potravin v USA rostou, přestože inflace obecně zpomaluje</w:t>
      </w:r>
    </w:p>
    <w:p w14:paraId="4A3F6179" w14:textId="77777777" w:rsidR="006F5BC1" w:rsidRPr="009C103C" w:rsidRDefault="006F5BC1" w:rsidP="006F5BC1">
      <w:pPr>
        <w:spacing w:after="120" w:line="276" w:lineRule="auto"/>
        <w:jc w:val="both"/>
        <w:rPr>
          <w:rFonts w:cs="Arial"/>
        </w:rPr>
      </w:pPr>
    </w:p>
    <w:p w14:paraId="7C8B4096" w14:textId="77777777" w:rsidR="006F5BC1" w:rsidRPr="004317EE" w:rsidRDefault="006F5BC1" w:rsidP="006F5BC1">
      <w:pPr>
        <w:spacing w:after="120" w:line="276" w:lineRule="auto"/>
        <w:jc w:val="both"/>
        <w:rPr>
          <w:rFonts w:cs="Arial"/>
        </w:rPr>
      </w:pPr>
      <w:r w:rsidRPr="004317EE">
        <w:rPr>
          <w:rFonts w:cs="Arial"/>
        </w:rPr>
        <w:t>Podle indexu spotřebitelských cen Úřadu pro statistiku Ministerstv</w:t>
      </w:r>
      <w:r>
        <w:rPr>
          <w:rFonts w:cs="Arial"/>
        </w:rPr>
        <w:t>a</w:t>
      </w:r>
      <w:r w:rsidRPr="004317EE">
        <w:rPr>
          <w:rFonts w:cs="Arial"/>
        </w:rPr>
        <w:t xml:space="preserve"> práce </w:t>
      </w:r>
      <w:r>
        <w:rPr>
          <w:rFonts w:cs="Arial"/>
        </w:rPr>
        <w:t xml:space="preserve">USA </w:t>
      </w:r>
      <w:r w:rsidRPr="004317EE">
        <w:rPr>
          <w:rFonts w:cs="Arial"/>
        </w:rPr>
        <w:t>se ceny potravin zvýšily o 1,3 %</w:t>
      </w:r>
      <w:r>
        <w:rPr>
          <w:rFonts w:cs="Arial"/>
        </w:rPr>
        <w:t xml:space="preserve">. </w:t>
      </w:r>
      <w:r w:rsidRPr="004317EE">
        <w:rPr>
          <w:rFonts w:cs="Arial"/>
        </w:rPr>
        <w:t xml:space="preserve">V ročním vyjádření se ceny potravin zvýšily o 13,1 %, což je největší </w:t>
      </w:r>
      <w:r>
        <w:rPr>
          <w:rFonts w:cs="Arial"/>
        </w:rPr>
        <w:t>dvanáctiměsíční</w:t>
      </w:r>
      <w:r w:rsidRPr="004317EE">
        <w:rPr>
          <w:rFonts w:cs="Arial"/>
        </w:rPr>
        <w:t xml:space="preserve"> nárůst od </w:t>
      </w:r>
      <w:r>
        <w:rPr>
          <w:rFonts w:cs="Arial"/>
        </w:rPr>
        <w:t>roku</w:t>
      </w:r>
      <w:r w:rsidRPr="004317EE">
        <w:rPr>
          <w:rFonts w:cs="Arial"/>
        </w:rPr>
        <w:t xml:space="preserve"> 1979.</w:t>
      </w:r>
    </w:p>
    <w:p w14:paraId="0539AE56" w14:textId="77777777" w:rsidR="006F5BC1" w:rsidRPr="009C103C" w:rsidRDefault="006F5BC1" w:rsidP="006F5BC1">
      <w:pPr>
        <w:spacing w:after="120" w:line="276" w:lineRule="auto"/>
        <w:jc w:val="both"/>
        <w:rPr>
          <w:rFonts w:cs="Arial"/>
        </w:rPr>
      </w:pPr>
      <w:r w:rsidRPr="005B5F74">
        <w:rPr>
          <w:rFonts w:cs="Arial"/>
        </w:rPr>
        <w:t xml:space="preserve">Přestože se neočekává, že by inflační tlaky na ceny potravin v dohledné době skončily, některé z nich by </w:t>
      </w:r>
      <w:r>
        <w:rPr>
          <w:rFonts w:cs="Arial"/>
        </w:rPr>
        <w:t xml:space="preserve">přeci jen </w:t>
      </w:r>
      <w:r w:rsidRPr="005B5F74">
        <w:rPr>
          <w:rFonts w:cs="Arial"/>
        </w:rPr>
        <w:t xml:space="preserve">mohly polevit. Po dvou měsících růstu klesl index cen energií v červenci </w:t>
      </w:r>
      <w:r>
        <w:rPr>
          <w:rFonts w:cs="Arial"/>
        </w:rPr>
        <w:t>o 4,6 </w:t>
      </w:r>
      <w:r w:rsidRPr="005B5F74">
        <w:rPr>
          <w:rFonts w:cs="Arial"/>
        </w:rPr>
        <w:t>%, přičemž ceny motorových paliv se snížily o 7,6 %. Část z</w:t>
      </w:r>
      <w:r>
        <w:rPr>
          <w:rFonts w:cs="Arial"/>
        </w:rPr>
        <w:t> </w:t>
      </w:r>
      <w:r w:rsidRPr="005B5F74">
        <w:rPr>
          <w:rFonts w:cs="Arial"/>
        </w:rPr>
        <w:t>toho</w:t>
      </w:r>
      <w:r>
        <w:rPr>
          <w:rFonts w:cs="Arial"/>
        </w:rPr>
        <w:t xml:space="preserve"> poklesu ceny vstupů</w:t>
      </w:r>
      <w:r w:rsidRPr="005B5F74">
        <w:rPr>
          <w:rFonts w:cs="Arial"/>
        </w:rPr>
        <w:t xml:space="preserve"> by se mohla promítnout </w:t>
      </w:r>
      <w:r>
        <w:rPr>
          <w:rFonts w:cs="Arial"/>
        </w:rPr>
        <w:t xml:space="preserve">právě i do </w:t>
      </w:r>
      <w:r w:rsidRPr="005B5F74">
        <w:rPr>
          <w:rFonts w:cs="Arial"/>
        </w:rPr>
        <w:t>cen potravin</w:t>
      </w:r>
      <w:r>
        <w:rPr>
          <w:rFonts w:cs="Arial"/>
        </w:rPr>
        <w:t>.</w:t>
      </w:r>
    </w:p>
    <w:p w14:paraId="10E1C5D4" w14:textId="2E9F5C5D" w:rsidR="006F5BC1" w:rsidRDefault="006F5BC1" w:rsidP="006F5BC1">
      <w:pPr>
        <w:spacing w:after="120" w:line="276" w:lineRule="auto"/>
        <w:jc w:val="both"/>
        <w:rPr>
          <w:rFonts w:cs="Arial"/>
        </w:rPr>
      </w:pPr>
      <w:r w:rsidRPr="00FA7403">
        <w:rPr>
          <w:rFonts w:cs="Arial"/>
        </w:rPr>
        <w:t>Index cen obilovin a pečiva se v červenci meziročně zvýšil o 1</w:t>
      </w:r>
      <w:r>
        <w:rPr>
          <w:rFonts w:cs="Arial"/>
        </w:rPr>
        <w:t xml:space="preserve">5 % a meziměsíčně vzrostl </w:t>
      </w:r>
      <w:r>
        <w:rPr>
          <w:rFonts w:cs="Arial"/>
        </w:rPr>
        <w:br/>
        <w:t>o 1,8 </w:t>
      </w:r>
      <w:r w:rsidRPr="00FA7403">
        <w:rPr>
          <w:rFonts w:cs="Arial"/>
        </w:rPr>
        <w:t xml:space="preserve">% </w:t>
      </w:r>
      <w:r>
        <w:rPr>
          <w:rFonts w:cs="Arial"/>
        </w:rPr>
        <w:t xml:space="preserve">vzhledem k rostoucím </w:t>
      </w:r>
      <w:r w:rsidRPr="00FA7403">
        <w:rPr>
          <w:rFonts w:cs="Arial"/>
        </w:rPr>
        <w:t>cen</w:t>
      </w:r>
      <w:r>
        <w:rPr>
          <w:rFonts w:cs="Arial"/>
        </w:rPr>
        <w:t>ám</w:t>
      </w:r>
      <w:r w:rsidRPr="00FA7403">
        <w:rPr>
          <w:rFonts w:cs="Arial"/>
        </w:rPr>
        <w:t xml:space="preserve"> surovin jako pšenice, vejce a tuky.</w:t>
      </w:r>
      <w:r>
        <w:rPr>
          <w:rFonts w:cs="Arial"/>
        </w:rPr>
        <w:t xml:space="preserve"> Americká odborná veřejnost pozorně sleduje situaci s vývozem zadržovaného obilí na Ukrajině. Podle dostupných informací bylo již z ukrajinských přístavů vyvezeno více než 330 tis. tun obilí. Ale i za dalšího pokračování této příznivé situace bude trvat ještě měsíce, než se na světové trhy dostane dostatek obilí, který by mohl pozitivně ovlivnit ceny.</w:t>
      </w:r>
    </w:p>
    <w:p w14:paraId="406F0C6A" w14:textId="77777777" w:rsidR="006F5BC1" w:rsidRPr="00FA7403" w:rsidRDefault="006F5BC1" w:rsidP="006F5BC1">
      <w:pPr>
        <w:spacing w:after="120" w:line="276" w:lineRule="auto"/>
        <w:jc w:val="both"/>
        <w:rPr>
          <w:rFonts w:cs="Arial"/>
        </w:rPr>
      </w:pPr>
      <w:r>
        <w:rPr>
          <w:rFonts w:cs="Arial"/>
        </w:rPr>
        <w:t>Rostoucí ceny potravin mají dopad i na výběr spotřebitelů. Podle dostupných informací (výzkum společnosti Inmar Intelligence) se určitá část nakupujících přeorientovala na levnější bílkoviny. Přestože v kategorii masa došlo k mírnému meziměsíčnímu poklesu cen, někteří spotřebitelé přecházejí od hovězího masa k levnějšímu drůbežímu nebo od nákupu masa úplně upouštějí. Nárůst cen u červeného masa se pohybuje oproti roku 2021 na úrovni 16 %. Podobně celých 20 % oslovených spotřebitelů výrazně omezilo nákup mléčných produktů, u kterých se meziročně zvýšila cena o více než 15 %.</w:t>
      </w:r>
    </w:p>
    <w:p w14:paraId="378A049A" w14:textId="4F434087" w:rsidR="002B273A" w:rsidRDefault="006F5BC1" w:rsidP="006F5BC1">
      <w:pPr>
        <w:spacing w:after="120" w:line="276" w:lineRule="auto"/>
        <w:jc w:val="both"/>
        <w:rPr>
          <w:rFonts w:cs="Arial"/>
        </w:rPr>
      </w:pPr>
      <w:r>
        <w:rPr>
          <w:rFonts w:cs="Arial"/>
        </w:rPr>
        <w:t xml:space="preserve">U některých produktů naopak ceny mírně poklesly. Například u </w:t>
      </w:r>
      <w:r w:rsidRPr="00FA7403">
        <w:rPr>
          <w:rFonts w:cs="Arial"/>
        </w:rPr>
        <w:t>citrusových plodů se v červenci snížily o</w:t>
      </w:r>
      <w:r>
        <w:rPr>
          <w:rFonts w:cs="Arial"/>
        </w:rPr>
        <w:t> </w:t>
      </w:r>
      <w:r w:rsidRPr="00FA7403">
        <w:rPr>
          <w:rFonts w:cs="Arial"/>
        </w:rPr>
        <w:t>3,2</w:t>
      </w:r>
      <w:r>
        <w:rPr>
          <w:rFonts w:cs="Arial"/>
        </w:rPr>
        <w:t> </w:t>
      </w:r>
      <w:r w:rsidRPr="00FA7403">
        <w:rPr>
          <w:rFonts w:cs="Arial"/>
        </w:rPr>
        <w:t>%</w:t>
      </w:r>
      <w:r>
        <w:rPr>
          <w:rFonts w:cs="Arial"/>
        </w:rPr>
        <w:t xml:space="preserve">. </w:t>
      </w:r>
      <w:r w:rsidRPr="00FA7403">
        <w:rPr>
          <w:rFonts w:cs="Arial"/>
        </w:rPr>
        <w:t xml:space="preserve">Meziročně jsou </w:t>
      </w:r>
      <w:r>
        <w:rPr>
          <w:rFonts w:cs="Arial"/>
        </w:rPr>
        <w:t xml:space="preserve">tak </w:t>
      </w:r>
      <w:r w:rsidRPr="00FA7403">
        <w:rPr>
          <w:rFonts w:cs="Arial"/>
        </w:rPr>
        <w:t xml:space="preserve">ceny citrusů vyšší o </w:t>
      </w:r>
      <w:r>
        <w:rPr>
          <w:rFonts w:cs="Arial"/>
        </w:rPr>
        <w:t xml:space="preserve">cca </w:t>
      </w:r>
      <w:r w:rsidRPr="00FA7403">
        <w:rPr>
          <w:rFonts w:cs="Arial"/>
        </w:rPr>
        <w:t>1</w:t>
      </w:r>
      <w:r>
        <w:rPr>
          <w:rFonts w:cs="Arial"/>
        </w:rPr>
        <w:t>0</w:t>
      </w:r>
      <w:r w:rsidRPr="00FA7403">
        <w:rPr>
          <w:rFonts w:cs="Arial"/>
        </w:rPr>
        <w:t xml:space="preserve"> %. </w:t>
      </w:r>
      <w:r>
        <w:rPr>
          <w:rFonts w:cs="Arial"/>
        </w:rPr>
        <w:t xml:space="preserve">V případě pomerančů je třeba zmínit vysoký nárůst cen z počátku letošního roku, kdy </w:t>
      </w:r>
      <w:r w:rsidRPr="00FA7403">
        <w:rPr>
          <w:rFonts w:cs="Arial"/>
        </w:rPr>
        <w:t xml:space="preserve">nepříznivé počasí a </w:t>
      </w:r>
      <w:r>
        <w:rPr>
          <w:rFonts w:cs="Arial"/>
        </w:rPr>
        <w:t>zhoubné zelenání citrusů</w:t>
      </w:r>
      <w:r w:rsidRPr="00FA7403">
        <w:rPr>
          <w:rFonts w:cs="Arial"/>
        </w:rPr>
        <w:t xml:space="preserve"> ovlivnily úrodu.</w:t>
      </w:r>
    </w:p>
    <w:p w14:paraId="620F533B" w14:textId="77777777" w:rsidR="006F5BC1" w:rsidRPr="00CC19B6" w:rsidRDefault="006F5BC1" w:rsidP="006F5BC1">
      <w:pPr>
        <w:spacing w:after="120" w:line="276" w:lineRule="auto"/>
        <w:jc w:val="both"/>
        <w:rPr>
          <w:rFonts w:cs="Arial"/>
        </w:rPr>
      </w:pPr>
    </w:p>
    <w:p w14:paraId="4953D867"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30A1B1D3"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6116FE07" w14:textId="4A1C3E5D" w:rsidR="002B7265" w:rsidRDefault="003964FA" w:rsidP="002B7265">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2" w:history="1">
        <w:r w:rsidRPr="00D4434C">
          <w:rPr>
            <w:rStyle w:val="Hypertextovodkaz"/>
          </w:rPr>
          <w:t>irena_leopoldova@mzv.cz</w:t>
        </w:r>
      </w:hyperlink>
      <w:r w:rsidR="00D4434C">
        <w:t xml:space="preserve"> </w:t>
      </w:r>
    </w:p>
    <w:p w14:paraId="3D10158D" w14:textId="742596CC" w:rsidR="004C3951" w:rsidRPr="004C3951" w:rsidRDefault="004C3951" w:rsidP="004C3951">
      <w:pPr>
        <w:pStyle w:val="Nadpis3"/>
      </w:pPr>
      <w:r w:rsidRPr="004C3951">
        <w:lastRenderedPageBreak/>
        <w:t>Pivovar Kirin reaguje na výzvu WHO</w:t>
      </w:r>
    </w:p>
    <w:p w14:paraId="28A5F6A8" w14:textId="77777777" w:rsidR="002B7265" w:rsidRDefault="002B7265" w:rsidP="004C3951">
      <w:pPr>
        <w:spacing w:line="276" w:lineRule="auto"/>
        <w:jc w:val="both"/>
        <w:rPr>
          <w:rFonts w:cs="Arial"/>
        </w:rPr>
      </w:pPr>
    </w:p>
    <w:p w14:paraId="10862C0E" w14:textId="39FFE2A0" w:rsidR="004C3951" w:rsidRPr="00480385" w:rsidRDefault="004C3951" w:rsidP="004C3951">
      <w:pPr>
        <w:spacing w:line="276" w:lineRule="auto"/>
        <w:jc w:val="both"/>
        <w:rPr>
          <w:rFonts w:cs="Arial"/>
        </w:rPr>
      </w:pPr>
      <w:r w:rsidRPr="00480385">
        <w:rPr>
          <w:rFonts w:cs="Arial"/>
        </w:rPr>
        <w:t xml:space="preserve">Společnost Kirin Holdings, druhý největší japonský pivovar a zároveň </w:t>
      </w:r>
      <w:r>
        <w:rPr>
          <w:rFonts w:cs="Arial"/>
        </w:rPr>
        <w:t xml:space="preserve">významný </w:t>
      </w:r>
      <w:r w:rsidRPr="00480385">
        <w:rPr>
          <w:rFonts w:cs="Arial"/>
        </w:rPr>
        <w:t xml:space="preserve">odběratel českého chmele, plánuje </w:t>
      </w:r>
      <w:r>
        <w:rPr>
          <w:rFonts w:cs="Arial"/>
        </w:rPr>
        <w:t>v souvislosti se sílícími tlaky na</w:t>
      </w:r>
      <w:r w:rsidRPr="00480385">
        <w:rPr>
          <w:rFonts w:cs="Arial"/>
        </w:rPr>
        <w:t xml:space="preserve"> regula</w:t>
      </w:r>
      <w:r>
        <w:rPr>
          <w:rFonts w:cs="Arial"/>
        </w:rPr>
        <w:t>ci</w:t>
      </w:r>
      <w:r w:rsidRPr="00480385">
        <w:rPr>
          <w:rFonts w:cs="Arial"/>
        </w:rPr>
        <w:t xml:space="preserve"> odvětví alkoholických nápojů expan</w:t>
      </w:r>
      <w:r>
        <w:rPr>
          <w:rFonts w:cs="Arial"/>
        </w:rPr>
        <w:t>zi do sektoru doplňků stravy</w:t>
      </w:r>
      <w:r w:rsidRPr="00480385">
        <w:rPr>
          <w:rFonts w:cs="Arial"/>
        </w:rPr>
        <w:t>.</w:t>
      </w:r>
    </w:p>
    <w:p w14:paraId="0654DEE5" w14:textId="77777777" w:rsidR="004C3951" w:rsidRPr="00480385" w:rsidRDefault="004C3951" w:rsidP="004C3951">
      <w:pPr>
        <w:spacing w:line="276" w:lineRule="auto"/>
        <w:jc w:val="both"/>
        <w:rPr>
          <w:rFonts w:cs="Arial"/>
        </w:rPr>
      </w:pPr>
      <w:r w:rsidRPr="00480385">
        <w:rPr>
          <w:rFonts w:cs="Arial"/>
        </w:rPr>
        <w:t>Kirin</w:t>
      </w:r>
      <w:r>
        <w:rPr>
          <w:rFonts w:cs="Arial"/>
        </w:rPr>
        <w:t xml:space="preserve"> je prvním z</w:t>
      </w:r>
      <w:r w:rsidRPr="00480385">
        <w:rPr>
          <w:rFonts w:cs="Arial"/>
        </w:rPr>
        <w:t xml:space="preserve"> velkých hráčů, který představil své plány poté, co Světová zdravotnická organizace (WHO) v květnu tohoto roku vyzvala výrobce alkoholu k dodržování přísnějších pravidel digitálního marketingu, který využívají k propagaci svých výrobků. WHO vyzvala vlády k mezinárodní spolupráci</w:t>
      </w:r>
      <w:r>
        <w:rPr>
          <w:rFonts w:cs="Arial"/>
        </w:rPr>
        <w:t xml:space="preserve"> </w:t>
      </w:r>
      <w:r w:rsidRPr="00265602">
        <w:rPr>
          <w:rFonts w:cs="Arial"/>
        </w:rPr>
        <w:t>podobně jako</w:t>
      </w:r>
      <w:r w:rsidRPr="00480385">
        <w:rPr>
          <w:rFonts w:cs="Arial"/>
        </w:rPr>
        <w:t xml:space="preserve"> dříve u tabákových výrobků s cílem snížit spotřebu tabáku </w:t>
      </w:r>
      <w:r>
        <w:rPr>
          <w:rFonts w:cs="Arial"/>
        </w:rPr>
        <w:t>omezením prodejních míst i reklamy</w:t>
      </w:r>
      <w:r w:rsidRPr="00480385">
        <w:rPr>
          <w:rFonts w:cs="Arial"/>
        </w:rPr>
        <w:t xml:space="preserve"> na</w:t>
      </w:r>
      <w:r>
        <w:rPr>
          <w:rFonts w:cs="Arial"/>
        </w:rPr>
        <w:t> </w:t>
      </w:r>
      <w:r w:rsidRPr="00480385">
        <w:rPr>
          <w:rFonts w:cs="Arial"/>
        </w:rPr>
        <w:t>ně. Přístup Kirinu je v kontrastu s</w:t>
      </w:r>
      <w:r>
        <w:rPr>
          <w:rFonts w:cs="Arial"/>
        </w:rPr>
        <w:t> přístupy konkurentů</w:t>
      </w:r>
      <w:r w:rsidRPr="00480385">
        <w:rPr>
          <w:rFonts w:cs="Arial"/>
        </w:rPr>
        <w:t xml:space="preserve"> Anheuser-Busch InBev a Asahi Group Holdings, </w:t>
      </w:r>
      <w:r>
        <w:rPr>
          <w:rFonts w:cs="Arial"/>
        </w:rPr>
        <w:t>ti do </w:t>
      </w:r>
      <w:r w:rsidRPr="00480385">
        <w:rPr>
          <w:rFonts w:cs="Arial"/>
        </w:rPr>
        <w:t xml:space="preserve">divizí alkoholu a </w:t>
      </w:r>
      <w:r w:rsidRPr="00265602">
        <w:rPr>
          <w:rFonts w:cs="Arial"/>
        </w:rPr>
        <w:t>piv naopak investují</w:t>
      </w:r>
      <w:r w:rsidRPr="00480385">
        <w:rPr>
          <w:rFonts w:cs="Arial"/>
        </w:rPr>
        <w:t xml:space="preserve"> a rozšiřují je.</w:t>
      </w:r>
    </w:p>
    <w:p w14:paraId="00F7A773" w14:textId="4FE7EE00" w:rsidR="004C3951" w:rsidRPr="00480385" w:rsidRDefault="004C3951" w:rsidP="004C3951">
      <w:pPr>
        <w:spacing w:line="276" w:lineRule="auto"/>
        <w:jc w:val="both"/>
        <w:rPr>
          <w:rFonts w:cs="Arial"/>
        </w:rPr>
      </w:pPr>
      <w:r w:rsidRPr="00265602">
        <w:rPr>
          <w:rFonts w:cs="Arial"/>
        </w:rPr>
        <w:t>Kirin si jako nový segment růstu vybral výrobu farmaceutických přísad a doplňků stravy. Plánuje</w:t>
      </w:r>
      <w:r w:rsidRPr="00480385">
        <w:rPr>
          <w:rFonts w:cs="Arial"/>
        </w:rPr>
        <w:t xml:space="preserve"> v příštím desetiletí dosáhnout tržeb v oblasti „zdravých doplňků stravy“ ve</w:t>
      </w:r>
      <w:r>
        <w:rPr>
          <w:rFonts w:cs="Arial"/>
        </w:rPr>
        <w:t> </w:t>
      </w:r>
      <w:r w:rsidRPr="00480385">
        <w:rPr>
          <w:rFonts w:cs="Arial"/>
        </w:rPr>
        <w:t>výši 500 mld jenů (100 mld Kč). Provozní zisk společnosti Kirin v roce 2021 klesl oproti předchozímu roku o 32 % na 68 mld jenů (14 mld Kč) poté, co v důsledku pandemie klesl prodej piv na domácím trhu a společnost prodala své australské mlékárenské a</w:t>
      </w:r>
      <w:r>
        <w:rPr>
          <w:rFonts w:cs="Arial"/>
        </w:rPr>
        <w:t> </w:t>
      </w:r>
      <w:r w:rsidRPr="00480385">
        <w:rPr>
          <w:rFonts w:cs="Arial"/>
        </w:rPr>
        <w:t>nápojové divize. Společnost Kirin si je jistá svým potenciálem v oblasti doplň</w:t>
      </w:r>
      <w:r>
        <w:rPr>
          <w:rFonts w:cs="Arial"/>
        </w:rPr>
        <w:t>ků stravy, protože trh roste a tyto</w:t>
      </w:r>
      <w:r w:rsidRPr="00480385">
        <w:rPr>
          <w:rFonts w:cs="Arial"/>
        </w:rPr>
        <w:t xml:space="preserve"> produkty </w:t>
      </w:r>
      <w:r w:rsidR="00542F11">
        <w:rPr>
          <w:rFonts w:cs="Arial"/>
        </w:rPr>
        <w:br/>
      </w:r>
      <w:r w:rsidRPr="00480385">
        <w:rPr>
          <w:rFonts w:cs="Arial"/>
        </w:rPr>
        <w:t xml:space="preserve">se vyrábějí pomocí fermentační technologie, kterou Kirin využívá při výrobě piva. </w:t>
      </w:r>
    </w:p>
    <w:p w14:paraId="37DF995B" w14:textId="0FA255D6" w:rsidR="004C3951" w:rsidRDefault="004C3951" w:rsidP="004C3951">
      <w:pPr>
        <w:spacing w:line="276" w:lineRule="auto"/>
        <w:jc w:val="both"/>
        <w:rPr>
          <w:rFonts w:cs="Arial"/>
        </w:rPr>
      </w:pPr>
      <w:r w:rsidRPr="00480385">
        <w:rPr>
          <w:rFonts w:cs="Arial"/>
        </w:rPr>
        <w:t>Podle marketingové výzku</w:t>
      </w:r>
      <w:r>
        <w:rPr>
          <w:rFonts w:cs="Arial"/>
        </w:rPr>
        <w:t xml:space="preserve">mné společnosti Facts </w:t>
      </w:r>
      <w:r w:rsidRPr="0097215A">
        <w:rPr>
          <w:rFonts w:cs="Arial"/>
        </w:rPr>
        <w:t xml:space="preserve">&amp; </w:t>
      </w:r>
      <w:r>
        <w:rPr>
          <w:rFonts w:cs="Arial"/>
        </w:rPr>
        <w:t>Factor</w:t>
      </w:r>
      <w:r w:rsidRPr="00480385">
        <w:rPr>
          <w:rFonts w:cs="Arial"/>
        </w:rPr>
        <w:t xml:space="preserve">s Research se očekává, </w:t>
      </w:r>
      <w:r w:rsidR="00542F11">
        <w:rPr>
          <w:rFonts w:cs="Arial"/>
        </w:rPr>
        <w:br/>
      </w:r>
      <w:r w:rsidRPr="00480385">
        <w:rPr>
          <w:rFonts w:cs="Arial"/>
        </w:rPr>
        <w:t xml:space="preserve">že celosvětový trh s doplňky stravy poroste </w:t>
      </w:r>
      <w:r>
        <w:rPr>
          <w:rFonts w:cs="Arial"/>
        </w:rPr>
        <w:t xml:space="preserve">díky zvyšujícím se příjmům a povědomí spotřebitelů </w:t>
      </w:r>
      <w:r w:rsidRPr="00480385">
        <w:rPr>
          <w:rFonts w:cs="Arial"/>
        </w:rPr>
        <w:t>od roku 2028 každoročně o 8,9 % a</w:t>
      </w:r>
      <w:r>
        <w:rPr>
          <w:rFonts w:cs="Arial"/>
        </w:rPr>
        <w:t>ž</w:t>
      </w:r>
      <w:r w:rsidRPr="00480385">
        <w:rPr>
          <w:rFonts w:cs="Arial"/>
        </w:rPr>
        <w:t xml:space="preserve"> na</w:t>
      </w:r>
      <w:r>
        <w:rPr>
          <w:rFonts w:cs="Arial"/>
        </w:rPr>
        <w:t>konec dosáhne hodnoty 307 mld. dolarů ročně.</w:t>
      </w:r>
    </w:p>
    <w:p w14:paraId="37342C75" w14:textId="77777777" w:rsidR="004C3951" w:rsidRDefault="004C3951" w:rsidP="004C3951">
      <w:pPr>
        <w:spacing w:line="276" w:lineRule="auto"/>
        <w:jc w:val="both"/>
        <w:rPr>
          <w:rFonts w:cs="Arial"/>
        </w:rPr>
      </w:pPr>
    </w:p>
    <w:p w14:paraId="180B02D7" w14:textId="4380972B" w:rsidR="004C3951" w:rsidRPr="006F5BC1" w:rsidRDefault="004C3951" w:rsidP="004C3951">
      <w:pPr>
        <w:spacing w:line="276" w:lineRule="auto"/>
        <w:jc w:val="both"/>
        <w:rPr>
          <w:rFonts w:cs="Arial"/>
        </w:rPr>
      </w:pPr>
      <w:r w:rsidRPr="006F5BC1">
        <w:rPr>
          <w:rFonts w:cs="Arial"/>
        </w:rPr>
        <w:t>Zdroj: The JapanTimes</w:t>
      </w:r>
    </w:p>
    <w:p w14:paraId="3E9BB8FA" w14:textId="77777777" w:rsidR="002B273A" w:rsidRPr="002B273A" w:rsidRDefault="002B273A" w:rsidP="002B273A">
      <w:pPr>
        <w:spacing w:line="276" w:lineRule="auto"/>
        <w:jc w:val="both"/>
        <w:rPr>
          <w:rFonts w:cs="Arial"/>
        </w:rPr>
      </w:pPr>
    </w:p>
    <w:p w14:paraId="57C1AF76" w14:textId="186C17AE" w:rsidR="002B273A" w:rsidRPr="00587417" w:rsidRDefault="002B273A" w:rsidP="002B273A">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LIBANON</w:t>
      </w:r>
    </w:p>
    <w:p w14:paraId="1988D783" w14:textId="42A5BF29" w:rsidR="002B273A" w:rsidRDefault="002B273A" w:rsidP="002B273A">
      <w:pPr>
        <w:pBdr>
          <w:top w:val="single" w:sz="4" w:space="1" w:color="auto"/>
          <w:left w:val="single" w:sz="4" w:space="4" w:color="auto"/>
          <w:bottom w:val="single" w:sz="4" w:space="1" w:color="auto"/>
          <w:right w:val="single" w:sz="4" w:space="4" w:color="auto"/>
        </w:pBdr>
        <w:spacing w:line="276" w:lineRule="auto"/>
        <w:jc w:val="both"/>
        <w:rPr>
          <w:rFonts w:cs="Arial"/>
        </w:rPr>
      </w:pPr>
      <w:r w:rsidRPr="002B273A">
        <w:rPr>
          <w:rFonts w:cs="Arial"/>
        </w:rPr>
        <w:t>Petr Sochor, Zemědělský diplomat velvyslanectví ČR v</w:t>
      </w:r>
      <w:r>
        <w:rPr>
          <w:rFonts w:cs="Arial"/>
        </w:rPr>
        <w:t> </w:t>
      </w:r>
      <w:r w:rsidRPr="002B273A">
        <w:rPr>
          <w:rFonts w:cs="Arial"/>
        </w:rPr>
        <w:t>Bejrútu</w:t>
      </w:r>
    </w:p>
    <w:p w14:paraId="731C6747" w14:textId="65051593" w:rsidR="002B273A" w:rsidRPr="001D3F62" w:rsidRDefault="002B273A" w:rsidP="002B273A">
      <w:pPr>
        <w:pBdr>
          <w:top w:val="single" w:sz="4" w:space="1" w:color="auto"/>
          <w:left w:val="single" w:sz="4" w:space="4" w:color="auto"/>
          <w:bottom w:val="single" w:sz="4" w:space="1" w:color="auto"/>
          <w:right w:val="single" w:sz="4" w:space="4" w:color="auto"/>
        </w:pBdr>
        <w:spacing w:line="276" w:lineRule="auto"/>
        <w:jc w:val="both"/>
      </w:pPr>
      <w:r>
        <w:rPr>
          <w:rFonts w:cs="Arial"/>
        </w:rPr>
        <w:t>Mob.</w:t>
      </w:r>
      <w:r w:rsidRPr="002B273A">
        <w:rPr>
          <w:rFonts w:cs="Arial"/>
        </w:rPr>
        <w:t>: +961 70 258310</w:t>
      </w:r>
      <w:r>
        <w:rPr>
          <w:rFonts w:cs="Arial"/>
        </w:rPr>
        <w:t xml:space="preserve">, Mob.: ČR </w:t>
      </w:r>
      <w:r w:rsidRPr="002B273A">
        <w:rPr>
          <w:rFonts w:cs="Arial"/>
        </w:rPr>
        <w:t>+420 777 472</w:t>
      </w:r>
      <w:r>
        <w:rPr>
          <w:rFonts w:cs="Arial"/>
        </w:rPr>
        <w:t> </w:t>
      </w:r>
      <w:r w:rsidRPr="002B273A">
        <w:rPr>
          <w:rFonts w:cs="Arial"/>
        </w:rPr>
        <w:t>371</w:t>
      </w:r>
      <w:r>
        <w:rPr>
          <w:rFonts w:cs="Arial"/>
        </w:rPr>
        <w:t>, e</w:t>
      </w:r>
      <w:r w:rsidRPr="002B273A">
        <w:rPr>
          <w:rFonts w:cs="Arial"/>
        </w:rPr>
        <w:t>-mail:</w:t>
      </w:r>
      <w:r>
        <w:rPr>
          <w:rFonts w:cs="Arial"/>
        </w:rPr>
        <w:t xml:space="preserve"> </w:t>
      </w:r>
      <w:hyperlink r:id="rId13" w:history="1">
        <w:r w:rsidRPr="0054494E">
          <w:rPr>
            <w:rStyle w:val="Hypertextovodkaz"/>
            <w:rFonts w:cs="Arial"/>
          </w:rPr>
          <w:t>petr_sochor@mzv.cz</w:t>
        </w:r>
      </w:hyperlink>
      <w:r w:rsidRPr="002B273A">
        <w:rPr>
          <w:rFonts w:cs="Arial"/>
        </w:rPr>
        <w:t>,</w:t>
      </w:r>
      <w:r>
        <w:rPr>
          <w:rFonts w:cs="Arial"/>
        </w:rPr>
        <w:t xml:space="preserve"> </w:t>
      </w:r>
      <w:r>
        <w:t xml:space="preserve"> </w:t>
      </w:r>
    </w:p>
    <w:p w14:paraId="1FD20222" w14:textId="5DA68290" w:rsidR="00ED28F7" w:rsidRPr="00F66A80" w:rsidRDefault="00ED28F7" w:rsidP="00ED28F7">
      <w:pPr>
        <w:pStyle w:val="Nadpis3"/>
      </w:pPr>
      <w:r w:rsidRPr="00F66A80">
        <w:t>Libanon – nabídka ruské pšenice formou daru</w:t>
      </w:r>
    </w:p>
    <w:p w14:paraId="00AFB225" w14:textId="77FDB2F5" w:rsidR="002B273A" w:rsidRDefault="002B273A" w:rsidP="002B273A"/>
    <w:p w14:paraId="26688957" w14:textId="77777777" w:rsidR="00ED28F7" w:rsidRPr="00F66A80" w:rsidRDefault="00ED28F7" w:rsidP="00ED28F7">
      <w:pPr>
        <w:spacing w:line="276" w:lineRule="auto"/>
        <w:jc w:val="both"/>
        <w:rPr>
          <w:rFonts w:cs="Arial"/>
        </w:rPr>
      </w:pPr>
      <w:r w:rsidRPr="00F66A80">
        <w:rPr>
          <w:rFonts w:cs="Arial"/>
        </w:rPr>
        <w:t>V rámci snahy o upevnění hospodářské spolupráce Ruska s Libanonem proběhla v místním tisku informace o ruské nabídce pšenice pro Libanon. Prostřednictvím ruského velvyslance v Libanonu nabídlo Rusko dodávky pšenice formou daru ve výši 40.000 tun měsíčně počínaje srpnem 2022 až do prosince roku 2022. Jedná se o snahu Ruska pomoci Libanonu překonat současnou potravinovou krizi. Tato ruská nabídka přichází několik dnů poté, co Libanon umožnil odplutí lodě Laodicea, vlastněné Sýri</w:t>
      </w:r>
      <w:r>
        <w:rPr>
          <w:rFonts w:cs="Arial"/>
        </w:rPr>
        <w:t>í</w:t>
      </w:r>
      <w:r w:rsidRPr="00F66A80">
        <w:rPr>
          <w:rFonts w:cs="Arial"/>
        </w:rPr>
        <w:t>, z libanonského přístavu Tripoli</w:t>
      </w:r>
      <w:r>
        <w:rPr>
          <w:rFonts w:cs="Arial"/>
        </w:rPr>
        <w:t>s</w:t>
      </w:r>
      <w:r w:rsidRPr="00F66A80">
        <w:rPr>
          <w:rFonts w:cs="Arial"/>
        </w:rPr>
        <w:t>. Loď byla uvolněna navzdory protestům ukrajinského velvyslanectví, které tvrdilo, že loď převážela ukradené ukrajinské obilí, které se majitel lodi snažil prodat v Libanonu. Dle nepotvrzených informací byl náklad vyložen v syrském přístavu Tart</w:t>
      </w:r>
      <w:r>
        <w:rPr>
          <w:rFonts w:cs="Arial"/>
        </w:rPr>
        <w:t>ú</w:t>
      </w:r>
      <w:r w:rsidRPr="00F66A80">
        <w:rPr>
          <w:rFonts w:cs="Arial"/>
        </w:rPr>
        <w:t>s.</w:t>
      </w:r>
    </w:p>
    <w:p w14:paraId="13698A67" w14:textId="79BA1D70" w:rsidR="00ED28F7" w:rsidRPr="00F66A80" w:rsidRDefault="00ED28F7" w:rsidP="00ED28F7">
      <w:pPr>
        <w:spacing w:line="276" w:lineRule="auto"/>
        <w:jc w:val="both"/>
        <w:rPr>
          <w:rFonts w:cs="Arial"/>
        </w:rPr>
      </w:pPr>
      <w:r w:rsidRPr="00F66A80">
        <w:rPr>
          <w:rFonts w:cs="Arial"/>
        </w:rPr>
        <w:t>Je patrné, že Rusko má velký zájem o upevněn</w:t>
      </w:r>
      <w:r>
        <w:rPr>
          <w:rFonts w:cs="Arial"/>
        </w:rPr>
        <w:t>í</w:t>
      </w:r>
      <w:r w:rsidRPr="00F66A80">
        <w:rPr>
          <w:rFonts w:cs="Arial"/>
        </w:rPr>
        <w:t xml:space="preserve"> své pozice v Libanonu, který považuje </w:t>
      </w:r>
      <w:r>
        <w:rPr>
          <w:rFonts w:cs="Arial"/>
        </w:rPr>
        <w:br/>
      </w:r>
      <w:r w:rsidRPr="00F66A80">
        <w:rPr>
          <w:rFonts w:cs="Arial"/>
        </w:rPr>
        <w:t xml:space="preserve">za strategicky důležitý v oblasti Blízkého východu. </w:t>
      </w:r>
    </w:p>
    <w:p w14:paraId="52EF42F2" w14:textId="77777777" w:rsidR="00ED28F7" w:rsidRPr="00F66A80" w:rsidRDefault="00ED28F7" w:rsidP="00ED28F7">
      <w:pPr>
        <w:spacing w:line="276" w:lineRule="auto"/>
        <w:jc w:val="both"/>
        <w:rPr>
          <w:rFonts w:cs="Arial"/>
        </w:rPr>
      </w:pPr>
      <w:r w:rsidRPr="00F66A80">
        <w:rPr>
          <w:rFonts w:cs="Arial"/>
        </w:rPr>
        <w:t>Libanon se k nabídce zatím oficiálně nevyjádřil, čeká se na stanovisko ministra hospodářství, kter</w:t>
      </w:r>
      <w:r>
        <w:rPr>
          <w:rFonts w:cs="Arial"/>
        </w:rPr>
        <w:t>ý</w:t>
      </w:r>
      <w:r w:rsidRPr="00F66A80">
        <w:rPr>
          <w:rFonts w:cs="Arial"/>
        </w:rPr>
        <w:t xml:space="preserve"> rozhoduje o dovozu komodit a strategických surovin nutných pro chod země. Česká ambasáda v Bejrútu, Libanonu, tuto záležitost sleduje a o vývoji situace bude informovat. </w:t>
      </w:r>
    </w:p>
    <w:p w14:paraId="29A969C0" w14:textId="77777777" w:rsidR="00950101" w:rsidRDefault="00950101" w:rsidP="002B273A"/>
    <w:p w14:paraId="0E5057F9"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lastRenderedPageBreak/>
        <w:t>VIETNAM</w:t>
      </w:r>
    </w:p>
    <w:p w14:paraId="3B4B95A4"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5DB89888"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4" w:history="1">
        <w:r w:rsidRPr="00D54C30">
          <w:rPr>
            <w:rStyle w:val="Hypertextovodkaz"/>
          </w:rPr>
          <w:t>lubos.marek@mze.cz</w:t>
        </w:r>
      </w:hyperlink>
      <w:r>
        <w:t xml:space="preserve"> / </w:t>
      </w:r>
      <w:hyperlink r:id="rId15" w:history="1">
        <w:r w:rsidRPr="00D54C30">
          <w:rPr>
            <w:rStyle w:val="Hypertextovodkaz"/>
          </w:rPr>
          <w:t>commerce_hanoi@mzv.cz</w:t>
        </w:r>
      </w:hyperlink>
      <w:r>
        <w:t xml:space="preserve"> </w:t>
      </w:r>
    </w:p>
    <w:p w14:paraId="7CF0545E" w14:textId="5E985588" w:rsidR="006F5BC1" w:rsidRPr="006F5BC1" w:rsidRDefault="006F5BC1" w:rsidP="006F5BC1">
      <w:pPr>
        <w:pStyle w:val="Nadpis3"/>
        <w:rPr>
          <w:rFonts w:eastAsia="Times New Roman"/>
        </w:rPr>
      </w:pPr>
      <w:r w:rsidRPr="006F5BC1">
        <w:rPr>
          <w:rFonts w:eastAsia="Times New Roman"/>
        </w:rPr>
        <w:t>Vietnamská korporace THACO se připravuje na miliardové tržby svého řetězce supermarketů</w:t>
      </w:r>
    </w:p>
    <w:p w14:paraId="2AE19D59" w14:textId="77777777" w:rsidR="006F5BC1" w:rsidRPr="00D50BF7" w:rsidRDefault="006F5BC1" w:rsidP="006F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Arial"/>
        </w:rPr>
      </w:pPr>
    </w:p>
    <w:p w14:paraId="2C5E3B45" w14:textId="0DB93DE1" w:rsidR="006F5BC1" w:rsidRPr="006F5BC1" w:rsidRDefault="006F5BC1" w:rsidP="006F5BC1">
      <w:pPr>
        <w:spacing w:line="276" w:lineRule="auto"/>
        <w:jc w:val="both"/>
        <w:rPr>
          <w:rFonts w:cs="Arial"/>
        </w:rPr>
      </w:pPr>
      <w:r w:rsidRPr="006F5BC1">
        <w:rPr>
          <w:rFonts w:cs="Arial"/>
        </w:rPr>
        <w:t>Prezident korporace THACO, Tran Ba Duong uvedl, že řetězec supermarketů E-mart otevře do roku 2026 dvacet provozoven a měl by vykazovat tržby v řádech miliard dolarů. Zatím jediný obchod (v Ho Či Minově Městě v distriktu Go Vap) měl v loňském roce tržby ve výši 1,6 mld. Kč. „S dvaceti obchody by naše tržby mohly dosáhnout 32 mld. Kč (1,37 mld. dolarů), takže miliarda dolarů není nereálný cíl“, prohlásil pan Duong.</w:t>
      </w:r>
    </w:p>
    <w:p w14:paraId="36149B09" w14:textId="77777777" w:rsidR="006F5BC1" w:rsidRPr="006F5BC1" w:rsidRDefault="006F5BC1" w:rsidP="006F5BC1">
      <w:pPr>
        <w:spacing w:line="276" w:lineRule="auto"/>
        <w:jc w:val="both"/>
        <w:rPr>
          <w:rFonts w:cs="Arial"/>
        </w:rPr>
      </w:pPr>
      <w:r w:rsidRPr="006F5BC1">
        <w:rPr>
          <w:rFonts w:cs="Arial"/>
        </w:rPr>
        <w:t>Jihokorejský E-mart vstoupil do Vietnamu v roce 2015 a v loňském roce získal jeho místní provoz v rámci franšízové dohody výrobce aut THACO.</w:t>
      </w:r>
    </w:p>
    <w:p w14:paraId="4F8C815C" w14:textId="77777777" w:rsidR="006F5BC1" w:rsidRPr="006F5BC1" w:rsidRDefault="006F5BC1" w:rsidP="006F5BC1">
      <w:pPr>
        <w:spacing w:line="276" w:lineRule="auto"/>
        <w:jc w:val="both"/>
        <w:rPr>
          <w:rFonts w:cs="Arial"/>
        </w:rPr>
      </w:pPr>
      <w:r w:rsidRPr="006F5BC1">
        <w:rPr>
          <w:rFonts w:cs="Arial"/>
        </w:rPr>
        <w:t>Podle franšízové smlouvy musí být do roku 2026 otevřeno alespoň 20 obchodů. "Každý rok budou muset být otevřeny dva nebo tři nové supermarkety," dodal pan Duong: „Letos budou otevřeny dva nové obchody, oba v Hočiminově Městě, v distriktu Go Vap a v Thu Duc. Distrikt 7 a Binh Tan jsou další vhodná místa pro expanzi.“</w:t>
      </w:r>
    </w:p>
    <w:p w14:paraId="5398FD6B" w14:textId="232B3DBC" w:rsidR="00F7168B" w:rsidRDefault="006F5BC1" w:rsidP="006F5BC1">
      <w:pPr>
        <w:spacing w:line="276" w:lineRule="auto"/>
        <w:jc w:val="both"/>
        <w:rPr>
          <w:rFonts w:cs="Arial"/>
        </w:rPr>
      </w:pPr>
      <w:r w:rsidRPr="006F5BC1">
        <w:rPr>
          <w:rFonts w:cs="Arial"/>
        </w:rPr>
        <w:t>Korporace THACO se primárně zaměřuje na automobilový průmysl, zejména na užitkové vozy a autobusy. Dalšími aktivitami této (jedné z mnoha vietnamských multioborových společností) je zemědělská výroba, logistika, investice ve stavebnictví, obchod, služby atd. Skupina THACO má 2 holdingy: THACO AUTO, THAGRICO a 4 dceřiné společnosti.</w:t>
      </w:r>
    </w:p>
    <w:p w14:paraId="4CEC1642" w14:textId="77777777" w:rsidR="006F5BC1" w:rsidRPr="006F5BC1" w:rsidRDefault="006F5BC1" w:rsidP="006F5BC1">
      <w:pPr>
        <w:spacing w:line="276" w:lineRule="auto"/>
        <w:jc w:val="both"/>
        <w:rPr>
          <w:rFonts w:cs="Arial"/>
        </w:rPr>
      </w:pPr>
    </w:p>
    <w:p w14:paraId="24311CCA" w14:textId="41DB93BB" w:rsidR="00F7168B" w:rsidRPr="00587417" w:rsidRDefault="00F7168B" w:rsidP="00F7168B">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0B2A2B02" w14:textId="18EEA439" w:rsidR="00F7168B" w:rsidRDefault="00F7168B" w:rsidP="00F7168B">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 xml:space="preserve">Artjom Lukašov, Místní zástupce ČR pro </w:t>
      </w:r>
      <w:r w:rsidRPr="00BC015D">
        <w:rPr>
          <w:rFonts w:cs="Arial"/>
        </w:rPr>
        <w:t>pro agro-potravinářství</w:t>
      </w:r>
      <w:r>
        <w:rPr>
          <w:rFonts w:cs="Arial"/>
        </w:rPr>
        <w:t xml:space="preserve">, velvyslanectví ČR </w:t>
      </w:r>
      <w:r>
        <w:rPr>
          <w:rFonts w:cs="Arial"/>
        </w:rPr>
        <w:br/>
        <w:t>v Nur-Sultánu, t</w:t>
      </w:r>
      <w:r w:rsidRPr="00F7168B">
        <w:rPr>
          <w:rFonts w:cs="Arial"/>
        </w:rPr>
        <w:t>el: +7 701 5150541</w:t>
      </w:r>
      <w:r>
        <w:rPr>
          <w:rFonts w:cs="Arial"/>
        </w:rPr>
        <w:t xml:space="preserve">, </w:t>
      </w:r>
      <w:r w:rsidRPr="00F7168B">
        <w:rPr>
          <w:rFonts w:cs="Arial"/>
        </w:rPr>
        <w:t xml:space="preserve">e-mail: </w:t>
      </w:r>
      <w:hyperlink r:id="rId16" w:history="1">
        <w:r w:rsidRPr="00E33DFA">
          <w:rPr>
            <w:rStyle w:val="Hypertextovodkaz"/>
            <w:rFonts w:cs="Arial"/>
          </w:rPr>
          <w:t>artom_lukasov@mzv.cz</w:t>
        </w:r>
      </w:hyperlink>
      <w:r>
        <w:rPr>
          <w:rFonts w:cs="Arial"/>
        </w:rPr>
        <w:t xml:space="preserve"> </w:t>
      </w:r>
      <w:r w:rsidRPr="00062DAB">
        <w:rPr>
          <w:rFonts w:cs="Arial"/>
        </w:rPr>
        <w:t>–</w:t>
      </w:r>
      <w:r>
        <w:rPr>
          <w:rFonts w:cs="Arial"/>
        </w:rPr>
        <w:t xml:space="preserve"> </w:t>
      </w:r>
      <w:r w:rsidRPr="00062DAB">
        <w:rPr>
          <w:rFonts w:cs="Arial"/>
        </w:rPr>
        <w:t xml:space="preserve">komunikace v angličtině </w:t>
      </w:r>
      <w:r>
        <w:rPr>
          <w:rFonts w:cs="Arial"/>
        </w:rPr>
        <w:t>a</w:t>
      </w:r>
      <w:r w:rsidR="006F5BC1">
        <w:rPr>
          <w:rFonts w:cs="Arial"/>
        </w:rPr>
        <w:t xml:space="preserve"> v</w:t>
      </w:r>
      <w:r>
        <w:rPr>
          <w:rFonts w:cs="Arial"/>
        </w:rPr>
        <w:t xml:space="preserve"> ruštině</w:t>
      </w:r>
    </w:p>
    <w:p w14:paraId="297E3516" w14:textId="3E455FF9" w:rsidR="00C15C2F" w:rsidRDefault="00C15C2F" w:rsidP="00C15C2F">
      <w:pPr>
        <w:pStyle w:val="Nadpis3"/>
      </w:pPr>
      <w:r>
        <w:t xml:space="preserve">Zvýhodněné programy pro nákup zemědělských strojů v Kazachstánu </w:t>
      </w:r>
    </w:p>
    <w:p w14:paraId="4C746CC9" w14:textId="77777777" w:rsidR="00C15C2F" w:rsidRDefault="00C15C2F" w:rsidP="00C15C2F">
      <w:pPr>
        <w:jc w:val="both"/>
        <w:rPr>
          <w:rFonts w:cs="Arial"/>
        </w:rPr>
      </w:pPr>
    </w:p>
    <w:p w14:paraId="2ED008D3" w14:textId="3105F428" w:rsidR="00C15C2F" w:rsidRDefault="00C15C2F" w:rsidP="00C15C2F">
      <w:pPr>
        <w:jc w:val="both"/>
        <w:rPr>
          <w:rFonts w:cs="Arial"/>
        </w:rPr>
      </w:pPr>
      <w:r w:rsidRPr="00CC115F">
        <w:rPr>
          <w:rFonts w:cs="Arial"/>
        </w:rPr>
        <w:t xml:space="preserve">Podle </w:t>
      </w:r>
      <w:r>
        <w:rPr>
          <w:rFonts w:cs="Arial"/>
        </w:rPr>
        <w:t>M</w:t>
      </w:r>
      <w:r w:rsidRPr="00CC115F">
        <w:rPr>
          <w:rFonts w:cs="Arial"/>
        </w:rPr>
        <w:t>inisterstva zemědělství</w:t>
      </w:r>
      <w:r>
        <w:rPr>
          <w:rFonts w:cs="Arial"/>
        </w:rPr>
        <w:t xml:space="preserve"> Kazachstánu</w:t>
      </w:r>
      <w:r w:rsidRPr="00CC115F">
        <w:rPr>
          <w:rFonts w:cs="Arial"/>
        </w:rPr>
        <w:t xml:space="preserve"> je k 1. lednu </w:t>
      </w:r>
      <w:r>
        <w:rPr>
          <w:rFonts w:cs="Arial"/>
        </w:rPr>
        <w:t>2022</w:t>
      </w:r>
      <w:r w:rsidRPr="00CC115F">
        <w:rPr>
          <w:rFonts w:cs="Arial"/>
        </w:rPr>
        <w:t xml:space="preserve"> </w:t>
      </w:r>
      <w:r>
        <w:rPr>
          <w:rFonts w:cs="Arial"/>
        </w:rPr>
        <w:t>registrováno</w:t>
      </w:r>
      <w:r w:rsidRPr="00CC115F">
        <w:rPr>
          <w:rFonts w:cs="Arial"/>
        </w:rPr>
        <w:t xml:space="preserve"> 147 700 traktorů a 38 100 kombajnů, jejichž technické opotřebení dosahuje 80 %. </w:t>
      </w:r>
    </w:p>
    <w:p w14:paraId="7DEF558C" w14:textId="77777777" w:rsidR="00C15C2F" w:rsidRDefault="00C15C2F" w:rsidP="00C15C2F">
      <w:pPr>
        <w:jc w:val="both"/>
        <w:rPr>
          <w:rFonts w:cs="Arial"/>
        </w:rPr>
      </w:pPr>
      <w:r w:rsidRPr="00CC115F">
        <w:rPr>
          <w:rFonts w:cs="Arial"/>
        </w:rPr>
        <w:t xml:space="preserve">Kazašští farmáři se koncem července obrátili na hlavu státu otevřeným dopisem, ve kterém žádali o urychlení procesu přijetí státního zvýhodněného programu </w:t>
      </w:r>
      <w:r>
        <w:rPr>
          <w:rFonts w:cs="Arial"/>
        </w:rPr>
        <w:t>poskytující</w:t>
      </w:r>
      <w:r w:rsidRPr="00CC115F">
        <w:rPr>
          <w:rFonts w:cs="Arial"/>
        </w:rPr>
        <w:t xml:space="preserve"> leasing </w:t>
      </w:r>
      <w:r>
        <w:rPr>
          <w:rFonts w:cs="Arial"/>
        </w:rPr>
        <w:t xml:space="preserve">pro </w:t>
      </w:r>
      <w:r w:rsidRPr="00CC115F">
        <w:rPr>
          <w:rFonts w:cs="Arial"/>
        </w:rPr>
        <w:t>zemědělsk</w:t>
      </w:r>
      <w:r>
        <w:rPr>
          <w:rFonts w:cs="Arial"/>
        </w:rPr>
        <w:t>ou</w:t>
      </w:r>
      <w:r w:rsidRPr="00CC115F">
        <w:rPr>
          <w:rFonts w:cs="Arial"/>
        </w:rPr>
        <w:t xml:space="preserve"> technik</w:t>
      </w:r>
      <w:r>
        <w:rPr>
          <w:rFonts w:cs="Arial"/>
        </w:rPr>
        <w:t>u</w:t>
      </w:r>
      <w:r w:rsidRPr="00CC115F">
        <w:rPr>
          <w:rFonts w:cs="Arial"/>
        </w:rPr>
        <w:t>. Od 5. srpna</w:t>
      </w:r>
      <w:r>
        <w:rPr>
          <w:rFonts w:cs="Arial"/>
        </w:rPr>
        <w:t xml:space="preserve"> 2022</w:t>
      </w:r>
      <w:r w:rsidRPr="00CC115F">
        <w:rPr>
          <w:rFonts w:cs="Arial"/>
        </w:rPr>
        <w:t xml:space="preserve"> začalo posuzování žádostí o </w:t>
      </w:r>
      <w:r>
        <w:rPr>
          <w:rFonts w:cs="Arial"/>
        </w:rPr>
        <w:t xml:space="preserve">poskytování </w:t>
      </w:r>
      <w:r w:rsidRPr="00CC115F">
        <w:rPr>
          <w:rFonts w:cs="Arial"/>
        </w:rPr>
        <w:t>leasing</w:t>
      </w:r>
      <w:r>
        <w:rPr>
          <w:rFonts w:cs="Arial"/>
        </w:rPr>
        <w:t>u pro</w:t>
      </w:r>
      <w:r w:rsidRPr="00CC115F">
        <w:rPr>
          <w:rFonts w:cs="Arial"/>
        </w:rPr>
        <w:t xml:space="preserve"> zemědělsk</w:t>
      </w:r>
      <w:r>
        <w:rPr>
          <w:rFonts w:cs="Arial"/>
        </w:rPr>
        <w:t>é</w:t>
      </w:r>
      <w:r w:rsidRPr="00CC115F">
        <w:rPr>
          <w:rFonts w:cs="Arial"/>
        </w:rPr>
        <w:t xml:space="preserve"> stroj</w:t>
      </w:r>
      <w:r>
        <w:rPr>
          <w:rFonts w:cs="Arial"/>
        </w:rPr>
        <w:t xml:space="preserve">e. Ke schválení žádosti dojde </w:t>
      </w:r>
      <w:r w:rsidRPr="00CC115F">
        <w:rPr>
          <w:rFonts w:cs="Arial"/>
        </w:rPr>
        <w:t>za následujících podmínek:</w:t>
      </w:r>
      <w:r>
        <w:rPr>
          <w:rFonts w:cs="Arial"/>
        </w:rPr>
        <w:t xml:space="preserve"> </w:t>
      </w:r>
    </w:p>
    <w:p w14:paraId="61B1E653" w14:textId="77777777" w:rsidR="00C15C2F" w:rsidRDefault="00C15C2F" w:rsidP="00C15C2F">
      <w:pPr>
        <w:pStyle w:val="Odstavecseseznamem"/>
        <w:numPr>
          <w:ilvl w:val="0"/>
          <w:numId w:val="32"/>
        </w:numPr>
        <w:spacing w:after="160" w:line="259" w:lineRule="auto"/>
        <w:jc w:val="both"/>
        <w:rPr>
          <w:rFonts w:cs="Arial"/>
        </w:rPr>
      </w:pPr>
      <w:r w:rsidRPr="00CC115F">
        <w:rPr>
          <w:rFonts w:cs="Arial"/>
        </w:rPr>
        <w:t>doba pronájmu – až 10 let;</w:t>
      </w:r>
    </w:p>
    <w:p w14:paraId="00DDF1C5" w14:textId="77777777" w:rsidR="00C15C2F" w:rsidRDefault="00C15C2F" w:rsidP="00C15C2F">
      <w:pPr>
        <w:pStyle w:val="Odstavecseseznamem"/>
        <w:numPr>
          <w:ilvl w:val="0"/>
          <w:numId w:val="32"/>
        </w:numPr>
        <w:spacing w:after="160" w:line="259" w:lineRule="auto"/>
        <w:jc w:val="both"/>
        <w:rPr>
          <w:rFonts w:cs="Arial"/>
        </w:rPr>
      </w:pPr>
      <w:r w:rsidRPr="00CC115F">
        <w:rPr>
          <w:rFonts w:cs="Arial"/>
        </w:rPr>
        <w:t>úroková sazba – 6 % ročně;</w:t>
      </w:r>
    </w:p>
    <w:p w14:paraId="5D90D075" w14:textId="77777777" w:rsidR="00C15C2F" w:rsidRDefault="00C15C2F" w:rsidP="00C15C2F">
      <w:pPr>
        <w:pStyle w:val="Odstavecseseznamem"/>
        <w:numPr>
          <w:ilvl w:val="0"/>
          <w:numId w:val="32"/>
        </w:numPr>
        <w:spacing w:after="160" w:line="259" w:lineRule="auto"/>
        <w:jc w:val="both"/>
        <w:rPr>
          <w:rFonts w:cs="Arial"/>
        </w:rPr>
      </w:pPr>
      <w:r w:rsidRPr="00CC115F">
        <w:rPr>
          <w:rFonts w:cs="Arial"/>
        </w:rPr>
        <w:t>počáteční splátka (akontace) na leasing – 0 % z hodnoty předmětu;</w:t>
      </w:r>
    </w:p>
    <w:p w14:paraId="1799F3B2" w14:textId="77777777" w:rsidR="00C15C2F" w:rsidRDefault="00C15C2F" w:rsidP="00C15C2F">
      <w:pPr>
        <w:pStyle w:val="Odstavecseseznamem"/>
        <w:numPr>
          <w:ilvl w:val="0"/>
          <w:numId w:val="32"/>
        </w:numPr>
        <w:spacing w:after="160" w:line="259" w:lineRule="auto"/>
        <w:jc w:val="both"/>
        <w:rPr>
          <w:rFonts w:cs="Arial"/>
        </w:rPr>
      </w:pPr>
      <w:r w:rsidRPr="00CC115F">
        <w:rPr>
          <w:rFonts w:cs="Arial"/>
        </w:rPr>
        <w:t>doba odkladu splacení jistiny – 1 rok;</w:t>
      </w:r>
    </w:p>
    <w:p w14:paraId="0826B4C8" w14:textId="77777777" w:rsidR="00C15C2F" w:rsidRPr="00CC115F" w:rsidRDefault="00C15C2F" w:rsidP="00ED28F7">
      <w:pPr>
        <w:pStyle w:val="Odstavecseseznamem"/>
        <w:numPr>
          <w:ilvl w:val="0"/>
          <w:numId w:val="32"/>
        </w:numPr>
        <w:spacing w:line="259" w:lineRule="auto"/>
        <w:jc w:val="both"/>
        <w:rPr>
          <w:rFonts w:cs="Arial"/>
        </w:rPr>
      </w:pPr>
      <w:r w:rsidRPr="00CC115F">
        <w:rPr>
          <w:rFonts w:cs="Arial"/>
        </w:rPr>
        <w:t>výše financování – ne více než 205 000 000 tenge</w:t>
      </w:r>
      <w:r>
        <w:rPr>
          <w:rFonts w:cs="Arial"/>
        </w:rPr>
        <w:t xml:space="preserve"> (v přepočtu na CZK činí 10,1 mil.)</w:t>
      </w:r>
      <w:r>
        <w:rPr>
          <w:rFonts w:cs="Arial"/>
        </w:rPr>
        <w:br/>
      </w:r>
      <w:r w:rsidRPr="00CC115F">
        <w:rPr>
          <w:rFonts w:cs="Arial"/>
        </w:rPr>
        <w:t>a ne více než tři jednotky zemědělské techniky na nájemce.</w:t>
      </w:r>
    </w:p>
    <w:p w14:paraId="4FF20A36" w14:textId="77777777" w:rsidR="00C15C2F" w:rsidRDefault="00C15C2F" w:rsidP="00C15C2F">
      <w:pPr>
        <w:jc w:val="both"/>
        <w:rPr>
          <w:rFonts w:cs="Arial"/>
        </w:rPr>
      </w:pPr>
      <w:r w:rsidRPr="00CC115F">
        <w:rPr>
          <w:rFonts w:cs="Arial"/>
        </w:rPr>
        <w:t xml:space="preserve">Důležitou podmínkou je také to, že financování na jednoho nájemce bude poskytnuto maximálně jednou za období dvou let. Programu se zúčastní tyto </w:t>
      </w:r>
      <w:r>
        <w:rPr>
          <w:rFonts w:cs="Arial"/>
        </w:rPr>
        <w:t xml:space="preserve">značky </w:t>
      </w:r>
      <w:r w:rsidRPr="00CC115F">
        <w:rPr>
          <w:rFonts w:cs="Arial"/>
        </w:rPr>
        <w:t xml:space="preserve">zemědělské </w:t>
      </w:r>
      <w:r>
        <w:rPr>
          <w:rFonts w:cs="Arial"/>
        </w:rPr>
        <w:t xml:space="preserve">techniky </w:t>
      </w:r>
      <w:r w:rsidRPr="00CC115F">
        <w:rPr>
          <w:rFonts w:cs="Arial"/>
        </w:rPr>
        <w:t>domácí výroby (montáž):</w:t>
      </w:r>
    </w:p>
    <w:p w14:paraId="137EA43E" w14:textId="77777777" w:rsidR="00C15C2F" w:rsidRDefault="00C15C2F" w:rsidP="00C15C2F">
      <w:pPr>
        <w:pStyle w:val="Odstavecseseznamem"/>
        <w:numPr>
          <w:ilvl w:val="0"/>
          <w:numId w:val="33"/>
        </w:numPr>
        <w:spacing w:after="160" w:line="259" w:lineRule="auto"/>
        <w:jc w:val="both"/>
        <w:rPr>
          <w:rFonts w:cs="Arial"/>
        </w:rPr>
      </w:pPr>
      <w:r w:rsidRPr="00CC115F">
        <w:rPr>
          <w:rFonts w:cs="Arial"/>
        </w:rPr>
        <w:t>Traktory značek LOVOL, DEUTZ FAHR, TURAN, KIROVETS, BELARUS, RSM, YTO, CLAAS XERION, DONG FENG, WUZHENG</w:t>
      </w:r>
    </w:p>
    <w:p w14:paraId="7C6FA434" w14:textId="77777777" w:rsidR="00C15C2F" w:rsidRDefault="00C15C2F" w:rsidP="00ED28F7">
      <w:pPr>
        <w:pStyle w:val="Odstavecseseznamem"/>
        <w:numPr>
          <w:ilvl w:val="0"/>
          <w:numId w:val="33"/>
        </w:numPr>
        <w:spacing w:line="259" w:lineRule="auto"/>
        <w:jc w:val="both"/>
        <w:rPr>
          <w:rFonts w:cs="Arial"/>
        </w:rPr>
      </w:pPr>
      <w:r w:rsidRPr="00CC115F">
        <w:rPr>
          <w:rFonts w:cs="Arial"/>
        </w:rPr>
        <w:t>Obilné kombajny (rýžové kombajny) značek ESSIL, VECTOR, ACROS, TORUM, CLAAS TRION, DEUTZ FAHR;</w:t>
      </w:r>
    </w:p>
    <w:p w14:paraId="36DCC23D" w14:textId="0E43E78E" w:rsidR="00F7168B" w:rsidRPr="00C15C2F" w:rsidRDefault="00C15C2F" w:rsidP="00C15C2F">
      <w:pPr>
        <w:jc w:val="both"/>
        <w:rPr>
          <w:rFonts w:cs="Arial"/>
        </w:rPr>
      </w:pPr>
      <w:r w:rsidRPr="00CC115F">
        <w:rPr>
          <w:rFonts w:cs="Arial"/>
        </w:rPr>
        <w:lastRenderedPageBreak/>
        <w:t>Financování v rámci programu zvýhodněného leasingu zemědělské techniky bude revolvingové, tj. platby ze splátky stávajícího leasingu budou opět zasílány na uzavření nových smluv leasingu. Samotný program bude koncipován na 20 let.</w:t>
      </w:r>
    </w:p>
    <w:sectPr w:rsidR="00F7168B" w:rsidRPr="00C15C2F"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30BFB" w14:textId="77777777" w:rsidR="00C66179" w:rsidRDefault="00C66179" w:rsidP="00D4434C">
      <w:r>
        <w:separator/>
      </w:r>
    </w:p>
  </w:endnote>
  <w:endnote w:type="continuationSeparator" w:id="0">
    <w:p w14:paraId="146BBD3A" w14:textId="77777777" w:rsidR="00C66179" w:rsidRDefault="00C66179"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510708"/>
      <w:docPartObj>
        <w:docPartGallery w:val="Page Numbers (Bottom of Page)"/>
        <w:docPartUnique/>
      </w:docPartObj>
    </w:sdtPr>
    <w:sdtEndPr/>
    <w:sdtContent>
      <w:p w14:paraId="0CFAC9CC" w14:textId="77777777" w:rsidR="00D4434C" w:rsidRDefault="00D4434C">
        <w:pPr>
          <w:pStyle w:val="Zpat"/>
          <w:jc w:val="center"/>
        </w:pPr>
        <w:r>
          <w:fldChar w:fldCharType="begin"/>
        </w:r>
        <w:r>
          <w:instrText>PAGE   \* MERGEFORMAT</w:instrText>
        </w:r>
        <w:r>
          <w:fldChar w:fldCharType="separate"/>
        </w:r>
        <w:r w:rsidR="003E1FFC">
          <w:rPr>
            <w:noProof/>
          </w:rPr>
          <w:t>4</w:t>
        </w:r>
        <w:r>
          <w:fldChar w:fldCharType="end"/>
        </w:r>
      </w:p>
    </w:sdtContent>
  </w:sdt>
  <w:p w14:paraId="0C1C43FF"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ED714" w14:textId="77777777" w:rsidR="00C66179" w:rsidRDefault="00C66179" w:rsidP="00D4434C">
      <w:r>
        <w:separator/>
      </w:r>
    </w:p>
  </w:footnote>
  <w:footnote w:type="continuationSeparator" w:id="0">
    <w:p w14:paraId="05811F07" w14:textId="77777777" w:rsidR="00C66179" w:rsidRDefault="00C66179"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BC690F"/>
    <w:multiLevelType w:val="hybridMultilevel"/>
    <w:tmpl w:val="7D8E4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0B4F28"/>
    <w:multiLevelType w:val="hybridMultilevel"/>
    <w:tmpl w:val="DB12D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11"/>
  </w:num>
  <w:num w:numId="5">
    <w:abstractNumId w:val="25"/>
  </w:num>
  <w:num w:numId="6">
    <w:abstractNumId w:val="27"/>
  </w:num>
  <w:num w:numId="7">
    <w:abstractNumId w:val="22"/>
  </w:num>
  <w:num w:numId="8">
    <w:abstractNumId w:val="3"/>
  </w:num>
  <w:num w:numId="9">
    <w:abstractNumId w:val="10"/>
  </w:num>
  <w:num w:numId="10">
    <w:abstractNumId w:val="7"/>
  </w:num>
  <w:num w:numId="11">
    <w:abstractNumId w:val="20"/>
  </w:num>
  <w:num w:numId="12">
    <w:abstractNumId w:val="13"/>
  </w:num>
  <w:num w:numId="13">
    <w:abstractNumId w:val="32"/>
  </w:num>
  <w:num w:numId="14">
    <w:abstractNumId w:val="9"/>
  </w:num>
  <w:num w:numId="15">
    <w:abstractNumId w:val="2"/>
  </w:num>
  <w:num w:numId="16">
    <w:abstractNumId w:val="16"/>
  </w:num>
  <w:num w:numId="17">
    <w:abstractNumId w:val="8"/>
  </w:num>
  <w:num w:numId="18">
    <w:abstractNumId w:val="1"/>
  </w:num>
  <w:num w:numId="19">
    <w:abstractNumId w:val="30"/>
  </w:num>
  <w:num w:numId="20">
    <w:abstractNumId w:val="29"/>
  </w:num>
  <w:num w:numId="21">
    <w:abstractNumId w:val="0"/>
  </w:num>
  <w:num w:numId="22">
    <w:abstractNumId w:val="5"/>
  </w:num>
  <w:num w:numId="23">
    <w:abstractNumId w:val="31"/>
  </w:num>
  <w:num w:numId="24">
    <w:abstractNumId w:val="15"/>
  </w:num>
  <w:num w:numId="25">
    <w:abstractNumId w:val="4"/>
  </w:num>
  <w:num w:numId="26">
    <w:abstractNumId w:val="24"/>
  </w:num>
  <w:num w:numId="27">
    <w:abstractNumId w:val="28"/>
  </w:num>
  <w:num w:numId="28">
    <w:abstractNumId w:val="18"/>
  </w:num>
  <w:num w:numId="29">
    <w:abstractNumId w:val="12"/>
  </w:num>
  <w:num w:numId="30">
    <w:abstractNumId w:val="14"/>
  </w:num>
  <w:num w:numId="31">
    <w:abstractNumId w:val="17"/>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23FF9"/>
    <w:rsid w:val="00035FAD"/>
    <w:rsid w:val="000458E0"/>
    <w:rsid w:val="00056BBE"/>
    <w:rsid w:val="00061EED"/>
    <w:rsid w:val="00062DAB"/>
    <w:rsid w:val="000663DF"/>
    <w:rsid w:val="000A4F06"/>
    <w:rsid w:val="000B199E"/>
    <w:rsid w:val="000F24FC"/>
    <w:rsid w:val="000F717B"/>
    <w:rsid w:val="00126ADE"/>
    <w:rsid w:val="00146BCF"/>
    <w:rsid w:val="001A1803"/>
    <w:rsid w:val="001D3F62"/>
    <w:rsid w:val="001E5189"/>
    <w:rsid w:val="001F023C"/>
    <w:rsid w:val="001F29AF"/>
    <w:rsid w:val="00216114"/>
    <w:rsid w:val="00223F87"/>
    <w:rsid w:val="002254B6"/>
    <w:rsid w:val="002550D0"/>
    <w:rsid w:val="00260021"/>
    <w:rsid w:val="002616B5"/>
    <w:rsid w:val="00267D97"/>
    <w:rsid w:val="0029182F"/>
    <w:rsid w:val="002A2D85"/>
    <w:rsid w:val="002A56DF"/>
    <w:rsid w:val="002B273A"/>
    <w:rsid w:val="002B7265"/>
    <w:rsid w:val="002E5EAD"/>
    <w:rsid w:val="00320492"/>
    <w:rsid w:val="003266AD"/>
    <w:rsid w:val="00334F25"/>
    <w:rsid w:val="0034637A"/>
    <w:rsid w:val="00370E34"/>
    <w:rsid w:val="003964FA"/>
    <w:rsid w:val="003D2B3B"/>
    <w:rsid w:val="003D56E1"/>
    <w:rsid w:val="003E1FFC"/>
    <w:rsid w:val="004232BE"/>
    <w:rsid w:val="00451CEF"/>
    <w:rsid w:val="004559E3"/>
    <w:rsid w:val="00457E05"/>
    <w:rsid w:val="00483184"/>
    <w:rsid w:val="004962CD"/>
    <w:rsid w:val="004A6C5B"/>
    <w:rsid w:val="004C2F7E"/>
    <w:rsid w:val="004C3951"/>
    <w:rsid w:val="004E6FCD"/>
    <w:rsid w:val="004F1D9E"/>
    <w:rsid w:val="00505C2E"/>
    <w:rsid w:val="005248F4"/>
    <w:rsid w:val="00524BA5"/>
    <w:rsid w:val="00531E4A"/>
    <w:rsid w:val="00536674"/>
    <w:rsid w:val="00542F11"/>
    <w:rsid w:val="00587417"/>
    <w:rsid w:val="005C3BF7"/>
    <w:rsid w:val="005C7667"/>
    <w:rsid w:val="005D5E3F"/>
    <w:rsid w:val="005D69CD"/>
    <w:rsid w:val="005D7F74"/>
    <w:rsid w:val="005E20B4"/>
    <w:rsid w:val="005F1FD0"/>
    <w:rsid w:val="00601729"/>
    <w:rsid w:val="00613A7D"/>
    <w:rsid w:val="00624467"/>
    <w:rsid w:val="00631587"/>
    <w:rsid w:val="00636521"/>
    <w:rsid w:val="00640BD1"/>
    <w:rsid w:val="00656C69"/>
    <w:rsid w:val="00661DC5"/>
    <w:rsid w:val="0067358D"/>
    <w:rsid w:val="006805F4"/>
    <w:rsid w:val="006931C2"/>
    <w:rsid w:val="006A353A"/>
    <w:rsid w:val="006A382E"/>
    <w:rsid w:val="006F5BC1"/>
    <w:rsid w:val="006F79AC"/>
    <w:rsid w:val="00715795"/>
    <w:rsid w:val="00717F96"/>
    <w:rsid w:val="007765B1"/>
    <w:rsid w:val="00780119"/>
    <w:rsid w:val="0078308B"/>
    <w:rsid w:val="00790E93"/>
    <w:rsid w:val="00795E13"/>
    <w:rsid w:val="007974CE"/>
    <w:rsid w:val="007A531E"/>
    <w:rsid w:val="007F3E9B"/>
    <w:rsid w:val="007F44D0"/>
    <w:rsid w:val="007F5F98"/>
    <w:rsid w:val="00807D31"/>
    <w:rsid w:val="00886E98"/>
    <w:rsid w:val="00892A59"/>
    <w:rsid w:val="00892E02"/>
    <w:rsid w:val="00897840"/>
    <w:rsid w:val="008A1099"/>
    <w:rsid w:val="008A6BB3"/>
    <w:rsid w:val="008A799A"/>
    <w:rsid w:val="008B3F8F"/>
    <w:rsid w:val="00937595"/>
    <w:rsid w:val="00950101"/>
    <w:rsid w:val="00952BF6"/>
    <w:rsid w:val="009677BC"/>
    <w:rsid w:val="00974743"/>
    <w:rsid w:val="00993C8E"/>
    <w:rsid w:val="009B3873"/>
    <w:rsid w:val="00A43583"/>
    <w:rsid w:val="00A5023F"/>
    <w:rsid w:val="00A519C7"/>
    <w:rsid w:val="00A51E70"/>
    <w:rsid w:val="00A53226"/>
    <w:rsid w:val="00A57E6D"/>
    <w:rsid w:val="00A91B8F"/>
    <w:rsid w:val="00AB1996"/>
    <w:rsid w:val="00AB3AE2"/>
    <w:rsid w:val="00AD54F3"/>
    <w:rsid w:val="00AE3F61"/>
    <w:rsid w:val="00AF519C"/>
    <w:rsid w:val="00AF51BE"/>
    <w:rsid w:val="00B05BDF"/>
    <w:rsid w:val="00B167F4"/>
    <w:rsid w:val="00B173B4"/>
    <w:rsid w:val="00B208A7"/>
    <w:rsid w:val="00B2558D"/>
    <w:rsid w:val="00B27E33"/>
    <w:rsid w:val="00B318F6"/>
    <w:rsid w:val="00B554B9"/>
    <w:rsid w:val="00B94599"/>
    <w:rsid w:val="00BA6A5B"/>
    <w:rsid w:val="00BC341A"/>
    <w:rsid w:val="00BC4BD8"/>
    <w:rsid w:val="00BD647F"/>
    <w:rsid w:val="00BD6ED0"/>
    <w:rsid w:val="00BD7227"/>
    <w:rsid w:val="00BE6CBB"/>
    <w:rsid w:val="00C0233A"/>
    <w:rsid w:val="00C051BA"/>
    <w:rsid w:val="00C15C2F"/>
    <w:rsid w:val="00C34CC6"/>
    <w:rsid w:val="00C57B4E"/>
    <w:rsid w:val="00C66179"/>
    <w:rsid w:val="00C833B6"/>
    <w:rsid w:val="00CA1C10"/>
    <w:rsid w:val="00CA2C8C"/>
    <w:rsid w:val="00CA478D"/>
    <w:rsid w:val="00CB4795"/>
    <w:rsid w:val="00CC18E4"/>
    <w:rsid w:val="00CC2E9E"/>
    <w:rsid w:val="00CD21C3"/>
    <w:rsid w:val="00D05C35"/>
    <w:rsid w:val="00D3081C"/>
    <w:rsid w:val="00D34157"/>
    <w:rsid w:val="00D4434C"/>
    <w:rsid w:val="00D66EC0"/>
    <w:rsid w:val="00D71800"/>
    <w:rsid w:val="00D85D3C"/>
    <w:rsid w:val="00DA01A0"/>
    <w:rsid w:val="00DA25B0"/>
    <w:rsid w:val="00DB022E"/>
    <w:rsid w:val="00DB0371"/>
    <w:rsid w:val="00DB24CC"/>
    <w:rsid w:val="00DB3BA7"/>
    <w:rsid w:val="00E0689A"/>
    <w:rsid w:val="00E52E29"/>
    <w:rsid w:val="00E57932"/>
    <w:rsid w:val="00E600AF"/>
    <w:rsid w:val="00E853BA"/>
    <w:rsid w:val="00E87201"/>
    <w:rsid w:val="00E87449"/>
    <w:rsid w:val="00E96F76"/>
    <w:rsid w:val="00E973C5"/>
    <w:rsid w:val="00E97C5D"/>
    <w:rsid w:val="00EA44BE"/>
    <w:rsid w:val="00EA7FE6"/>
    <w:rsid w:val="00EB12F4"/>
    <w:rsid w:val="00ED28F7"/>
    <w:rsid w:val="00ED2A93"/>
    <w:rsid w:val="00EF76D8"/>
    <w:rsid w:val="00F03535"/>
    <w:rsid w:val="00F04621"/>
    <w:rsid w:val="00F36E50"/>
    <w:rsid w:val="00F41A64"/>
    <w:rsid w:val="00F4313C"/>
    <w:rsid w:val="00F7168B"/>
    <w:rsid w:val="00F7570B"/>
    <w:rsid w:val="00FA52AF"/>
    <w:rsid w:val="00FC4B46"/>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84B0"/>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168B"/>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 w:type="character" w:styleId="Nevyeenzmnka">
    <w:name w:val="Unresolved Mention"/>
    <w:basedOn w:val="Standardnpsmoodstavce"/>
    <w:uiPriority w:val="99"/>
    <w:semiHidden/>
    <w:unhideWhenUsed/>
    <w:rsid w:val="002B2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186854">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066609715">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petr_sochor@mzv.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_leopoldova@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rtom_lukasov@mz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jezek@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lukas_zamrzla@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lubos.marek@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9D99853-2546-4C3C-BAB6-F00B1D31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6</Pages>
  <Words>2331</Words>
  <Characters>13755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16054</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Křížová Erika</cp:lastModifiedBy>
  <cp:revision>4</cp:revision>
  <dcterms:created xsi:type="dcterms:W3CDTF">2022-08-12T13:32:00Z</dcterms:created>
  <dcterms:modified xsi:type="dcterms:W3CDTF">2022-08-12T13:33:00Z</dcterms:modified>
</cp:coreProperties>
</file>