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51D5"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7629F3">
        <w:rPr>
          <w:rFonts w:ascii="Arial" w:hAnsi="Arial" w:cs="Arial"/>
          <w:noProof/>
        </w:rPr>
        <w:t>pátek 11. února 2022</w:t>
      </w:r>
      <w:r w:rsidR="00035FAD" w:rsidRPr="00937595">
        <w:rPr>
          <w:rFonts w:ascii="Arial" w:hAnsi="Arial" w:cs="Arial"/>
        </w:rPr>
        <w:fldChar w:fldCharType="end"/>
      </w:r>
    </w:p>
    <w:p w14:paraId="2E2A404E"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25F1C7B4"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787164A"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246EDCD1" w14:textId="7F4171B2" w:rsidR="00BC3276" w:rsidRPr="00D62DDB" w:rsidRDefault="00BC3276" w:rsidP="00D62DDB">
      <w:pPr>
        <w:pStyle w:val="Nadpis3"/>
        <w:spacing w:line="276" w:lineRule="auto"/>
        <w:rPr>
          <w:b w:val="0"/>
          <w:bCs w:val="0"/>
        </w:rPr>
      </w:pPr>
      <w:r w:rsidRPr="00D62DDB">
        <w:t>SRBSKO</w:t>
      </w:r>
      <w:r w:rsidRPr="00D62DDB">
        <w:rPr>
          <w:bCs w:val="0"/>
        </w:rPr>
        <w:t xml:space="preserve"> – výzva k čerpání </w:t>
      </w:r>
      <w:r w:rsidR="007629F3">
        <w:rPr>
          <w:bCs w:val="0"/>
        </w:rPr>
        <w:t>dotací</w:t>
      </w:r>
      <w:r w:rsidRPr="00D62DDB">
        <w:rPr>
          <w:bCs w:val="0"/>
        </w:rPr>
        <w:t xml:space="preserve"> na nové traktory z programu IPARD II</w:t>
      </w:r>
    </w:p>
    <w:p w14:paraId="4C19FFCA" w14:textId="3B0C7DB7" w:rsidR="00BC3276" w:rsidRDefault="00BC3276" w:rsidP="00D62DDB">
      <w:pPr>
        <w:pStyle w:val="Bezmezer"/>
        <w:spacing w:line="276" w:lineRule="auto"/>
        <w:jc w:val="both"/>
        <w:rPr>
          <w:rFonts w:ascii="Arial" w:hAnsi="Arial" w:cs="Arial"/>
        </w:rPr>
      </w:pPr>
      <w:r>
        <w:rPr>
          <w:rFonts w:ascii="Arial" w:hAnsi="Arial" w:cs="Arial"/>
        </w:rPr>
        <w:t xml:space="preserve">Správa pro agrární platby Ministerstva zemědělství Srbska začne od 17. 2. 2022 přijímat žádosti na </w:t>
      </w:r>
      <w:r w:rsidR="007629F3">
        <w:rPr>
          <w:rFonts w:ascii="Arial" w:hAnsi="Arial" w:cs="Arial"/>
        </w:rPr>
        <w:t>dotace</w:t>
      </w:r>
      <w:r>
        <w:rPr>
          <w:rFonts w:ascii="Arial" w:hAnsi="Arial" w:cs="Arial"/>
        </w:rPr>
        <w:t xml:space="preserve"> z fondu IPARD II na nákup nových traktorů. Výše jednotlivých subvencí bude upřesněna v těchto dnech, ale očekává se, že </w:t>
      </w:r>
      <w:r w:rsidR="007629F3">
        <w:rPr>
          <w:rFonts w:ascii="Arial" w:hAnsi="Arial" w:cs="Arial"/>
        </w:rPr>
        <w:t>dotace</w:t>
      </w:r>
      <w:r>
        <w:rPr>
          <w:rFonts w:ascii="Arial" w:hAnsi="Arial" w:cs="Arial"/>
        </w:rPr>
        <w:t xml:space="preserve"> budou v rozmezí 60-70 % ceny traktoru. Tato výzva bude sedmá a zároveň poslední v rámci programu IPARD II. Podle zveřejněných informací je na tuto výzvu vyčleněno 11 milionů EUR. Jedná se také o třetí veřejnou výzvu na udělení </w:t>
      </w:r>
      <w:r w:rsidR="007629F3">
        <w:rPr>
          <w:rFonts w:ascii="Arial" w:hAnsi="Arial" w:cs="Arial"/>
        </w:rPr>
        <w:t>dotací</w:t>
      </w:r>
      <w:r>
        <w:rPr>
          <w:rFonts w:ascii="Arial" w:hAnsi="Arial" w:cs="Arial"/>
        </w:rPr>
        <w:t xml:space="preserve"> na traktory v rámci dosavadní realizace projektů IPARD programu v Srbsku. Tato výzva by měla pomoci i k vyššímu prodeji českých traktorů Zetor v Srbsku, kde tato značka má stále dobré jméno. Řada zemědělců čekala s nákupem nového traktoru právě na možnost čerpání </w:t>
      </w:r>
      <w:r w:rsidR="007629F3">
        <w:rPr>
          <w:rFonts w:ascii="Arial" w:hAnsi="Arial" w:cs="Arial"/>
        </w:rPr>
        <w:t>dotací</w:t>
      </w:r>
      <w:r>
        <w:rPr>
          <w:rFonts w:ascii="Arial" w:hAnsi="Arial" w:cs="Arial"/>
        </w:rPr>
        <w:t xml:space="preserve">. V loňském roce byly vypsány výzvy k čerpání subvencí z projektu IPARD II na zemědělskou techniku, ale traktory zahrnuty nebyly. Srbsko v loňském roce udělovalo pouze vlastní </w:t>
      </w:r>
      <w:r w:rsidR="007629F3">
        <w:rPr>
          <w:rFonts w:ascii="Arial" w:hAnsi="Arial" w:cs="Arial"/>
        </w:rPr>
        <w:t>dotace</w:t>
      </w:r>
      <w:r>
        <w:rPr>
          <w:rFonts w:ascii="Arial" w:hAnsi="Arial" w:cs="Arial"/>
        </w:rPr>
        <w:t xml:space="preserve"> na nákup traktorů domácí produkce, přičemž tuto pomoc využilo okolo 1500 farem, které kvůli menším obdělávaným plochám nemohly splnit podmínky pro podporu z projektu IPARD II. Koncem letošního roku bude ukončen i samotný program IPARD II. V rámci tohoto programu, který byl vypsán na období let </w:t>
      </w:r>
      <w:proofErr w:type="gramStart"/>
      <w:r>
        <w:rPr>
          <w:rFonts w:ascii="Arial" w:hAnsi="Arial" w:cs="Arial"/>
        </w:rPr>
        <w:t>2014 – 2020</w:t>
      </w:r>
      <w:proofErr w:type="gramEnd"/>
      <w:r>
        <w:rPr>
          <w:rFonts w:ascii="Arial" w:hAnsi="Arial" w:cs="Arial"/>
        </w:rPr>
        <w:t xml:space="preserve">, mělo Srbsko z prostředků EU vyčleněno 175 milionů EUR na zvýšení konkurenceschopnosti agrárního sektoru a jeho přizpůsobení standardům Evropské unie. </w:t>
      </w:r>
    </w:p>
    <w:p w14:paraId="1C76B543" w14:textId="0B864BE4" w:rsidR="00BC3276" w:rsidRDefault="00BC3276" w:rsidP="00D62DDB">
      <w:pPr>
        <w:pStyle w:val="Bezmezer"/>
        <w:spacing w:line="276" w:lineRule="auto"/>
        <w:jc w:val="both"/>
        <w:rPr>
          <w:rFonts w:ascii="Arial" w:hAnsi="Arial" w:cs="Arial"/>
        </w:rPr>
      </w:pPr>
      <w:r>
        <w:rPr>
          <w:rFonts w:ascii="Arial" w:hAnsi="Arial" w:cs="Arial"/>
        </w:rPr>
        <w:t xml:space="preserve">Srbsko se již nyní připravuje na program IPARD III, v jehož rámci by z EU na </w:t>
      </w:r>
      <w:r w:rsidR="007629F3">
        <w:rPr>
          <w:rFonts w:ascii="Arial" w:hAnsi="Arial" w:cs="Arial"/>
        </w:rPr>
        <w:t>dotace</w:t>
      </w:r>
      <w:r>
        <w:rPr>
          <w:rFonts w:ascii="Arial" w:hAnsi="Arial" w:cs="Arial"/>
        </w:rPr>
        <w:t xml:space="preserve"> do srbského zemědělství mělo být vyčleněno 288 milionů EUR. I z tohoto programu by mohli mít užitek čeští dodavatelé především zemědělských a potravinářských technologií.</w:t>
      </w:r>
    </w:p>
    <w:p w14:paraId="11148CC1"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5C68918B" w14:textId="77777777" w:rsidR="006A382E" w:rsidRPr="00587417"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emědělský diplomat velvyslanectví ČR ve Washingtonu, D. C., Mob: +1 202 507</w:t>
      </w:r>
      <w:r w:rsidR="005D5E3F" w:rsidRPr="00587417">
        <w:rPr>
          <w:rFonts w:cs="Arial"/>
        </w:rPr>
        <w:t xml:space="preserve">-3859, Mob.: ČR: +420 601 558 079, </w:t>
      </w:r>
      <w:r w:rsidR="00D4434C">
        <w:rPr>
          <w:rFonts w:cs="Arial"/>
        </w:rPr>
        <w:t xml:space="preserve">e-mail: </w:t>
      </w:r>
      <w:hyperlink r:id="rId9" w:history="1">
        <w:r w:rsidR="00B554B9" w:rsidRPr="00D4434C">
          <w:rPr>
            <w:rStyle w:val="Hypertextovodkaz"/>
          </w:rPr>
          <w:t>petr_jezek@mzv.cz</w:t>
        </w:r>
      </w:hyperlink>
      <w:r w:rsidR="00B554B9" w:rsidRPr="00587417">
        <w:rPr>
          <w:rFonts w:cs="Arial"/>
        </w:rPr>
        <w:t xml:space="preserve"> </w:t>
      </w:r>
    </w:p>
    <w:p w14:paraId="32A45BA3" w14:textId="77777777" w:rsidR="00D62DDB" w:rsidRPr="00D62DDB" w:rsidRDefault="00D62DDB" w:rsidP="00D62DDB">
      <w:pPr>
        <w:pStyle w:val="Nadpis3"/>
        <w:spacing w:line="276" w:lineRule="auto"/>
        <w:rPr>
          <w:bCs w:val="0"/>
        </w:rPr>
      </w:pPr>
      <w:r w:rsidRPr="00D62DDB">
        <w:rPr>
          <w:bCs w:val="0"/>
        </w:rPr>
        <w:t>Ministerstvo financí USA řeší monopolizaci v pivovarnickém sektoru</w:t>
      </w:r>
    </w:p>
    <w:p w14:paraId="665C4365" w14:textId="77777777" w:rsidR="00D62DDB" w:rsidRDefault="00D62DDB" w:rsidP="00D62DDB">
      <w:pPr>
        <w:spacing w:line="276" w:lineRule="auto"/>
        <w:jc w:val="both"/>
        <w:rPr>
          <w:rFonts w:cs="Arial"/>
        </w:rPr>
      </w:pPr>
      <w:r>
        <w:rPr>
          <w:rFonts w:cs="Arial"/>
        </w:rPr>
        <w:t>Ve středu 9. února byla zveřejněna zpráva federálního ministerstva financí (</w:t>
      </w:r>
      <w:hyperlink r:id="rId10" w:history="1">
        <w:r w:rsidRPr="00ED7719">
          <w:rPr>
            <w:rStyle w:val="Hypertextovodkaz"/>
            <w:rFonts w:cs="Arial"/>
          </w:rPr>
          <w:t>ke stažení zde</w:t>
        </w:r>
      </w:hyperlink>
      <w:r>
        <w:rPr>
          <w:rFonts w:cs="Arial"/>
        </w:rPr>
        <w:t xml:space="preserve">), která konstatuje ovládnutí US pivního trhu ze strany dvou hlavních hráčů (AB </w:t>
      </w:r>
      <w:proofErr w:type="spellStart"/>
      <w:r>
        <w:rPr>
          <w:rFonts w:cs="Arial"/>
        </w:rPr>
        <w:t>InBev</w:t>
      </w:r>
      <w:proofErr w:type="spellEnd"/>
      <w:r>
        <w:rPr>
          <w:rFonts w:cs="Arial"/>
        </w:rPr>
        <w:t xml:space="preserve"> a </w:t>
      </w:r>
      <w:proofErr w:type="spellStart"/>
      <w:r>
        <w:rPr>
          <w:rFonts w:cs="Arial"/>
        </w:rPr>
        <w:t>Molson</w:t>
      </w:r>
      <w:proofErr w:type="spellEnd"/>
      <w:r>
        <w:rPr>
          <w:rFonts w:cs="Arial"/>
        </w:rPr>
        <w:t xml:space="preserve"> </w:t>
      </w:r>
      <w:proofErr w:type="spellStart"/>
      <w:r>
        <w:rPr>
          <w:rFonts w:cs="Arial"/>
        </w:rPr>
        <w:t>Coors</w:t>
      </w:r>
      <w:proofErr w:type="spellEnd"/>
      <w:r>
        <w:rPr>
          <w:rFonts w:cs="Arial"/>
        </w:rPr>
        <w:t>) a z toho vyplývající negativní vliv na volné tržní prostředí pro menší aktéry, například řemeslné „</w:t>
      </w:r>
      <w:proofErr w:type="spellStart"/>
      <w:r>
        <w:rPr>
          <w:rFonts w:cs="Arial"/>
        </w:rPr>
        <w:t>craft</w:t>
      </w:r>
      <w:proofErr w:type="spellEnd"/>
      <w:r>
        <w:rPr>
          <w:rFonts w:cs="Arial"/>
        </w:rPr>
        <w:t>“ pivovary.</w:t>
      </w:r>
    </w:p>
    <w:p w14:paraId="7C9268F5" w14:textId="77777777" w:rsidR="00D62DDB" w:rsidRDefault="00D62DDB" w:rsidP="00D62DDB">
      <w:pPr>
        <w:spacing w:line="276" w:lineRule="auto"/>
        <w:jc w:val="both"/>
        <w:rPr>
          <w:rFonts w:cs="Arial"/>
        </w:rPr>
      </w:pPr>
      <w:proofErr w:type="spellStart"/>
      <w:r>
        <w:rPr>
          <w:rFonts w:cs="Arial"/>
        </w:rPr>
        <w:t>B</w:t>
      </w:r>
      <w:r w:rsidRPr="00ED7719">
        <w:rPr>
          <w:rFonts w:cs="Arial"/>
        </w:rPr>
        <w:t>idenova</w:t>
      </w:r>
      <w:proofErr w:type="spellEnd"/>
      <w:r w:rsidRPr="00ED7719">
        <w:rPr>
          <w:rFonts w:cs="Arial"/>
        </w:rPr>
        <w:t xml:space="preserve"> administrativa provádí hlubší hodnocení hospodářské soutěže v mnoha odvětvích americké ekonomiky</w:t>
      </w:r>
      <w:r>
        <w:rPr>
          <w:rFonts w:cs="Arial"/>
        </w:rPr>
        <w:t xml:space="preserve">. Tento výstup </w:t>
      </w:r>
      <w:r w:rsidRPr="00ED7719">
        <w:rPr>
          <w:rFonts w:cs="Arial"/>
        </w:rPr>
        <w:t>ministerstv</w:t>
      </w:r>
      <w:r>
        <w:rPr>
          <w:rFonts w:cs="Arial"/>
        </w:rPr>
        <w:t>a</w:t>
      </w:r>
      <w:r w:rsidRPr="00ED7719">
        <w:rPr>
          <w:rFonts w:cs="Arial"/>
        </w:rPr>
        <w:t xml:space="preserve"> financí však naznačuje, že </w:t>
      </w:r>
      <w:r>
        <w:rPr>
          <w:rFonts w:cs="Arial"/>
        </w:rPr>
        <w:t>pivovarnický</w:t>
      </w:r>
      <w:r w:rsidRPr="00ED7719">
        <w:rPr>
          <w:rFonts w:cs="Arial"/>
        </w:rPr>
        <w:t xml:space="preserve"> průmysl bude sledován obzvláště pozorně.</w:t>
      </w:r>
    </w:p>
    <w:p w14:paraId="17D17518" w14:textId="77777777" w:rsidR="00D62DDB" w:rsidRDefault="00D62DDB" w:rsidP="00D62DDB">
      <w:pPr>
        <w:spacing w:line="276" w:lineRule="auto"/>
        <w:jc w:val="both"/>
        <w:rPr>
          <w:rFonts w:cs="Arial"/>
        </w:rPr>
      </w:pPr>
      <w:r>
        <w:rPr>
          <w:rFonts w:cs="Arial"/>
        </w:rPr>
        <w:t>M</w:t>
      </w:r>
      <w:r w:rsidRPr="00ED7719">
        <w:rPr>
          <w:rFonts w:cs="Arial"/>
        </w:rPr>
        <w:t xml:space="preserve">inisterstvo spravedlnosti a Federální obchodní komise by </w:t>
      </w:r>
      <w:r>
        <w:rPr>
          <w:rFonts w:cs="Arial"/>
        </w:rPr>
        <w:t xml:space="preserve">na základě výstupů této zprávy </w:t>
      </w:r>
      <w:r w:rsidRPr="00ED7719">
        <w:rPr>
          <w:rFonts w:cs="Arial"/>
        </w:rPr>
        <w:t xml:space="preserve">měly </w:t>
      </w:r>
      <w:r>
        <w:rPr>
          <w:rFonts w:cs="Arial"/>
        </w:rPr>
        <w:t>přezkoumat svůj přístup</w:t>
      </w:r>
      <w:r w:rsidRPr="00ED7719">
        <w:rPr>
          <w:rFonts w:cs="Arial"/>
        </w:rPr>
        <w:t>, jakým posuzují fúze v</w:t>
      </w:r>
      <w:r>
        <w:rPr>
          <w:rFonts w:cs="Arial"/>
        </w:rPr>
        <w:t> americkém pivovarnickém sektoru. Zejména by m</w:t>
      </w:r>
      <w:r w:rsidRPr="00ED7719">
        <w:rPr>
          <w:rFonts w:cs="Arial"/>
        </w:rPr>
        <w:t>ěly být obzvláště skeptické k tvrzením o efektivitě</w:t>
      </w:r>
      <w:r>
        <w:rPr>
          <w:rFonts w:cs="Arial"/>
        </w:rPr>
        <w:t xml:space="preserve"> takových spojení při </w:t>
      </w:r>
      <w:r w:rsidRPr="00ED7719">
        <w:rPr>
          <w:rFonts w:cs="Arial"/>
        </w:rPr>
        <w:t>posuzování budoucích transakcí.</w:t>
      </w:r>
      <w:r>
        <w:rPr>
          <w:rFonts w:cs="Arial"/>
        </w:rPr>
        <w:t xml:space="preserve"> Hlavním důvodem je obava o zdravé konkurenční prostředí a </w:t>
      </w:r>
      <w:r w:rsidRPr="00ED7719">
        <w:rPr>
          <w:rFonts w:cs="Arial"/>
        </w:rPr>
        <w:t>poško</w:t>
      </w:r>
      <w:r>
        <w:rPr>
          <w:rFonts w:cs="Arial"/>
        </w:rPr>
        <w:t xml:space="preserve">zení zájmů </w:t>
      </w:r>
      <w:r w:rsidRPr="00ED7719">
        <w:rPr>
          <w:rFonts w:cs="Arial"/>
        </w:rPr>
        <w:t>menší</w:t>
      </w:r>
      <w:r>
        <w:rPr>
          <w:rFonts w:cs="Arial"/>
        </w:rPr>
        <w:t>ch provozovatelů.</w:t>
      </w:r>
    </w:p>
    <w:p w14:paraId="5985D762" w14:textId="77777777" w:rsidR="00D62DDB" w:rsidRDefault="00D62DDB" w:rsidP="00D62DDB">
      <w:pPr>
        <w:spacing w:line="276" w:lineRule="auto"/>
        <w:jc w:val="both"/>
        <w:rPr>
          <w:rFonts w:cs="Arial"/>
        </w:rPr>
      </w:pPr>
      <w:r>
        <w:rPr>
          <w:rFonts w:cs="Arial"/>
        </w:rPr>
        <w:t>Zpráva dále uvádí</w:t>
      </w:r>
      <w:r w:rsidRPr="00ED7719">
        <w:rPr>
          <w:rFonts w:cs="Arial"/>
        </w:rPr>
        <w:t xml:space="preserve">, že komplikované předpisy </w:t>
      </w:r>
      <w:r>
        <w:rPr>
          <w:rFonts w:cs="Arial"/>
        </w:rPr>
        <w:t xml:space="preserve">na federální a státních úrovních (většinou </w:t>
      </w:r>
      <w:r w:rsidRPr="00ED7719">
        <w:rPr>
          <w:rFonts w:cs="Arial"/>
        </w:rPr>
        <w:t>staré desítky let</w:t>
      </w:r>
      <w:r>
        <w:rPr>
          <w:rFonts w:cs="Arial"/>
        </w:rPr>
        <w:t xml:space="preserve"> a neodpovídající současné realitě trhu) mohou zbytečně zatěžovat malé výrobce </w:t>
      </w:r>
      <w:r>
        <w:rPr>
          <w:rFonts w:cs="Arial"/>
        </w:rPr>
        <w:lastRenderedPageBreak/>
        <w:t xml:space="preserve">a snižovat tak jejich konkurenceschopnost. AB </w:t>
      </w:r>
      <w:proofErr w:type="spellStart"/>
      <w:r>
        <w:rPr>
          <w:rFonts w:cs="Arial"/>
        </w:rPr>
        <w:t>InBev</w:t>
      </w:r>
      <w:proofErr w:type="spellEnd"/>
      <w:r>
        <w:rPr>
          <w:rFonts w:cs="Arial"/>
        </w:rPr>
        <w:t xml:space="preserve"> a </w:t>
      </w:r>
      <w:proofErr w:type="spellStart"/>
      <w:r>
        <w:rPr>
          <w:rFonts w:cs="Arial"/>
        </w:rPr>
        <w:t>Molson</w:t>
      </w:r>
      <w:proofErr w:type="spellEnd"/>
      <w:r>
        <w:rPr>
          <w:rFonts w:cs="Arial"/>
        </w:rPr>
        <w:t xml:space="preserve"> </w:t>
      </w:r>
      <w:proofErr w:type="spellStart"/>
      <w:r>
        <w:rPr>
          <w:rFonts w:cs="Arial"/>
        </w:rPr>
        <w:t>Coors</w:t>
      </w:r>
      <w:proofErr w:type="spellEnd"/>
      <w:r>
        <w:rPr>
          <w:rFonts w:cs="Arial"/>
        </w:rPr>
        <w:t xml:space="preserve"> ovládají </w:t>
      </w:r>
      <w:r w:rsidRPr="00ED7719">
        <w:rPr>
          <w:rFonts w:cs="Arial"/>
        </w:rPr>
        <w:t xml:space="preserve">podle </w:t>
      </w:r>
      <w:r>
        <w:rPr>
          <w:rFonts w:cs="Arial"/>
        </w:rPr>
        <w:t xml:space="preserve">objemu </w:t>
      </w:r>
      <w:r w:rsidRPr="00ED7719">
        <w:rPr>
          <w:rFonts w:cs="Arial"/>
        </w:rPr>
        <w:t>tržeb 65 % trhu.</w:t>
      </w:r>
      <w:r>
        <w:rPr>
          <w:rFonts w:cs="Arial"/>
        </w:rPr>
        <w:t xml:space="preserve"> Oficiální federální úřady průběžně zaznamenávají </w:t>
      </w:r>
      <w:r w:rsidRPr="00ED7719">
        <w:rPr>
          <w:rFonts w:cs="Arial"/>
        </w:rPr>
        <w:t xml:space="preserve">závažné stížnosti na diskriminační chování </w:t>
      </w:r>
      <w:r>
        <w:rPr>
          <w:rFonts w:cs="Arial"/>
        </w:rPr>
        <w:t>ze strany distributorů či maloobchodu, které spíše straní velkým značkám.</w:t>
      </w:r>
    </w:p>
    <w:p w14:paraId="7EA4B73E" w14:textId="77777777" w:rsidR="00D62DDB" w:rsidRDefault="00D62DDB" w:rsidP="00D62DDB">
      <w:pPr>
        <w:spacing w:line="276" w:lineRule="auto"/>
        <w:jc w:val="both"/>
        <w:rPr>
          <w:rFonts w:cs="Arial"/>
        </w:rPr>
      </w:pPr>
      <w:r w:rsidRPr="00ED7719">
        <w:rPr>
          <w:rFonts w:cs="Arial"/>
        </w:rPr>
        <w:t>Světový trh s pivem se v posledních letech rychle konsolidoval</w:t>
      </w:r>
      <w:r>
        <w:rPr>
          <w:rFonts w:cs="Arial"/>
        </w:rPr>
        <w:t xml:space="preserve"> nejen v USA. M</w:t>
      </w:r>
      <w:r w:rsidRPr="00ED7719">
        <w:rPr>
          <w:rFonts w:cs="Arial"/>
        </w:rPr>
        <w:t>ěnící se spotřebitel</w:t>
      </w:r>
      <w:r>
        <w:rPr>
          <w:rFonts w:cs="Arial"/>
        </w:rPr>
        <w:t xml:space="preserve">ské preference, růst obliby vína nebo </w:t>
      </w:r>
      <w:r w:rsidRPr="00ED7719">
        <w:rPr>
          <w:rFonts w:cs="Arial"/>
        </w:rPr>
        <w:t xml:space="preserve">růst </w:t>
      </w:r>
      <w:proofErr w:type="spellStart"/>
      <w:r>
        <w:rPr>
          <w:rFonts w:cs="Arial"/>
        </w:rPr>
        <w:t>craftových</w:t>
      </w:r>
      <w:proofErr w:type="spellEnd"/>
      <w:r>
        <w:rPr>
          <w:rFonts w:cs="Arial"/>
        </w:rPr>
        <w:t xml:space="preserve"> pivovarů obecně spíše odčerpávají zákazníky velkých značek. Spojování má tedy za cíl </w:t>
      </w:r>
      <w:r w:rsidRPr="00ED7719">
        <w:rPr>
          <w:rFonts w:cs="Arial"/>
        </w:rPr>
        <w:t>dosáh</w:t>
      </w:r>
      <w:r>
        <w:rPr>
          <w:rFonts w:cs="Arial"/>
        </w:rPr>
        <w:t>nout úspor nákladů a </w:t>
      </w:r>
      <w:r w:rsidRPr="00ED7719">
        <w:rPr>
          <w:rFonts w:cs="Arial"/>
        </w:rPr>
        <w:t>získa</w:t>
      </w:r>
      <w:r>
        <w:rPr>
          <w:rFonts w:cs="Arial"/>
        </w:rPr>
        <w:t>t zpět větší tržní prostor v </w:t>
      </w:r>
      <w:r w:rsidRPr="00ED7719">
        <w:rPr>
          <w:rFonts w:cs="Arial"/>
        </w:rPr>
        <w:t>těch částech světa, kde spotřeba roste.</w:t>
      </w:r>
    </w:p>
    <w:p w14:paraId="1016D444" w14:textId="77777777" w:rsidR="00D62DDB" w:rsidRDefault="00D62DDB" w:rsidP="00D62DDB">
      <w:pPr>
        <w:spacing w:line="276" w:lineRule="auto"/>
        <w:jc w:val="both"/>
        <w:rPr>
          <w:rFonts w:cs="Arial"/>
        </w:rPr>
      </w:pPr>
      <w:r>
        <w:rPr>
          <w:rFonts w:cs="Arial"/>
        </w:rPr>
        <w:t xml:space="preserve">Nedávnou velkou fúzí bylo spojení AB </w:t>
      </w:r>
      <w:proofErr w:type="spellStart"/>
      <w:r>
        <w:rPr>
          <w:rFonts w:cs="Arial"/>
        </w:rPr>
        <w:t>InBev</w:t>
      </w:r>
      <w:proofErr w:type="spellEnd"/>
      <w:r>
        <w:rPr>
          <w:rFonts w:cs="Arial"/>
        </w:rPr>
        <w:t xml:space="preserve"> a </w:t>
      </w:r>
      <w:proofErr w:type="spellStart"/>
      <w:r w:rsidRPr="00ED7719">
        <w:rPr>
          <w:rFonts w:cs="Arial"/>
        </w:rPr>
        <w:t>SABMiller</w:t>
      </w:r>
      <w:proofErr w:type="spellEnd"/>
      <w:r w:rsidRPr="00ED7719">
        <w:rPr>
          <w:rFonts w:cs="Arial"/>
        </w:rPr>
        <w:t xml:space="preserve"> </w:t>
      </w:r>
      <w:r>
        <w:rPr>
          <w:rFonts w:cs="Arial"/>
        </w:rPr>
        <w:t xml:space="preserve">z roku 2016 </w:t>
      </w:r>
      <w:r w:rsidRPr="00ED7719">
        <w:rPr>
          <w:rFonts w:cs="Arial"/>
        </w:rPr>
        <w:t>v</w:t>
      </w:r>
      <w:r>
        <w:rPr>
          <w:rFonts w:cs="Arial"/>
        </w:rPr>
        <w:t xml:space="preserve"> údajné </w:t>
      </w:r>
      <w:r w:rsidRPr="00ED7719">
        <w:rPr>
          <w:rFonts w:cs="Arial"/>
        </w:rPr>
        <w:t xml:space="preserve">hodnotě </w:t>
      </w:r>
      <w:r>
        <w:rPr>
          <w:rFonts w:cs="Arial"/>
        </w:rPr>
        <w:t xml:space="preserve">přes 100 mld. USD. </w:t>
      </w:r>
      <w:r w:rsidRPr="00ED7719">
        <w:rPr>
          <w:rFonts w:cs="Arial"/>
        </w:rPr>
        <w:t xml:space="preserve">Od té doby </w:t>
      </w:r>
      <w:r>
        <w:rPr>
          <w:rFonts w:cs="Arial"/>
        </w:rPr>
        <w:t xml:space="preserve">pak </w:t>
      </w:r>
      <w:r w:rsidRPr="00ED7719">
        <w:rPr>
          <w:rFonts w:cs="Arial"/>
        </w:rPr>
        <w:t xml:space="preserve">AB </w:t>
      </w:r>
      <w:proofErr w:type="spellStart"/>
      <w:r w:rsidRPr="00ED7719">
        <w:rPr>
          <w:rFonts w:cs="Arial"/>
        </w:rPr>
        <w:t>InBev</w:t>
      </w:r>
      <w:proofErr w:type="spellEnd"/>
      <w:r w:rsidRPr="00ED7719">
        <w:rPr>
          <w:rFonts w:cs="Arial"/>
        </w:rPr>
        <w:t xml:space="preserve"> </w:t>
      </w:r>
      <w:r>
        <w:rPr>
          <w:rFonts w:cs="Arial"/>
        </w:rPr>
        <w:t>i</w:t>
      </w:r>
      <w:r w:rsidRPr="00ED7719">
        <w:rPr>
          <w:rFonts w:cs="Arial"/>
        </w:rPr>
        <w:t xml:space="preserve"> </w:t>
      </w:r>
      <w:proofErr w:type="spellStart"/>
      <w:r w:rsidRPr="00ED7719">
        <w:rPr>
          <w:rFonts w:cs="Arial"/>
        </w:rPr>
        <w:t>Molson</w:t>
      </w:r>
      <w:proofErr w:type="spellEnd"/>
      <w:r w:rsidRPr="00ED7719">
        <w:rPr>
          <w:rFonts w:cs="Arial"/>
        </w:rPr>
        <w:t xml:space="preserve"> </w:t>
      </w:r>
      <w:proofErr w:type="spellStart"/>
      <w:r w:rsidRPr="00ED7719">
        <w:rPr>
          <w:rFonts w:cs="Arial"/>
        </w:rPr>
        <w:t>Coors</w:t>
      </w:r>
      <w:proofErr w:type="spellEnd"/>
      <w:r w:rsidRPr="00ED7719">
        <w:rPr>
          <w:rFonts w:cs="Arial"/>
        </w:rPr>
        <w:t xml:space="preserve"> </w:t>
      </w:r>
      <w:r>
        <w:rPr>
          <w:rFonts w:cs="Arial"/>
        </w:rPr>
        <w:t xml:space="preserve">připojily do svého portfolia několik </w:t>
      </w:r>
      <w:proofErr w:type="spellStart"/>
      <w:r>
        <w:rPr>
          <w:rFonts w:cs="Arial"/>
        </w:rPr>
        <w:t>craft</w:t>
      </w:r>
      <w:proofErr w:type="spellEnd"/>
      <w:r>
        <w:rPr>
          <w:rFonts w:cs="Arial"/>
        </w:rPr>
        <w:t xml:space="preserve"> </w:t>
      </w:r>
      <w:r w:rsidRPr="00ED7719">
        <w:rPr>
          <w:rFonts w:cs="Arial"/>
        </w:rPr>
        <w:t>pivovarů, aby zvýšily svou přítomnost v této populární kategorii.</w:t>
      </w:r>
      <w:r>
        <w:rPr>
          <w:rFonts w:cs="Arial"/>
        </w:rPr>
        <w:t xml:space="preserve"> Zpráva ale dále uvádí, že při zpětném pohledu se argumenty fúzujících stran </w:t>
      </w:r>
      <w:r w:rsidRPr="00ED7719">
        <w:rPr>
          <w:rFonts w:cs="Arial"/>
        </w:rPr>
        <w:t xml:space="preserve">na podporu konsolidace nezdají být </w:t>
      </w:r>
      <w:r>
        <w:rPr>
          <w:rFonts w:cs="Arial"/>
        </w:rPr>
        <w:t xml:space="preserve">vždy </w:t>
      </w:r>
      <w:r w:rsidRPr="00ED7719">
        <w:rPr>
          <w:rFonts w:cs="Arial"/>
        </w:rPr>
        <w:t xml:space="preserve">opodstatněné. </w:t>
      </w:r>
      <w:r>
        <w:rPr>
          <w:rFonts w:cs="Arial"/>
        </w:rPr>
        <w:t xml:space="preserve">Po spojení </w:t>
      </w:r>
      <w:proofErr w:type="spellStart"/>
      <w:r w:rsidRPr="00ED7719">
        <w:rPr>
          <w:rFonts w:cs="Arial"/>
        </w:rPr>
        <w:t>SABMiller</w:t>
      </w:r>
      <w:proofErr w:type="spellEnd"/>
      <w:r w:rsidRPr="00ED7719">
        <w:rPr>
          <w:rFonts w:cs="Arial"/>
        </w:rPr>
        <w:t xml:space="preserve"> a </w:t>
      </w:r>
      <w:proofErr w:type="spellStart"/>
      <w:r w:rsidRPr="00ED7719">
        <w:rPr>
          <w:rFonts w:cs="Arial"/>
        </w:rPr>
        <w:t>Molson</w:t>
      </w:r>
      <w:proofErr w:type="spellEnd"/>
      <w:r w:rsidRPr="00ED7719">
        <w:rPr>
          <w:rFonts w:cs="Arial"/>
        </w:rPr>
        <w:t xml:space="preserve"> </w:t>
      </w:r>
      <w:proofErr w:type="spellStart"/>
      <w:r w:rsidRPr="00ED7719">
        <w:rPr>
          <w:rFonts w:cs="Arial"/>
        </w:rPr>
        <w:t>Coors</w:t>
      </w:r>
      <w:proofErr w:type="spellEnd"/>
      <w:r w:rsidRPr="00ED7719">
        <w:rPr>
          <w:rFonts w:cs="Arial"/>
        </w:rPr>
        <w:t xml:space="preserve"> </w:t>
      </w:r>
      <w:proofErr w:type="spellStart"/>
      <w:r w:rsidRPr="00ED7719">
        <w:rPr>
          <w:rFonts w:cs="Arial"/>
        </w:rPr>
        <w:t>Brewing</w:t>
      </w:r>
      <w:proofErr w:type="spellEnd"/>
      <w:r w:rsidRPr="00ED7719">
        <w:rPr>
          <w:rFonts w:cs="Arial"/>
        </w:rPr>
        <w:t xml:space="preserve"> </w:t>
      </w:r>
      <w:proofErr w:type="spellStart"/>
      <w:r w:rsidRPr="00ED7719">
        <w:rPr>
          <w:rFonts w:cs="Arial"/>
        </w:rPr>
        <w:t>Company</w:t>
      </w:r>
      <w:proofErr w:type="spellEnd"/>
      <w:r w:rsidRPr="00ED7719">
        <w:rPr>
          <w:rFonts w:cs="Arial"/>
        </w:rPr>
        <w:t xml:space="preserve"> </w:t>
      </w:r>
      <w:r>
        <w:rPr>
          <w:rFonts w:cs="Arial"/>
        </w:rPr>
        <w:t>v</w:t>
      </w:r>
      <w:r w:rsidRPr="00ED7719">
        <w:rPr>
          <w:rFonts w:cs="Arial"/>
        </w:rPr>
        <w:t xml:space="preserve"> roce 2007 </w:t>
      </w:r>
      <w:r>
        <w:rPr>
          <w:rFonts w:cs="Arial"/>
        </w:rPr>
        <w:t xml:space="preserve">s akcentem na potenciální efektivitu </w:t>
      </w:r>
      <w:r w:rsidRPr="00ED7719">
        <w:rPr>
          <w:rFonts w:cs="Arial"/>
        </w:rPr>
        <w:t>průzkum uká</w:t>
      </w:r>
      <w:r>
        <w:rPr>
          <w:rFonts w:cs="Arial"/>
        </w:rPr>
        <w:t>zal, že ceny piva po jeho spojení</w:t>
      </w:r>
      <w:r w:rsidRPr="00ED7719">
        <w:rPr>
          <w:rFonts w:cs="Arial"/>
        </w:rPr>
        <w:t xml:space="preserve"> vzrostly</w:t>
      </w:r>
      <w:r>
        <w:rPr>
          <w:rFonts w:cs="Arial"/>
        </w:rPr>
        <w:t>.</w:t>
      </w:r>
    </w:p>
    <w:p w14:paraId="56D9E93A" w14:textId="77777777" w:rsidR="00D62DDB" w:rsidRDefault="00D62DDB" w:rsidP="00D62DDB">
      <w:pPr>
        <w:spacing w:line="276" w:lineRule="auto"/>
        <w:jc w:val="both"/>
        <w:rPr>
          <w:rFonts w:cs="Arial"/>
        </w:rPr>
      </w:pPr>
      <w:r>
        <w:rPr>
          <w:rFonts w:cs="Arial"/>
        </w:rPr>
        <w:t xml:space="preserve">Na zprávu reagoval </w:t>
      </w:r>
      <w:r w:rsidRPr="00ED7719">
        <w:rPr>
          <w:rFonts w:cs="Arial"/>
        </w:rPr>
        <w:t>Beer Institute</w:t>
      </w:r>
      <w:r>
        <w:rPr>
          <w:rFonts w:cs="Arial"/>
        </w:rPr>
        <w:t xml:space="preserve"> (BI), který zastupuje větší americké i dovozové pivovary. BI uvedl, že je </w:t>
      </w:r>
      <w:r w:rsidRPr="00ED7719">
        <w:rPr>
          <w:rFonts w:cs="Arial"/>
        </w:rPr>
        <w:t xml:space="preserve">zklamán nesprávnou charakteristikou tohoto odvětví ze strany </w:t>
      </w:r>
      <w:r>
        <w:rPr>
          <w:rFonts w:cs="Arial"/>
        </w:rPr>
        <w:t xml:space="preserve">federální vlády. Dle BI zažívá americký pivovarnický sektor </w:t>
      </w:r>
      <w:r w:rsidRPr="00ED7719">
        <w:rPr>
          <w:rFonts w:cs="Arial"/>
        </w:rPr>
        <w:t>bezprecedentní ú</w:t>
      </w:r>
      <w:r>
        <w:rPr>
          <w:rFonts w:cs="Arial"/>
        </w:rPr>
        <w:t>roveň zdravé konkurence, p</w:t>
      </w:r>
      <w:r w:rsidRPr="00ED7719">
        <w:rPr>
          <w:rFonts w:cs="Arial"/>
        </w:rPr>
        <w:t>řestože je jedním z nejvíce regulovaných odvětví v</w:t>
      </w:r>
      <w:r>
        <w:rPr>
          <w:rFonts w:cs="Arial"/>
        </w:rPr>
        <w:t> USA.</w:t>
      </w:r>
    </w:p>
    <w:p w14:paraId="00D53C94" w14:textId="77777777" w:rsidR="00D62DDB" w:rsidRPr="00ED7719" w:rsidRDefault="00D62DDB" w:rsidP="00D62DDB">
      <w:pPr>
        <w:spacing w:line="276" w:lineRule="auto"/>
        <w:jc w:val="both"/>
        <w:rPr>
          <w:rFonts w:cs="Arial"/>
        </w:rPr>
      </w:pPr>
      <w:r>
        <w:rPr>
          <w:rFonts w:cs="Arial"/>
        </w:rPr>
        <w:t xml:space="preserve">V současné chvíli není jasné, jak bude federální vláda </w:t>
      </w:r>
      <w:r w:rsidRPr="00ED7719">
        <w:rPr>
          <w:rFonts w:cs="Arial"/>
        </w:rPr>
        <w:t xml:space="preserve">dále </w:t>
      </w:r>
      <w:r>
        <w:rPr>
          <w:rFonts w:cs="Arial"/>
        </w:rPr>
        <w:t xml:space="preserve">jednat </w:t>
      </w:r>
      <w:r w:rsidRPr="00ED7719">
        <w:rPr>
          <w:rFonts w:cs="Arial"/>
        </w:rPr>
        <w:t>nad rámec této zprávy</w:t>
      </w:r>
      <w:r>
        <w:rPr>
          <w:rFonts w:cs="Arial"/>
        </w:rPr>
        <w:t xml:space="preserve">. Jde ale o jasnou </w:t>
      </w:r>
      <w:r w:rsidRPr="00ED7719">
        <w:rPr>
          <w:rFonts w:cs="Arial"/>
        </w:rPr>
        <w:t>připomínk</w:t>
      </w:r>
      <w:r>
        <w:rPr>
          <w:rFonts w:cs="Arial"/>
        </w:rPr>
        <w:t xml:space="preserve">u velkým hráčům, že </w:t>
      </w:r>
      <w:r w:rsidRPr="00ED7719">
        <w:rPr>
          <w:rFonts w:cs="Arial"/>
        </w:rPr>
        <w:t xml:space="preserve">veškeré budoucí dohody o fúzi budou důkladně prověřovány, zejména za </w:t>
      </w:r>
      <w:proofErr w:type="spellStart"/>
      <w:r w:rsidRPr="00ED7719">
        <w:rPr>
          <w:rFonts w:cs="Arial"/>
        </w:rPr>
        <w:t>Bidenovy</w:t>
      </w:r>
      <w:proofErr w:type="spellEnd"/>
      <w:r w:rsidRPr="00ED7719">
        <w:rPr>
          <w:rFonts w:cs="Arial"/>
        </w:rPr>
        <w:t xml:space="preserve"> administrativy.</w:t>
      </w:r>
    </w:p>
    <w:p w14:paraId="0F819977"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79E91756" w14:textId="77777777" w:rsidR="00A53226" w:rsidRPr="00D4434C"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roofErr w:type="gramStart"/>
      <w:r w:rsidR="005D5E3F" w:rsidRPr="00587417">
        <w:rPr>
          <w:rFonts w:cs="Arial"/>
        </w:rPr>
        <w:t>Mob.:</w:t>
      </w:r>
      <w:r w:rsidR="00715795" w:rsidRPr="00587417">
        <w:rPr>
          <w:rFonts w:cs="Arial"/>
        </w:rPr>
        <w:t>+</w:t>
      </w:r>
      <w:proofErr w:type="gramEnd"/>
      <w:r w:rsidR="00715795" w:rsidRPr="00587417">
        <w:rPr>
          <w:rFonts w:cs="Arial"/>
        </w:rPr>
        <w:t xml:space="preserve"> 420 602 768</w:t>
      </w:r>
      <w:r w:rsidR="005D5E3F" w:rsidRPr="00587417">
        <w:rPr>
          <w:rFonts w:cs="Arial"/>
        </w:rPr>
        <w:t> </w:t>
      </w:r>
      <w:r w:rsidR="00715795" w:rsidRPr="00587417">
        <w:rPr>
          <w:rFonts w:cs="Arial"/>
        </w:rPr>
        <w:t>207</w:t>
      </w:r>
      <w:r w:rsidR="005D5E3F" w:rsidRPr="00587417">
        <w:rPr>
          <w:rFonts w:cs="Arial"/>
        </w:rPr>
        <w:t xml:space="preserve">, </w:t>
      </w:r>
      <w:r w:rsidR="00D4434C">
        <w:rPr>
          <w:rFonts w:cs="Arial"/>
        </w:rPr>
        <w:t xml:space="preserve">e-mail: </w:t>
      </w:r>
      <w:hyperlink r:id="rId11" w:history="1">
        <w:r w:rsidR="005D5E3F" w:rsidRPr="00D4434C">
          <w:rPr>
            <w:rStyle w:val="Hypertextovodkaz"/>
          </w:rPr>
          <w:t>lukas_zamrzla@mzv.cz</w:t>
        </w:r>
      </w:hyperlink>
      <w:r w:rsidR="00D4434C">
        <w:rPr>
          <w:rStyle w:val="Hypertextovodkaz"/>
          <w:rFonts w:cs="Arial"/>
          <w:color w:val="auto"/>
        </w:rPr>
        <w:t xml:space="preserve"> </w:t>
      </w:r>
    </w:p>
    <w:p w14:paraId="7E3130EB" w14:textId="77777777" w:rsidR="00861225" w:rsidRPr="00861225" w:rsidRDefault="00861225" w:rsidP="00D62DDB">
      <w:pPr>
        <w:pStyle w:val="Nadpis3"/>
        <w:spacing w:line="276" w:lineRule="auto"/>
        <w:rPr>
          <w:b w:val="0"/>
          <w:bCs w:val="0"/>
        </w:rPr>
      </w:pPr>
      <w:r w:rsidRPr="00861225">
        <w:t xml:space="preserve">Nejzajímavější potravinářský veletrh </w:t>
      </w:r>
      <w:proofErr w:type="spellStart"/>
      <w:r w:rsidRPr="00861225">
        <w:t>Gulfood</w:t>
      </w:r>
      <w:proofErr w:type="spellEnd"/>
      <w:r w:rsidRPr="00861225">
        <w:t xml:space="preserve"> se vrací</w:t>
      </w:r>
    </w:p>
    <w:p w14:paraId="402E948B"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 xml:space="preserve">Není moc potravinářských firem, které by neznaly dubajský veletrh </w:t>
      </w:r>
      <w:proofErr w:type="spellStart"/>
      <w:r w:rsidRPr="00861225">
        <w:rPr>
          <w:rFonts w:ascii="Arial" w:hAnsi="Arial" w:cs="Arial"/>
        </w:rPr>
        <w:t>Gulfood</w:t>
      </w:r>
      <w:proofErr w:type="spellEnd"/>
      <w:r w:rsidRPr="00861225">
        <w:rPr>
          <w:rFonts w:ascii="Arial" w:hAnsi="Arial" w:cs="Arial"/>
        </w:rPr>
        <w:t xml:space="preserve">. Každoroční potravinářskou slavnost v loňských letech nepřerušila ani pandemie. Příští týden se od 13. do 17. 2. 2022 vrací a již tradičně ve své ještě větší a obsáhlejší formě. Veletrh se rozrůstá tak, že začal jednotlivé specializace rozdělovat na samostatné veletrhy, jako například podzimní veletrh </w:t>
      </w:r>
      <w:proofErr w:type="spellStart"/>
      <w:r w:rsidRPr="00861225">
        <w:rPr>
          <w:rFonts w:ascii="Arial" w:hAnsi="Arial" w:cs="Arial"/>
        </w:rPr>
        <w:t>Gulfood</w:t>
      </w:r>
      <w:proofErr w:type="spellEnd"/>
      <w:r w:rsidRPr="00861225">
        <w:rPr>
          <w:rFonts w:ascii="Arial" w:hAnsi="Arial" w:cs="Arial"/>
        </w:rPr>
        <w:t xml:space="preserve"> </w:t>
      </w:r>
      <w:proofErr w:type="spellStart"/>
      <w:r w:rsidRPr="00861225">
        <w:rPr>
          <w:rFonts w:ascii="Arial" w:hAnsi="Arial" w:cs="Arial"/>
        </w:rPr>
        <w:t>Manufacturing</w:t>
      </w:r>
      <w:proofErr w:type="spellEnd"/>
      <w:r w:rsidRPr="00861225">
        <w:rPr>
          <w:rFonts w:ascii="Arial" w:hAnsi="Arial" w:cs="Arial"/>
        </w:rPr>
        <w:t xml:space="preserve">, který se okamžitě stal nejsilnější akcí zaměřenou na potravinářské technologie nejen v tomto regionu. </w:t>
      </w:r>
    </w:p>
    <w:p w14:paraId="560564FF"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 xml:space="preserve">Na veletrhu </w:t>
      </w:r>
      <w:proofErr w:type="spellStart"/>
      <w:r w:rsidRPr="00861225">
        <w:rPr>
          <w:rFonts w:ascii="Arial" w:hAnsi="Arial" w:cs="Arial"/>
        </w:rPr>
        <w:t>Gulfood</w:t>
      </w:r>
      <w:proofErr w:type="spellEnd"/>
      <w:r w:rsidRPr="00861225">
        <w:rPr>
          <w:rFonts w:ascii="Arial" w:hAnsi="Arial" w:cs="Arial"/>
        </w:rPr>
        <w:t xml:space="preserve"> od roku 2014 probíhá oficiální česká expozice pod záštitou Ministerstva zemědělství. V letošním roce přicházíme na veletrh s rekordně největším stánkem a největším počtem firem. Celkově se v Dubaji bude prezentovat 19 českých firem a plocha stánku zabírá 156 metrů čtverečních.</w:t>
      </w:r>
    </w:p>
    <w:p w14:paraId="280075F0"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Jako každý rok, bude i letos veletrh poukazovat na nové trendy a směry, kam se sektor potravinářství v regionu vyvíjí. V letošním roce půjde především obrovsk</w:t>
      </w:r>
      <w:r>
        <w:rPr>
          <w:rFonts w:ascii="Arial" w:hAnsi="Arial" w:cs="Arial"/>
        </w:rPr>
        <w:t>ý rozvoj e-komerce a </w:t>
      </w:r>
      <w:r w:rsidRPr="00861225">
        <w:rPr>
          <w:rFonts w:ascii="Arial" w:hAnsi="Arial" w:cs="Arial"/>
        </w:rPr>
        <w:t xml:space="preserve">digitálních platforem. K tomuto tématu přicestuje na veletrh mnoho leaderů z celého světa, kteří budou způsoby, smysl a směr e-komerce rozebírat během konference </w:t>
      </w:r>
      <w:proofErr w:type="spellStart"/>
      <w:r w:rsidRPr="00861225">
        <w:rPr>
          <w:rFonts w:ascii="Arial" w:hAnsi="Arial" w:cs="Arial"/>
        </w:rPr>
        <w:t>Gulfood</w:t>
      </w:r>
      <w:proofErr w:type="spellEnd"/>
      <w:r w:rsidRPr="00861225">
        <w:rPr>
          <w:rFonts w:ascii="Arial" w:hAnsi="Arial" w:cs="Arial"/>
        </w:rPr>
        <w:t xml:space="preserve"> </w:t>
      </w:r>
      <w:proofErr w:type="spellStart"/>
      <w:r w:rsidRPr="00861225">
        <w:rPr>
          <w:rFonts w:ascii="Arial" w:hAnsi="Arial" w:cs="Arial"/>
        </w:rPr>
        <w:t>Inspire</w:t>
      </w:r>
      <w:proofErr w:type="spellEnd"/>
      <w:r w:rsidRPr="00861225">
        <w:rPr>
          <w:rFonts w:ascii="Arial" w:hAnsi="Arial" w:cs="Arial"/>
        </w:rPr>
        <w:t>.</w:t>
      </w:r>
    </w:p>
    <w:p w14:paraId="34B92FDC"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Velký vliv na toto zaměření má samozřejmě pandemická situace posledních let, kdy online prezentace a digitální prostředí obsadilo téměř všechny sektory podnikání. Nejvíce to šlo cítit právě v regionu Blízkého východu, kde byla digitalizace firem a e-komerce jako taková poměrně zastaralá. Většina velkých firem tak musela v roce 2019 velmi rychle přejít do světa online prodeje, a tím i vybudovat úplně nová oddělení a týmy zaměstnanců.</w:t>
      </w:r>
    </w:p>
    <w:p w14:paraId="3F6DE330"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 xml:space="preserve">Program letošního veletrhu </w:t>
      </w:r>
      <w:proofErr w:type="spellStart"/>
      <w:r w:rsidRPr="00861225">
        <w:rPr>
          <w:rFonts w:ascii="Arial" w:hAnsi="Arial" w:cs="Arial"/>
        </w:rPr>
        <w:t>Gulfood</w:t>
      </w:r>
      <w:proofErr w:type="spellEnd"/>
      <w:r w:rsidRPr="00861225">
        <w:rPr>
          <w:rFonts w:ascii="Arial" w:hAnsi="Arial" w:cs="Arial"/>
        </w:rPr>
        <w:t xml:space="preserve"> je opravdu nabitý jak doprovodnými akcemi, tak seznamem vystavujících firem. A to nemusím připomínat, že hned po konci veletrhu začíná v prostorách světové výstavy EXPO 2020 týden vyhrazený pro sektor zemědělství, na který cestují delegace z celého světa. Pokud Vás tento region opravdu zajímá, následující týdny byste měli do Emirátů určitě zavítat.</w:t>
      </w:r>
    </w:p>
    <w:p w14:paraId="75B1813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5B77147"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2" w:history="1">
        <w:r w:rsidRPr="00D4434C">
          <w:rPr>
            <w:rStyle w:val="Hypertextovodkaz"/>
          </w:rPr>
          <w:t>petr_sochor@mzv.cz</w:t>
        </w:r>
      </w:hyperlink>
    </w:p>
    <w:p w14:paraId="59817726" w14:textId="77777777" w:rsidR="00D62DDB" w:rsidRPr="00D62DDB" w:rsidRDefault="00D62DDB" w:rsidP="00D62DDB">
      <w:pPr>
        <w:pStyle w:val="Nadpis3"/>
        <w:spacing w:line="276" w:lineRule="auto"/>
      </w:pPr>
      <w:bookmarkStart w:id="0" w:name="_Hlk95484848"/>
      <w:r w:rsidRPr="00D62DDB">
        <w:t>Intenzivní zemědělská spolupráce mezi Libanonem a Irákem</w:t>
      </w:r>
      <w:bookmarkEnd w:id="0"/>
    </w:p>
    <w:p w14:paraId="56C4DC26" w14:textId="6F4A2418" w:rsidR="00D62DDB" w:rsidRDefault="00D62DDB" w:rsidP="00D62DDB">
      <w:pPr>
        <w:pStyle w:val="Bezmezer"/>
        <w:spacing w:line="276" w:lineRule="auto"/>
        <w:jc w:val="both"/>
        <w:rPr>
          <w:rFonts w:ascii="Arial" w:hAnsi="Arial" w:cs="Arial"/>
        </w:rPr>
      </w:pPr>
      <w:r>
        <w:rPr>
          <w:rFonts w:ascii="Arial" w:hAnsi="Arial" w:cs="Arial"/>
        </w:rPr>
        <w:t xml:space="preserve">Ministerstva zemědělství obou zemí podepsala začátkem února 2022 nově Dohodu o spolupráci a porozumění v oblasti zemědělské spolupráce obou zemí.  Tato dohoda zavazuje obě země v maximální míře usnadnit obchodní zemědělskou výměnu zboží, jakož i výměnu aktuálních informací pro své podnikatele a tím podpořit nárůst bilaterálních obchodních aktivit. Libanon a Irák se v posledních měsících intenzivně snaží najít vzorec pro spolupráci směrem k hospodářské integraci a vytvoření nového základu pro zemědělskou spolupráci a partnerství. Vzhledem k oboustrannému hospodářskému útlumu obě země vzhlíží k rozvoji zemědělství a potravinářského průmyslu s cílem posunutí libanonské a irácké ekonomiky vpřed a tím se vymanit z ekonomického útlumu, kterým obě země procházejí. Diskuse se také vedou v otázce tranzitu zboží, zejména umožnění libanonským kamionům dojet do </w:t>
      </w:r>
      <w:proofErr w:type="gramStart"/>
      <w:r>
        <w:rPr>
          <w:rFonts w:ascii="Arial" w:hAnsi="Arial" w:cs="Arial"/>
        </w:rPr>
        <w:t>cílové destinace</w:t>
      </w:r>
      <w:proofErr w:type="gramEnd"/>
      <w:r>
        <w:rPr>
          <w:rFonts w:ascii="Arial" w:hAnsi="Arial" w:cs="Arial"/>
        </w:rPr>
        <w:t xml:space="preserve"> v Iráku bez větší prodlevy. S otázkou tranzitu úzce souvisí zjednodušení administrativních úkonů včetně snížení cel, zejména cel na libanonské zboží dodávané do Iráku. Libanonský zemědělský sektor, včetně potravinářského průmyslu, je relativně rozvinutý s důležitou výhodou dvou vegetačních sklizní během kalendářního roku.  Irák naopak disponuje solidním surovinovým a energetickým zázemím, kterého se v Libanonu nedostává.</w:t>
      </w:r>
    </w:p>
    <w:p w14:paraId="593E747F" w14:textId="77777777" w:rsidR="00D62DDB" w:rsidRDefault="00D62DDB" w:rsidP="00D62DDB">
      <w:pPr>
        <w:pStyle w:val="Bezmezer"/>
        <w:spacing w:line="276" w:lineRule="auto"/>
        <w:jc w:val="both"/>
        <w:rPr>
          <w:rFonts w:ascii="Arial" w:hAnsi="Arial" w:cs="Arial"/>
        </w:rPr>
      </w:pPr>
      <w:r>
        <w:rPr>
          <w:rFonts w:ascii="Arial" w:hAnsi="Arial" w:cs="Arial"/>
        </w:rPr>
        <w:t>Tato dohoda jasně deklaruje tzv. obchodní přátelství z rozumu. Na jedné straně demonstruje úmysl Iráku vybudovat skutečné partnerství se sousedními zeměmi a učinit tak z Iráku aktivního hráče v regionu Blízkého a středního východu, na straně druhé pomáhá stabilizovat libanonské zemědělství z pohledu jistoty prodeje vypěstovaných plodin.</w:t>
      </w:r>
    </w:p>
    <w:p w14:paraId="4C080C0B"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6BC2EF04"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3058514F" w14:textId="77777777" w:rsidR="00D62DDB" w:rsidRPr="00D62DDB" w:rsidRDefault="00D62DDB" w:rsidP="00D62DDB">
      <w:pPr>
        <w:pStyle w:val="Nadpis3"/>
        <w:spacing w:line="276" w:lineRule="auto"/>
      </w:pPr>
      <w:bookmarkStart w:id="1" w:name="_Hlk95484862"/>
      <w:r w:rsidRPr="00D62DDB">
        <w:t>Globální inflační vlna proniká i do japonské ekonomiky</w:t>
      </w:r>
      <w:bookmarkEnd w:id="1"/>
    </w:p>
    <w:p w14:paraId="47340A0F" w14:textId="77777777" w:rsidR="00D62DDB" w:rsidRPr="005A6463" w:rsidRDefault="00D62DDB" w:rsidP="00D62DDB">
      <w:pPr>
        <w:pStyle w:val="Bezmezer"/>
        <w:spacing w:line="276" w:lineRule="auto"/>
        <w:jc w:val="both"/>
        <w:rPr>
          <w:rFonts w:ascii="Arial" w:hAnsi="Arial" w:cs="Arial"/>
        </w:rPr>
      </w:pPr>
      <w:r w:rsidRPr="005A6463">
        <w:rPr>
          <w:rFonts w:ascii="Arial" w:hAnsi="Arial" w:cs="Arial"/>
        </w:rPr>
        <w:t xml:space="preserve">Japonci </w:t>
      </w:r>
      <w:r>
        <w:rPr>
          <w:rFonts w:ascii="Arial" w:hAnsi="Arial" w:cs="Arial"/>
        </w:rPr>
        <w:t>po</w:t>
      </w:r>
      <w:r w:rsidRPr="005A6463">
        <w:rPr>
          <w:rFonts w:ascii="Arial" w:hAnsi="Arial" w:cs="Arial"/>
        </w:rPr>
        <w:t xml:space="preserve"> několik uplynulých dekád zvyklí na neměnnost cen nyní čelí pomalému zdražování. Japonské společnosti se obecně zdráhají přenášet vyšší náklady na</w:t>
      </w:r>
      <w:r>
        <w:rPr>
          <w:rFonts w:ascii="Arial" w:hAnsi="Arial" w:cs="Arial"/>
        </w:rPr>
        <w:t> </w:t>
      </w:r>
      <w:r w:rsidRPr="005A6463">
        <w:rPr>
          <w:rFonts w:ascii="Arial" w:hAnsi="Arial" w:cs="Arial"/>
        </w:rPr>
        <w:t>spotřebitele</w:t>
      </w:r>
      <w:r>
        <w:rPr>
          <w:rFonts w:ascii="Arial" w:hAnsi="Arial" w:cs="Arial"/>
        </w:rPr>
        <w:t xml:space="preserve">, kteří jsou citliví </w:t>
      </w:r>
      <w:r w:rsidRPr="005A6463">
        <w:rPr>
          <w:rFonts w:ascii="Arial" w:hAnsi="Arial" w:cs="Arial"/>
        </w:rPr>
        <w:t xml:space="preserve">na ceny. Nyní jim </w:t>
      </w:r>
      <w:r>
        <w:rPr>
          <w:rFonts w:ascii="Arial" w:hAnsi="Arial" w:cs="Arial"/>
        </w:rPr>
        <w:t xml:space="preserve">však </w:t>
      </w:r>
      <w:r w:rsidRPr="005A6463">
        <w:rPr>
          <w:rFonts w:ascii="Arial" w:hAnsi="Arial" w:cs="Arial"/>
        </w:rPr>
        <w:t xml:space="preserve">nic jiného nezbývá. </w:t>
      </w:r>
    </w:p>
    <w:p w14:paraId="3272AA6E" w14:textId="77777777" w:rsidR="00D62DDB" w:rsidRPr="005A6463" w:rsidRDefault="00D62DDB" w:rsidP="00D62DDB">
      <w:pPr>
        <w:pStyle w:val="Bezmezer"/>
        <w:spacing w:line="276" w:lineRule="auto"/>
        <w:jc w:val="both"/>
        <w:rPr>
          <w:rFonts w:ascii="Arial" w:hAnsi="Arial" w:cs="Arial"/>
        </w:rPr>
      </w:pPr>
      <w:r w:rsidRPr="005A6463">
        <w:rPr>
          <w:rFonts w:ascii="Arial" w:hAnsi="Arial" w:cs="Arial"/>
        </w:rPr>
        <w:t xml:space="preserve">Například společnost </w:t>
      </w:r>
      <w:proofErr w:type="spellStart"/>
      <w:r w:rsidRPr="005A6463">
        <w:rPr>
          <w:rFonts w:ascii="Arial" w:hAnsi="Arial" w:cs="Arial"/>
        </w:rPr>
        <w:t>Kikkoman</w:t>
      </w:r>
      <w:proofErr w:type="spellEnd"/>
      <w:r w:rsidRPr="005A6463">
        <w:rPr>
          <w:rFonts w:ascii="Arial" w:hAnsi="Arial" w:cs="Arial"/>
        </w:rPr>
        <w:t xml:space="preserve"> </w:t>
      </w:r>
      <w:proofErr w:type="spellStart"/>
      <w:r w:rsidRPr="005A6463">
        <w:rPr>
          <w:rFonts w:ascii="Arial" w:hAnsi="Arial" w:cs="Arial"/>
        </w:rPr>
        <w:t>Corp</w:t>
      </w:r>
      <w:proofErr w:type="spellEnd"/>
      <w:r w:rsidRPr="005A6463">
        <w:rPr>
          <w:rFonts w:ascii="Arial" w:hAnsi="Arial" w:cs="Arial"/>
        </w:rPr>
        <w:t>. výrobce sójových omáček, která nezvýšila své ceny již 14 let, je jednou z mnoha společností, která tvrdí, že nemají jinou možnost. I</w:t>
      </w:r>
      <w:r>
        <w:rPr>
          <w:rFonts w:ascii="Arial" w:hAnsi="Arial" w:cs="Arial"/>
        </w:rPr>
        <w:t> </w:t>
      </w:r>
      <w:r w:rsidRPr="005A6463">
        <w:rPr>
          <w:rFonts w:ascii="Arial" w:hAnsi="Arial" w:cs="Arial"/>
        </w:rPr>
        <w:t xml:space="preserve">když se firma snažila snížit výrobní náklady a zefektivnit logistiku, nestačí to k pokrytí nedávného prudkého růstu cen vstupních materiálů a přepravních nákladů. Společnost plánuje od 16. února zvýšit ceny svých výrobků o 4–10 %. Mražené výrobky společností </w:t>
      </w:r>
      <w:proofErr w:type="spellStart"/>
      <w:r w:rsidRPr="005A6463">
        <w:rPr>
          <w:rFonts w:ascii="Arial" w:hAnsi="Arial" w:cs="Arial"/>
        </w:rPr>
        <w:t>Ajinomoto</w:t>
      </w:r>
      <w:proofErr w:type="spellEnd"/>
      <w:r w:rsidRPr="005A6463">
        <w:rPr>
          <w:rFonts w:ascii="Arial" w:hAnsi="Arial" w:cs="Arial"/>
        </w:rPr>
        <w:t xml:space="preserve">, </w:t>
      </w:r>
      <w:proofErr w:type="spellStart"/>
      <w:r w:rsidRPr="005A6463">
        <w:rPr>
          <w:rFonts w:ascii="Arial" w:hAnsi="Arial" w:cs="Arial"/>
        </w:rPr>
        <w:t>Maruha</w:t>
      </w:r>
      <w:proofErr w:type="spellEnd"/>
      <w:r w:rsidRPr="005A6463">
        <w:rPr>
          <w:rFonts w:ascii="Arial" w:hAnsi="Arial" w:cs="Arial"/>
        </w:rPr>
        <w:t xml:space="preserve"> </w:t>
      </w:r>
      <w:proofErr w:type="spellStart"/>
      <w:r w:rsidRPr="005A6463">
        <w:rPr>
          <w:rFonts w:ascii="Arial" w:hAnsi="Arial" w:cs="Arial"/>
        </w:rPr>
        <w:t>Nichiro</w:t>
      </w:r>
      <w:proofErr w:type="spellEnd"/>
      <w:r w:rsidRPr="005A6463">
        <w:rPr>
          <w:rFonts w:ascii="Arial" w:hAnsi="Arial" w:cs="Arial"/>
        </w:rPr>
        <w:t xml:space="preserve"> </w:t>
      </w:r>
      <w:r>
        <w:rPr>
          <w:rFonts w:ascii="Arial" w:hAnsi="Arial" w:cs="Arial"/>
        </w:rPr>
        <w:t>a </w:t>
      </w:r>
      <w:r w:rsidRPr="005A6463">
        <w:rPr>
          <w:rFonts w:ascii="Arial" w:hAnsi="Arial" w:cs="Arial"/>
        </w:rPr>
        <w:t>dalších od tohoto měsíce zdražují o 1–23 %. Do jaké míry se toto zvýšení promítne do skutečných prodejních cen bude záviset na rozhodnutích maloobchodníků.</w:t>
      </w:r>
    </w:p>
    <w:p w14:paraId="740114A6" w14:textId="77777777" w:rsidR="00D62DDB" w:rsidRPr="005A6463" w:rsidRDefault="00D62DDB" w:rsidP="00D62DDB">
      <w:pPr>
        <w:pStyle w:val="Bezmezer"/>
        <w:spacing w:line="276" w:lineRule="auto"/>
        <w:jc w:val="both"/>
        <w:rPr>
          <w:rFonts w:ascii="Arial" w:hAnsi="Arial" w:cs="Arial"/>
        </w:rPr>
      </w:pPr>
      <w:r w:rsidRPr="005A6463">
        <w:rPr>
          <w:rFonts w:ascii="Arial" w:hAnsi="Arial" w:cs="Arial"/>
        </w:rPr>
        <w:t xml:space="preserve">Poprvé v historii se zvyšuje také cena populárního kukuřičného </w:t>
      </w:r>
      <w:proofErr w:type="spellStart"/>
      <w:r w:rsidRPr="005A6463">
        <w:rPr>
          <w:rFonts w:ascii="Arial" w:hAnsi="Arial" w:cs="Arial"/>
        </w:rPr>
        <w:t>snacku</w:t>
      </w:r>
      <w:proofErr w:type="spellEnd"/>
      <w:r w:rsidRPr="005A6463">
        <w:rPr>
          <w:rFonts w:ascii="Arial" w:hAnsi="Arial" w:cs="Arial"/>
        </w:rPr>
        <w:t xml:space="preserve"> </w:t>
      </w:r>
      <w:proofErr w:type="spellStart"/>
      <w:r w:rsidRPr="005A6463">
        <w:rPr>
          <w:rFonts w:ascii="Arial" w:hAnsi="Arial" w:cs="Arial"/>
        </w:rPr>
        <w:t>Umaibo</w:t>
      </w:r>
      <w:proofErr w:type="spellEnd"/>
      <w:r w:rsidRPr="005A6463">
        <w:rPr>
          <w:rFonts w:ascii="Arial" w:hAnsi="Arial" w:cs="Arial"/>
        </w:rPr>
        <w:t>. Jedna z nejoblíbenějších japonských pochutin, která je na trhu od roku 1979, nyní zdražuje o neuvěřitelných 20 % kvůli zvýšení ceny kukuřice z USA. I když v absolutním čísle jde o</w:t>
      </w:r>
      <w:r>
        <w:rPr>
          <w:rFonts w:ascii="Arial" w:hAnsi="Arial" w:cs="Arial"/>
        </w:rPr>
        <w:t> </w:t>
      </w:r>
      <w:r w:rsidRPr="005A6463">
        <w:rPr>
          <w:rFonts w:ascii="Arial" w:hAnsi="Arial" w:cs="Arial"/>
        </w:rPr>
        <w:t xml:space="preserve">nepatrné zvýšení ceny, má toto zdražení </w:t>
      </w:r>
      <w:r>
        <w:rPr>
          <w:rFonts w:ascii="Arial" w:hAnsi="Arial" w:cs="Arial"/>
        </w:rPr>
        <w:t xml:space="preserve">v hodnotě několika desítkách halířů </w:t>
      </w:r>
      <w:r w:rsidRPr="005A6463">
        <w:rPr>
          <w:rFonts w:ascii="Arial" w:hAnsi="Arial" w:cs="Arial"/>
        </w:rPr>
        <w:t xml:space="preserve">v inflaci odolném Japonsku symbolický význam. Tyčinka ve tvaru válce se prodává ve více než deseti příchutích v objemech přibližně 700 milionů </w:t>
      </w:r>
      <w:r>
        <w:rPr>
          <w:rFonts w:ascii="Arial" w:hAnsi="Arial" w:cs="Arial"/>
        </w:rPr>
        <w:t xml:space="preserve">kusů </w:t>
      </w:r>
      <w:r w:rsidRPr="005A6463">
        <w:rPr>
          <w:rFonts w:ascii="Arial" w:hAnsi="Arial" w:cs="Arial"/>
        </w:rPr>
        <w:t xml:space="preserve">ročně, což odpovídá pěti a půl tyčinkám na osobu. </w:t>
      </w:r>
    </w:p>
    <w:p w14:paraId="68822A93" w14:textId="77777777" w:rsidR="00D62DDB" w:rsidRPr="005A6463" w:rsidRDefault="00D62DDB" w:rsidP="00D62DDB">
      <w:pPr>
        <w:pStyle w:val="Bezmezer"/>
        <w:spacing w:line="276" w:lineRule="auto"/>
        <w:jc w:val="both"/>
        <w:rPr>
          <w:rFonts w:ascii="Arial" w:hAnsi="Arial" w:cs="Arial"/>
        </w:rPr>
      </w:pPr>
      <w:r w:rsidRPr="005A6463">
        <w:rPr>
          <w:rFonts w:ascii="Arial" w:hAnsi="Arial" w:cs="Arial"/>
        </w:rPr>
        <w:t xml:space="preserve">Mezitím stoupají i ceny benzínu a elektřiny, průměrná cena benzínu koncem ledna poprvé po </w:t>
      </w:r>
      <w:r>
        <w:rPr>
          <w:rFonts w:ascii="Arial" w:hAnsi="Arial" w:cs="Arial"/>
        </w:rPr>
        <w:t>v</w:t>
      </w:r>
      <w:r w:rsidRPr="005A6463">
        <w:rPr>
          <w:rFonts w:ascii="Arial" w:hAnsi="Arial" w:cs="Arial"/>
        </w:rPr>
        <w:t>íce než 13 letech překročila 170 jenů (3</w:t>
      </w:r>
      <w:r>
        <w:rPr>
          <w:rFonts w:ascii="Arial" w:hAnsi="Arial" w:cs="Arial"/>
        </w:rPr>
        <w:t>4</w:t>
      </w:r>
      <w:r w:rsidRPr="005A6463">
        <w:rPr>
          <w:rFonts w:ascii="Arial" w:hAnsi="Arial" w:cs="Arial"/>
        </w:rPr>
        <w:t xml:space="preserve"> Kč) za litr. To přimělo ministerstvo průmyslu poskytnout obchodníkům s ropou dotace, aby růst cen omezili. Zvažováno je také dočasné snížení daně z benzínu o 25 jenů na litr. Toto opatření může být zavedeno, pokud průměrná cena benzínu přesáhne 160 jenů za litr (32 Kč) po dobu po sobě jdoucích tří měsíců. Toto snížení by však znamenalo změnu zákona, protože od roku 2011 je politika snižování daní zmražena ve snaze zajistit příjmy na obnovu regionu </w:t>
      </w:r>
      <w:proofErr w:type="spellStart"/>
      <w:r w:rsidRPr="005A6463">
        <w:rPr>
          <w:rFonts w:ascii="Arial" w:hAnsi="Arial" w:cs="Arial"/>
        </w:rPr>
        <w:t>Tohoku</w:t>
      </w:r>
      <w:proofErr w:type="spellEnd"/>
      <w:r w:rsidRPr="005A6463">
        <w:rPr>
          <w:rFonts w:ascii="Arial" w:hAnsi="Arial" w:cs="Arial"/>
        </w:rPr>
        <w:t xml:space="preserve"> po velkém zemětřesení. Co se týče cen elektřiny, </w:t>
      </w:r>
      <w:r>
        <w:rPr>
          <w:rFonts w:ascii="Arial" w:hAnsi="Arial" w:cs="Arial"/>
        </w:rPr>
        <w:t>částky na fakturách</w:t>
      </w:r>
      <w:r w:rsidRPr="005A6463">
        <w:rPr>
          <w:rFonts w:ascii="Arial" w:hAnsi="Arial" w:cs="Arial"/>
        </w:rPr>
        <w:t xml:space="preserve"> hlavních japonských regionálních energetických společností jsou nejvyšší za posledních pět let.</w:t>
      </w:r>
    </w:p>
    <w:p w14:paraId="64A8366C" w14:textId="77777777" w:rsidR="00D62DDB" w:rsidRPr="005A6463" w:rsidRDefault="00D62DDB" w:rsidP="00D62DDB">
      <w:pPr>
        <w:pStyle w:val="Bezmezer"/>
        <w:spacing w:line="276" w:lineRule="auto"/>
        <w:jc w:val="both"/>
        <w:rPr>
          <w:rFonts w:ascii="Arial" w:hAnsi="Arial" w:cs="Arial"/>
        </w:rPr>
      </w:pPr>
      <w:r w:rsidRPr="005A6463">
        <w:rPr>
          <w:rFonts w:ascii="Arial" w:hAnsi="Arial" w:cs="Arial"/>
        </w:rPr>
        <w:t>V minulosti japonské společnosti bojovaly proti rostoucím nákladům zmenšováním balení svých výrobků, nyní se zvyšování cen pravděpodobně stane pravidelnějším jevem.</w:t>
      </w:r>
    </w:p>
    <w:p w14:paraId="243CB217"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4788E290"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Kyjevě</w:t>
      </w:r>
      <w:r w:rsidRPr="00587417">
        <w:rPr>
          <w:rFonts w:cs="Arial"/>
        </w:rPr>
        <w:t xml:space="preserve">, </w:t>
      </w:r>
      <w:r>
        <w:t xml:space="preserve">tel: +38 099 098 33 35, e-mail: </w:t>
      </w:r>
      <w:hyperlink r:id="rId14" w:history="1">
        <w:r w:rsidR="00D4434C" w:rsidRPr="00D54C30">
          <w:rPr>
            <w:rStyle w:val="Hypertextovodkaz"/>
          </w:rPr>
          <w:t>cz.ukrexport@meta.ua</w:t>
        </w:r>
      </w:hyperlink>
      <w:r w:rsidR="00D4434C">
        <w:t xml:space="preserve"> </w:t>
      </w:r>
    </w:p>
    <w:p w14:paraId="69688FB8" w14:textId="77777777" w:rsidR="00505C2E" w:rsidRDefault="00505C2E" w:rsidP="00EF76D8">
      <w:pPr>
        <w:pStyle w:val="Nadpis3"/>
        <w:spacing w:line="276" w:lineRule="auto"/>
        <w:rPr>
          <w:rFonts w:cs="Arial"/>
        </w:rPr>
      </w:pPr>
      <w:r>
        <w:t>UKRAJINA</w:t>
      </w:r>
      <w:r w:rsidRPr="00587417">
        <w:t xml:space="preserve"> – </w:t>
      </w:r>
      <w:bookmarkStart w:id="2" w:name="_Hlk93061217"/>
      <w:r w:rsidR="00CA1C10" w:rsidRPr="00CA1C10">
        <w:t>Zajímavosti z oblasti zemědělství a potravinářství</w:t>
      </w:r>
      <w:bookmarkEnd w:id="2"/>
    </w:p>
    <w:p w14:paraId="6B5E64C7" w14:textId="77777777" w:rsidR="00D62DDB" w:rsidRPr="00D62DDB" w:rsidRDefault="00D62DDB" w:rsidP="00D62DDB">
      <w:pPr>
        <w:pStyle w:val="Nadpis3"/>
        <w:spacing w:line="276" w:lineRule="auto"/>
      </w:pPr>
      <w:r w:rsidRPr="00D62DDB">
        <w:t>Situace v pěstování ovoce a ořechů na Ukrajině</w:t>
      </w:r>
    </w:p>
    <w:p w14:paraId="1F4D0574" w14:textId="77777777" w:rsidR="00D62DDB" w:rsidRDefault="00D62DDB" w:rsidP="00D62DDB">
      <w:pPr>
        <w:pStyle w:val="Bezmezer"/>
        <w:spacing w:line="276" w:lineRule="auto"/>
        <w:jc w:val="both"/>
        <w:rPr>
          <w:rFonts w:ascii="Arial" w:hAnsi="Arial" w:cs="Arial"/>
        </w:rPr>
      </w:pPr>
      <w:r w:rsidRPr="009B65D4">
        <w:rPr>
          <w:rFonts w:ascii="Arial" w:hAnsi="Arial" w:cs="Arial"/>
        </w:rPr>
        <w:t xml:space="preserve">Od roku 2001 klesá celková plocha ovocných a bobulových </w:t>
      </w:r>
      <w:r>
        <w:rPr>
          <w:rFonts w:ascii="Arial" w:hAnsi="Arial" w:cs="Arial"/>
        </w:rPr>
        <w:t>plantáží a sadů a přechází se od extenzivního zahradničení</w:t>
      </w:r>
      <w:r w:rsidRPr="009B65D4">
        <w:rPr>
          <w:rFonts w:ascii="Arial" w:hAnsi="Arial" w:cs="Arial"/>
        </w:rPr>
        <w:t xml:space="preserve"> ke kompaktn</w:t>
      </w:r>
      <w:r>
        <w:rPr>
          <w:rFonts w:ascii="Arial" w:hAnsi="Arial" w:cs="Arial"/>
        </w:rPr>
        <w:t>ějšímu intenzivnímu přístupu</w:t>
      </w:r>
      <w:r w:rsidRPr="009B65D4">
        <w:rPr>
          <w:rFonts w:ascii="Arial" w:hAnsi="Arial" w:cs="Arial"/>
        </w:rPr>
        <w:t>.</w:t>
      </w:r>
      <w:r>
        <w:rPr>
          <w:rFonts w:ascii="Arial" w:hAnsi="Arial" w:cs="Arial"/>
        </w:rPr>
        <w:t xml:space="preserve"> Plocha se snížila z 309,1 tis. hektarů (z toho 171 tis. ha</w:t>
      </w:r>
      <w:r w:rsidRPr="009B65D4">
        <w:rPr>
          <w:rFonts w:ascii="Arial" w:hAnsi="Arial" w:cs="Arial"/>
        </w:rPr>
        <w:t xml:space="preserve"> </w:t>
      </w:r>
      <w:r>
        <w:rPr>
          <w:rFonts w:ascii="Arial" w:hAnsi="Arial" w:cs="Arial"/>
        </w:rPr>
        <w:t>průmyslové zahrady) na 191 tis.</w:t>
      </w:r>
      <w:r w:rsidRPr="009B65D4">
        <w:rPr>
          <w:rFonts w:ascii="Arial" w:hAnsi="Arial" w:cs="Arial"/>
        </w:rPr>
        <w:t xml:space="preserve"> hektarů (43,</w:t>
      </w:r>
      <w:r>
        <w:rPr>
          <w:rFonts w:ascii="Arial" w:hAnsi="Arial" w:cs="Arial"/>
        </w:rPr>
        <w:t>5 tis. ha průmyslové zahrady), přičemž</w:t>
      </w:r>
      <w:r w:rsidRPr="009B65D4">
        <w:rPr>
          <w:rFonts w:ascii="Arial" w:hAnsi="Arial" w:cs="Arial"/>
        </w:rPr>
        <w:t xml:space="preserve"> tradičně </w:t>
      </w:r>
      <w:r>
        <w:rPr>
          <w:rFonts w:ascii="Arial" w:hAnsi="Arial" w:cs="Arial"/>
        </w:rPr>
        <w:t>převažují jablka</w:t>
      </w:r>
      <w:r w:rsidRPr="009B65D4">
        <w:rPr>
          <w:rFonts w:ascii="Arial" w:hAnsi="Arial" w:cs="Arial"/>
        </w:rPr>
        <w:t xml:space="preserve"> – 43</w:t>
      </w:r>
      <w:r>
        <w:rPr>
          <w:rFonts w:ascii="Arial" w:hAnsi="Arial" w:cs="Arial"/>
        </w:rPr>
        <w:t xml:space="preserve"> </w:t>
      </w:r>
      <w:r w:rsidRPr="009B65D4">
        <w:rPr>
          <w:rFonts w:ascii="Arial" w:hAnsi="Arial" w:cs="Arial"/>
        </w:rPr>
        <w:t>% z celkové plochy.</w:t>
      </w:r>
      <w:r>
        <w:rPr>
          <w:rFonts w:ascii="Arial" w:hAnsi="Arial" w:cs="Arial"/>
        </w:rPr>
        <w:t xml:space="preserve"> </w:t>
      </w:r>
      <w:r w:rsidRPr="009B65D4">
        <w:rPr>
          <w:rFonts w:ascii="Arial" w:hAnsi="Arial" w:cs="Arial"/>
        </w:rPr>
        <w:t>V posledních</w:t>
      </w:r>
      <w:r>
        <w:rPr>
          <w:rFonts w:ascii="Arial" w:hAnsi="Arial" w:cs="Arial"/>
        </w:rPr>
        <w:t xml:space="preserve"> čtyřech letech byly nejvíce nově</w:t>
      </w:r>
      <w:r w:rsidRPr="009B65D4">
        <w:rPr>
          <w:rFonts w:ascii="Arial" w:hAnsi="Arial" w:cs="Arial"/>
        </w:rPr>
        <w:t xml:space="preserve"> vysazovány </w:t>
      </w:r>
      <w:proofErr w:type="gramStart"/>
      <w:r>
        <w:rPr>
          <w:rFonts w:ascii="Arial" w:hAnsi="Arial" w:cs="Arial"/>
        </w:rPr>
        <w:t>ořechy - v</w:t>
      </w:r>
      <w:proofErr w:type="gramEnd"/>
      <w:r w:rsidRPr="009B65D4">
        <w:rPr>
          <w:rFonts w:ascii="Arial" w:hAnsi="Arial" w:cs="Arial"/>
        </w:rPr>
        <w:t xml:space="preserve"> roce 2018 </w:t>
      </w:r>
      <w:r>
        <w:rPr>
          <w:rFonts w:ascii="Arial" w:hAnsi="Arial" w:cs="Arial"/>
        </w:rPr>
        <w:t>na 2,3 tis. hektarech</w:t>
      </w:r>
      <w:r w:rsidRPr="009B65D4">
        <w:rPr>
          <w:rFonts w:ascii="Arial" w:hAnsi="Arial" w:cs="Arial"/>
        </w:rPr>
        <w:t xml:space="preserve">, v roce 2019 </w:t>
      </w:r>
      <w:r>
        <w:rPr>
          <w:rFonts w:ascii="Arial" w:hAnsi="Arial" w:cs="Arial"/>
        </w:rPr>
        <w:t>na 1,6 tis. hektarech a</w:t>
      </w:r>
      <w:r w:rsidRPr="009B65D4">
        <w:rPr>
          <w:rFonts w:ascii="Arial" w:hAnsi="Arial" w:cs="Arial"/>
        </w:rPr>
        <w:t xml:space="preserve"> v roce 2020 </w:t>
      </w:r>
      <w:r>
        <w:rPr>
          <w:rFonts w:ascii="Arial" w:hAnsi="Arial" w:cs="Arial"/>
        </w:rPr>
        <w:t>na 809 hektarech</w:t>
      </w:r>
      <w:r w:rsidRPr="009B65D4">
        <w:rPr>
          <w:rFonts w:ascii="Arial" w:hAnsi="Arial" w:cs="Arial"/>
        </w:rPr>
        <w:t xml:space="preserve">. </w:t>
      </w:r>
      <w:r>
        <w:rPr>
          <w:rFonts w:ascii="Arial" w:hAnsi="Arial" w:cs="Arial"/>
        </w:rPr>
        <w:t>K</w:t>
      </w:r>
      <w:r w:rsidRPr="009B65D4">
        <w:rPr>
          <w:rFonts w:ascii="Arial" w:hAnsi="Arial" w:cs="Arial"/>
        </w:rPr>
        <w:t xml:space="preserve">líčovými vývozními položkami jsou jablečná </w:t>
      </w:r>
      <w:r>
        <w:rPr>
          <w:rFonts w:ascii="Arial" w:hAnsi="Arial" w:cs="Arial"/>
        </w:rPr>
        <w:t>šťáva, ořechy, jablka a hrušky.</w:t>
      </w:r>
    </w:p>
    <w:p w14:paraId="68D700FD" w14:textId="77777777" w:rsidR="00D62DDB" w:rsidRPr="00D62DDB" w:rsidRDefault="00D62DDB" w:rsidP="00D62DDB">
      <w:pPr>
        <w:pStyle w:val="Nadpis3"/>
        <w:spacing w:line="276" w:lineRule="auto"/>
      </w:pPr>
      <w:bookmarkStart w:id="3" w:name="_Hlk95484904"/>
      <w:r w:rsidRPr="00D62DDB">
        <w:t>Nová legislativa v odvětví chovu drůbeže</w:t>
      </w:r>
      <w:bookmarkEnd w:id="3"/>
    </w:p>
    <w:p w14:paraId="1B4DDF8D" w14:textId="77777777" w:rsidR="00D62DDB" w:rsidRPr="009B65D4" w:rsidRDefault="00D62DDB" w:rsidP="00D62DDB">
      <w:pPr>
        <w:pStyle w:val="Bezmezer"/>
        <w:spacing w:line="276" w:lineRule="auto"/>
        <w:jc w:val="both"/>
        <w:rPr>
          <w:rFonts w:ascii="Arial" w:hAnsi="Arial" w:cs="Arial"/>
        </w:rPr>
      </w:pPr>
      <w:r w:rsidRPr="009B65D4">
        <w:rPr>
          <w:rFonts w:ascii="Arial" w:hAnsi="Arial" w:cs="Arial"/>
        </w:rPr>
        <w:t xml:space="preserve">Loňský rok </w:t>
      </w:r>
      <w:r>
        <w:rPr>
          <w:rFonts w:ascii="Arial" w:hAnsi="Arial" w:cs="Arial"/>
        </w:rPr>
        <w:t>zaznamenal</w:t>
      </w:r>
      <w:r w:rsidRPr="009B65D4">
        <w:rPr>
          <w:rFonts w:ascii="Arial" w:hAnsi="Arial" w:cs="Arial"/>
        </w:rPr>
        <w:t xml:space="preserve"> abnormální růst cen energií a krmiv</w:t>
      </w:r>
      <w:r>
        <w:rPr>
          <w:rFonts w:ascii="Arial" w:hAnsi="Arial" w:cs="Arial"/>
        </w:rPr>
        <w:t>, který</w:t>
      </w:r>
      <w:r w:rsidRPr="009B65D4">
        <w:rPr>
          <w:rFonts w:ascii="Arial" w:hAnsi="Arial" w:cs="Arial"/>
        </w:rPr>
        <w:t xml:space="preserve"> vedl ke snížení průmyslové produkce drůbežího masa o 2</w:t>
      </w:r>
      <w:r>
        <w:rPr>
          <w:rFonts w:ascii="Arial" w:hAnsi="Arial" w:cs="Arial"/>
        </w:rPr>
        <w:t xml:space="preserve"> </w:t>
      </w:r>
      <w:r w:rsidRPr="009B65D4">
        <w:rPr>
          <w:rFonts w:ascii="Arial" w:hAnsi="Arial" w:cs="Arial"/>
        </w:rPr>
        <w:t>% a vajec o 22</w:t>
      </w:r>
      <w:r>
        <w:rPr>
          <w:rFonts w:ascii="Arial" w:hAnsi="Arial" w:cs="Arial"/>
        </w:rPr>
        <w:t xml:space="preserve"> </w:t>
      </w:r>
      <w:r w:rsidRPr="009B65D4">
        <w:rPr>
          <w:rFonts w:ascii="Arial" w:hAnsi="Arial" w:cs="Arial"/>
        </w:rPr>
        <w:t xml:space="preserve">%. Daňové </w:t>
      </w:r>
      <w:r>
        <w:rPr>
          <w:rFonts w:ascii="Arial" w:hAnsi="Arial" w:cs="Arial"/>
        </w:rPr>
        <w:t>změny</w:t>
      </w:r>
      <w:r w:rsidRPr="009B65D4">
        <w:rPr>
          <w:rFonts w:ascii="Arial" w:hAnsi="Arial" w:cs="Arial"/>
        </w:rPr>
        <w:t>, které vstoupily v platnost 1.</w:t>
      </w:r>
      <w:r>
        <w:rPr>
          <w:rFonts w:ascii="Arial" w:hAnsi="Arial" w:cs="Arial"/>
        </w:rPr>
        <w:t> </w:t>
      </w:r>
      <w:r w:rsidRPr="009B65D4">
        <w:rPr>
          <w:rFonts w:ascii="Arial" w:hAnsi="Arial" w:cs="Arial"/>
        </w:rPr>
        <w:t xml:space="preserve">ledna 2022, však mohou </w:t>
      </w:r>
      <w:r>
        <w:rPr>
          <w:rFonts w:ascii="Arial" w:hAnsi="Arial" w:cs="Arial"/>
        </w:rPr>
        <w:t xml:space="preserve">být pro řadu firem likvidační. </w:t>
      </w:r>
      <w:r w:rsidRPr="009B65D4">
        <w:rPr>
          <w:rFonts w:ascii="Arial" w:hAnsi="Arial" w:cs="Arial"/>
        </w:rPr>
        <w:t xml:space="preserve">Několik sdružení se obrátilo na vedení úřadu prezidenta, premiéra a zástupce </w:t>
      </w:r>
      <w:proofErr w:type="spellStart"/>
      <w:r w:rsidRPr="009B65D4">
        <w:rPr>
          <w:rFonts w:ascii="Arial" w:hAnsi="Arial" w:cs="Arial"/>
        </w:rPr>
        <w:t>Verchovné</w:t>
      </w:r>
      <w:proofErr w:type="spellEnd"/>
      <w:r w:rsidRPr="009B65D4">
        <w:rPr>
          <w:rFonts w:ascii="Arial" w:hAnsi="Arial" w:cs="Arial"/>
        </w:rPr>
        <w:t xml:space="preserve"> rady s žádostí o urychlenou změnu legislativy, konkrétně zákona „O změnách daňového zákoníku Ukrajiny</w:t>
      </w:r>
      <w:r>
        <w:rPr>
          <w:rFonts w:ascii="Arial" w:hAnsi="Arial" w:cs="Arial"/>
        </w:rPr>
        <w:t>“</w:t>
      </w:r>
      <w:r w:rsidRPr="009B65D4">
        <w:rPr>
          <w:rFonts w:ascii="Arial" w:hAnsi="Arial" w:cs="Arial"/>
        </w:rPr>
        <w:t xml:space="preserve"> a dalších legislativních aktů Ukrajiny k zajištění vyrovnaných rozpočtových příjmů. </w:t>
      </w:r>
      <w:r>
        <w:rPr>
          <w:rFonts w:ascii="Arial" w:hAnsi="Arial" w:cs="Arial"/>
        </w:rPr>
        <w:t>P</w:t>
      </w:r>
      <w:r w:rsidRPr="009B65D4">
        <w:rPr>
          <w:rFonts w:ascii="Arial" w:hAnsi="Arial" w:cs="Arial"/>
        </w:rPr>
        <w:t>oukazují na to, že parlament v jednom textu zákona přijal protichůdné a vzájemně se vylučující normy</w:t>
      </w:r>
      <w:r>
        <w:rPr>
          <w:rFonts w:ascii="Arial" w:hAnsi="Arial" w:cs="Arial"/>
        </w:rPr>
        <w:t>,</w:t>
      </w:r>
      <w:r w:rsidRPr="009B65D4">
        <w:rPr>
          <w:rFonts w:ascii="Arial" w:hAnsi="Arial" w:cs="Arial"/>
        </w:rPr>
        <w:t xml:space="preserve"> které budou mít mimořádně negativní důsledky.</w:t>
      </w:r>
      <w:r>
        <w:rPr>
          <w:rFonts w:ascii="Arial" w:hAnsi="Arial" w:cs="Arial"/>
        </w:rPr>
        <w:t xml:space="preserve"> </w:t>
      </w:r>
      <w:r w:rsidRPr="009B65D4">
        <w:rPr>
          <w:rFonts w:ascii="Arial" w:hAnsi="Arial" w:cs="Arial"/>
        </w:rPr>
        <w:t>Zákon stanoví, že chovatelé drůbeže již nemohou využívat čtvrtou skupinu zdanění, a</w:t>
      </w:r>
      <w:r>
        <w:rPr>
          <w:rFonts w:ascii="Arial" w:hAnsi="Arial" w:cs="Arial"/>
        </w:rPr>
        <w:t> </w:t>
      </w:r>
      <w:r w:rsidRPr="009B65D4">
        <w:rPr>
          <w:rFonts w:ascii="Arial" w:hAnsi="Arial" w:cs="Arial"/>
        </w:rPr>
        <w:t xml:space="preserve">zároveň říká, že se pro ně zvyšuje daňová sazba ve stejné čtvrté skupině. </w:t>
      </w:r>
      <w:r>
        <w:rPr>
          <w:rFonts w:ascii="Arial" w:hAnsi="Arial" w:cs="Arial"/>
        </w:rPr>
        <w:t>S</w:t>
      </w:r>
      <w:r w:rsidRPr="009B65D4">
        <w:rPr>
          <w:rFonts w:ascii="Arial" w:hAnsi="Arial" w:cs="Arial"/>
        </w:rPr>
        <w:t xml:space="preserve">tátní podpora </w:t>
      </w:r>
      <w:r>
        <w:rPr>
          <w:rFonts w:ascii="Arial" w:hAnsi="Arial" w:cs="Arial"/>
        </w:rPr>
        <w:t xml:space="preserve">chovu </w:t>
      </w:r>
      <w:r w:rsidRPr="009B65D4">
        <w:rPr>
          <w:rFonts w:ascii="Arial" w:hAnsi="Arial" w:cs="Arial"/>
        </w:rPr>
        <w:t>drůb</w:t>
      </w:r>
      <w:r>
        <w:rPr>
          <w:rFonts w:ascii="Arial" w:hAnsi="Arial" w:cs="Arial"/>
        </w:rPr>
        <w:t xml:space="preserve">eže je omezená a daňová zátěž významně zatíží již tak nerentabilní průmysl. Výrazné omezení produkce by mohlo značně ovlivnit </w:t>
      </w:r>
      <w:r w:rsidRPr="009B65D4">
        <w:rPr>
          <w:rFonts w:ascii="Arial" w:hAnsi="Arial" w:cs="Arial"/>
        </w:rPr>
        <w:t xml:space="preserve">potravinovou bezpečnost státu, protože základem spotřebního koše jsou produkty drůbež a vejce. První </w:t>
      </w:r>
      <w:r>
        <w:rPr>
          <w:rFonts w:ascii="Arial" w:hAnsi="Arial" w:cs="Arial"/>
        </w:rPr>
        <w:t>ránu zaznamenal drůbežářský průmysl v loňském roce, kdy se</w:t>
      </w:r>
      <w:r w:rsidRPr="009B65D4">
        <w:rPr>
          <w:rFonts w:ascii="Arial" w:hAnsi="Arial" w:cs="Arial"/>
        </w:rPr>
        <w:t xml:space="preserve"> dovoz drůbežího masa </w:t>
      </w:r>
      <w:r>
        <w:rPr>
          <w:rFonts w:ascii="Arial" w:hAnsi="Arial" w:cs="Arial"/>
        </w:rPr>
        <w:t>na Ukrajinu</w:t>
      </w:r>
      <w:r w:rsidRPr="009B65D4">
        <w:rPr>
          <w:rFonts w:ascii="Arial" w:hAnsi="Arial" w:cs="Arial"/>
        </w:rPr>
        <w:t xml:space="preserve"> zvýšil o 13</w:t>
      </w:r>
      <w:r>
        <w:rPr>
          <w:rFonts w:ascii="Arial" w:hAnsi="Arial" w:cs="Arial"/>
        </w:rPr>
        <w:t xml:space="preserve"> </w:t>
      </w:r>
      <w:r w:rsidRPr="009B65D4">
        <w:rPr>
          <w:rFonts w:ascii="Arial" w:hAnsi="Arial" w:cs="Arial"/>
        </w:rPr>
        <w:t>%</w:t>
      </w:r>
      <w:r>
        <w:rPr>
          <w:rFonts w:ascii="Arial" w:hAnsi="Arial" w:cs="Arial"/>
        </w:rPr>
        <w:t>,</w:t>
      </w:r>
      <w:r w:rsidRPr="009B65D4">
        <w:rPr>
          <w:rFonts w:ascii="Arial" w:hAnsi="Arial" w:cs="Arial"/>
        </w:rPr>
        <w:t xml:space="preserve"> a poprvé od získání nezávislosti Ukrajina dovezla vejce.</w:t>
      </w:r>
      <w:r>
        <w:rPr>
          <w:rFonts w:ascii="Arial" w:hAnsi="Arial" w:cs="Arial"/>
        </w:rPr>
        <w:t xml:space="preserve"> V</w:t>
      </w:r>
      <w:r w:rsidRPr="009B65D4">
        <w:rPr>
          <w:rFonts w:ascii="Arial" w:hAnsi="Arial" w:cs="Arial"/>
        </w:rPr>
        <w:t xml:space="preserve"> posledních dvou letech </w:t>
      </w:r>
      <w:r>
        <w:rPr>
          <w:rFonts w:ascii="Arial" w:hAnsi="Arial" w:cs="Arial"/>
        </w:rPr>
        <w:t>ukončilo činnost</w:t>
      </w:r>
      <w:r w:rsidRPr="009B65D4">
        <w:rPr>
          <w:rFonts w:ascii="Arial" w:hAnsi="Arial" w:cs="Arial"/>
        </w:rPr>
        <w:t xml:space="preserve"> více než 30 průmyslových drůbežáren. </w:t>
      </w:r>
      <w:r>
        <w:rPr>
          <w:rFonts w:ascii="Arial" w:hAnsi="Arial" w:cs="Arial"/>
        </w:rPr>
        <w:t>Další snižování</w:t>
      </w:r>
      <w:r w:rsidRPr="009B65D4">
        <w:rPr>
          <w:rFonts w:ascii="Arial" w:hAnsi="Arial" w:cs="Arial"/>
        </w:rPr>
        <w:t xml:space="preserve"> výrobních kapacit </w:t>
      </w:r>
      <w:r>
        <w:rPr>
          <w:rFonts w:ascii="Arial" w:hAnsi="Arial" w:cs="Arial"/>
        </w:rPr>
        <w:t>povede i ke</w:t>
      </w:r>
      <w:r w:rsidRPr="009B65D4">
        <w:rPr>
          <w:rFonts w:ascii="Arial" w:hAnsi="Arial" w:cs="Arial"/>
        </w:rPr>
        <w:t xml:space="preserve"> snížení pracovníc</w:t>
      </w:r>
      <w:r>
        <w:rPr>
          <w:rFonts w:ascii="Arial" w:hAnsi="Arial" w:cs="Arial"/>
        </w:rPr>
        <w:t>h míst ve venkovských oblastech a</w:t>
      </w:r>
      <w:r w:rsidRPr="009B65D4">
        <w:rPr>
          <w:rFonts w:ascii="Arial" w:hAnsi="Arial" w:cs="Arial"/>
        </w:rPr>
        <w:t xml:space="preserve"> ke snížení příjmů do místních rozpočtů z</w:t>
      </w:r>
      <w:r>
        <w:rPr>
          <w:rFonts w:ascii="Arial" w:hAnsi="Arial" w:cs="Arial"/>
        </w:rPr>
        <w:t> daní čtv</w:t>
      </w:r>
      <w:r w:rsidRPr="009B65D4">
        <w:rPr>
          <w:rFonts w:ascii="Arial" w:hAnsi="Arial" w:cs="Arial"/>
        </w:rPr>
        <w:t>rté skupiny.</w:t>
      </w:r>
      <w:r>
        <w:rPr>
          <w:rFonts w:ascii="Arial" w:hAnsi="Arial" w:cs="Arial"/>
        </w:rPr>
        <w:t xml:space="preserve"> </w:t>
      </w:r>
      <w:r w:rsidRPr="009B65D4">
        <w:rPr>
          <w:rFonts w:ascii="Arial" w:hAnsi="Arial" w:cs="Arial"/>
        </w:rPr>
        <w:t xml:space="preserve">Dalším negativním aspektem zavedení změn ve zdanění </w:t>
      </w:r>
      <w:r>
        <w:rPr>
          <w:rFonts w:ascii="Arial" w:hAnsi="Arial" w:cs="Arial"/>
        </w:rPr>
        <w:t>tohoto odvětví</w:t>
      </w:r>
      <w:r w:rsidRPr="009B65D4">
        <w:rPr>
          <w:rFonts w:ascii="Arial" w:hAnsi="Arial" w:cs="Arial"/>
        </w:rPr>
        <w:t xml:space="preserve"> je značná komplikace daňové správy, protože 90</w:t>
      </w:r>
      <w:r>
        <w:rPr>
          <w:rFonts w:ascii="Arial" w:hAnsi="Arial" w:cs="Arial"/>
        </w:rPr>
        <w:t xml:space="preserve"> </w:t>
      </w:r>
      <w:r w:rsidRPr="009B65D4">
        <w:rPr>
          <w:rFonts w:ascii="Arial" w:hAnsi="Arial" w:cs="Arial"/>
        </w:rPr>
        <w:t xml:space="preserve">% drůbežářských farem má smíšenou produkci </w:t>
      </w:r>
      <w:r>
        <w:rPr>
          <w:rFonts w:ascii="Arial" w:hAnsi="Arial" w:cs="Arial"/>
        </w:rPr>
        <w:t>(</w:t>
      </w:r>
      <w:r w:rsidRPr="009B65D4">
        <w:rPr>
          <w:rFonts w:ascii="Arial" w:hAnsi="Arial" w:cs="Arial"/>
        </w:rPr>
        <w:t xml:space="preserve">rostlinnou a drůbeží, </w:t>
      </w:r>
      <w:r>
        <w:rPr>
          <w:rFonts w:ascii="Arial" w:hAnsi="Arial" w:cs="Arial"/>
        </w:rPr>
        <w:t>popř. dalších hospodářských zvířat a </w:t>
      </w:r>
      <w:r w:rsidRPr="009B65D4">
        <w:rPr>
          <w:rFonts w:ascii="Arial" w:hAnsi="Arial" w:cs="Arial"/>
        </w:rPr>
        <w:t>prasat</w:t>
      </w:r>
      <w:r>
        <w:rPr>
          <w:rFonts w:ascii="Arial" w:hAnsi="Arial" w:cs="Arial"/>
        </w:rPr>
        <w:t>)</w:t>
      </w:r>
      <w:r w:rsidRPr="009B65D4">
        <w:rPr>
          <w:rFonts w:ascii="Arial" w:hAnsi="Arial" w:cs="Arial"/>
        </w:rPr>
        <w:t xml:space="preserve">. To znamená, že pro zachování zjednodušeného systému zdanění budou muset tito chovatelé buď přidělit drůbež samostatné právnické osobě, a tím narušit strukturu produkce, nebo dokonce </w:t>
      </w:r>
      <w:r>
        <w:rPr>
          <w:rFonts w:ascii="Arial" w:hAnsi="Arial" w:cs="Arial"/>
        </w:rPr>
        <w:t>produkci</w:t>
      </w:r>
      <w:r w:rsidRPr="009B65D4">
        <w:rPr>
          <w:rFonts w:ascii="Arial" w:hAnsi="Arial" w:cs="Arial"/>
        </w:rPr>
        <w:t xml:space="preserve"> drůbež</w:t>
      </w:r>
      <w:r>
        <w:rPr>
          <w:rFonts w:ascii="Arial" w:hAnsi="Arial" w:cs="Arial"/>
        </w:rPr>
        <w:t>e zcela</w:t>
      </w:r>
      <w:r w:rsidRPr="009B65D4">
        <w:rPr>
          <w:rFonts w:ascii="Arial" w:hAnsi="Arial" w:cs="Arial"/>
        </w:rPr>
        <w:t xml:space="preserve"> zastavit</w:t>
      </w:r>
      <w:r>
        <w:rPr>
          <w:rFonts w:ascii="Arial" w:hAnsi="Arial" w:cs="Arial"/>
        </w:rPr>
        <w:t>, což poškodí p</w:t>
      </w:r>
      <w:r w:rsidRPr="009B65D4">
        <w:rPr>
          <w:rFonts w:ascii="Arial" w:hAnsi="Arial" w:cs="Arial"/>
        </w:rPr>
        <w:t>ředevším malé a střední podnik</w:t>
      </w:r>
      <w:r>
        <w:rPr>
          <w:rFonts w:ascii="Arial" w:hAnsi="Arial" w:cs="Arial"/>
        </w:rPr>
        <w:t>y</w:t>
      </w:r>
      <w:r w:rsidRPr="009B65D4">
        <w:rPr>
          <w:rFonts w:ascii="Arial" w:hAnsi="Arial" w:cs="Arial"/>
        </w:rPr>
        <w:t xml:space="preserve">. </w:t>
      </w:r>
      <w:r>
        <w:rPr>
          <w:rFonts w:ascii="Arial" w:hAnsi="Arial" w:cs="Arial"/>
        </w:rPr>
        <w:t xml:space="preserve"> </w:t>
      </w:r>
      <w:r w:rsidRPr="009B65D4">
        <w:rPr>
          <w:rFonts w:ascii="Arial" w:hAnsi="Arial" w:cs="Arial"/>
        </w:rPr>
        <w:t xml:space="preserve">Sdružení „Svaz chovatelů drůbeže“, „Ukrajinský zemědělský podnik“ a „Ukrajinská agrární konfederace“ na závěr vyzvala úřady, aby urychleně přehodnotily své daňové </w:t>
      </w:r>
      <w:r>
        <w:rPr>
          <w:rFonts w:ascii="Arial" w:hAnsi="Arial" w:cs="Arial"/>
        </w:rPr>
        <w:t>změny a obnovily právo</w:t>
      </w:r>
      <w:r w:rsidRPr="009B65D4">
        <w:rPr>
          <w:rFonts w:ascii="Arial" w:hAnsi="Arial" w:cs="Arial"/>
        </w:rPr>
        <w:t xml:space="preserve"> chovatelů drůbeže na čtvrtou skupinu zdanění, aby se předešlo </w:t>
      </w:r>
      <w:r>
        <w:rPr>
          <w:rFonts w:ascii="Arial" w:hAnsi="Arial" w:cs="Arial"/>
        </w:rPr>
        <w:t>řadě negativních důsledků</w:t>
      </w:r>
      <w:r w:rsidRPr="009B65D4">
        <w:rPr>
          <w:rFonts w:ascii="Arial" w:hAnsi="Arial" w:cs="Arial"/>
        </w:rPr>
        <w:t>.</w:t>
      </w:r>
    </w:p>
    <w:p w14:paraId="1585DE72"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4BB3740F"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5" w:history="1">
        <w:r w:rsidR="00D4434C" w:rsidRPr="00D54C30">
          <w:rPr>
            <w:rStyle w:val="Hypertextovodkaz"/>
          </w:rPr>
          <w:t>artom_lukasov@mzv.cz</w:t>
        </w:r>
      </w:hyperlink>
      <w:r w:rsidR="00D4434C">
        <w:t xml:space="preserve"> </w:t>
      </w:r>
    </w:p>
    <w:p w14:paraId="3E784994" w14:textId="77777777" w:rsidR="00505C2E" w:rsidRDefault="00D4434C" w:rsidP="00EF76D8">
      <w:pPr>
        <w:pStyle w:val="Nadpis3"/>
        <w:spacing w:line="276" w:lineRule="auto"/>
        <w:rPr>
          <w:rFonts w:cs="Arial"/>
        </w:rPr>
      </w:pPr>
      <w:r>
        <w:t>KAZACHSTÁN</w:t>
      </w:r>
      <w:r w:rsidR="00505C2E" w:rsidRPr="00587417">
        <w:t xml:space="preserve"> – </w:t>
      </w:r>
      <w:r w:rsidR="00F4313C" w:rsidRPr="00F4313C">
        <w:t>Zajímavosti z oblasti zemědělství a potravinářství</w:t>
      </w:r>
    </w:p>
    <w:p w14:paraId="27AB7C59" w14:textId="77777777" w:rsidR="00D62DDB" w:rsidRPr="00D62DDB" w:rsidRDefault="00D62DDB" w:rsidP="00D62DDB">
      <w:pPr>
        <w:pStyle w:val="Nadpis3"/>
        <w:spacing w:line="276" w:lineRule="auto"/>
      </w:pPr>
      <w:r>
        <w:t xml:space="preserve">Výroba a ceny alkoholických nápojů </w:t>
      </w:r>
    </w:p>
    <w:p w14:paraId="78CE240A" w14:textId="77777777" w:rsidR="00D62DDB" w:rsidRDefault="00D62DDB" w:rsidP="00D62DDB">
      <w:pPr>
        <w:spacing w:line="276" w:lineRule="auto"/>
        <w:jc w:val="both"/>
      </w:pPr>
      <w:r w:rsidRPr="00F11228">
        <w:t xml:space="preserve">Výroba alkoholických nápojů v Kazachstánu </w:t>
      </w:r>
      <w:r>
        <w:t xml:space="preserve">v r. 2021 </w:t>
      </w:r>
      <w:r w:rsidRPr="00F11228">
        <w:t>vzrostla</w:t>
      </w:r>
      <w:r>
        <w:t xml:space="preserve">, konkrétně se jedná </w:t>
      </w:r>
      <w:r>
        <w:br/>
        <w:t>o tyto produkty:</w:t>
      </w:r>
    </w:p>
    <w:p w14:paraId="17499F4D" w14:textId="77777777" w:rsidR="00D62DDB" w:rsidRDefault="00D62DDB" w:rsidP="00D62DDB">
      <w:pPr>
        <w:pStyle w:val="Odstavecseseznamem"/>
        <w:numPr>
          <w:ilvl w:val="1"/>
          <w:numId w:val="28"/>
        </w:numPr>
        <w:spacing w:line="276" w:lineRule="auto"/>
        <w:jc w:val="both"/>
      </w:pPr>
      <w:r>
        <w:t xml:space="preserve">Vodka </w:t>
      </w:r>
      <w:r w:rsidRPr="00F11228">
        <w:t xml:space="preserve">o 25,3 % </w:t>
      </w:r>
      <w:r>
        <w:t>na 27,8 mil. litrů;</w:t>
      </w:r>
    </w:p>
    <w:p w14:paraId="7E7116A0" w14:textId="77777777" w:rsidR="00D62DDB" w:rsidRDefault="00D62DDB" w:rsidP="00D62DDB">
      <w:pPr>
        <w:pStyle w:val="Odstavecseseznamem"/>
        <w:numPr>
          <w:ilvl w:val="1"/>
          <w:numId w:val="28"/>
        </w:numPr>
        <w:spacing w:line="276" w:lineRule="auto"/>
        <w:jc w:val="both"/>
      </w:pPr>
      <w:r>
        <w:t>P</w:t>
      </w:r>
      <w:r w:rsidRPr="00F11228">
        <w:t xml:space="preserve">ivo </w:t>
      </w:r>
      <w:r>
        <w:t>o 4,2 %, na 722,1 mil. litrů;</w:t>
      </w:r>
    </w:p>
    <w:p w14:paraId="537DE72B" w14:textId="77777777" w:rsidR="00D62DDB" w:rsidRDefault="00D62DDB" w:rsidP="00D62DDB">
      <w:pPr>
        <w:pStyle w:val="Odstavecseseznamem"/>
        <w:numPr>
          <w:ilvl w:val="1"/>
          <w:numId w:val="28"/>
        </w:numPr>
        <w:spacing w:line="276" w:lineRule="auto"/>
        <w:jc w:val="both"/>
      </w:pPr>
      <w:r>
        <w:t>L</w:t>
      </w:r>
      <w:r w:rsidRPr="00F11228">
        <w:t>ikéry a ostatní podobné alko</w:t>
      </w:r>
      <w:r>
        <w:t xml:space="preserve"> nápoje </w:t>
      </w:r>
      <w:r w:rsidRPr="00F11228">
        <w:t>o 25,9 % na 2,1 mil. litrů</w:t>
      </w:r>
      <w:r>
        <w:t>.</w:t>
      </w:r>
    </w:p>
    <w:p w14:paraId="201A3DF5" w14:textId="77777777" w:rsidR="00D62DDB" w:rsidRDefault="00D62DDB" w:rsidP="00D62DDB">
      <w:pPr>
        <w:spacing w:line="276" w:lineRule="auto"/>
        <w:jc w:val="both"/>
      </w:pPr>
      <w:r>
        <w:t>Naopak ve stejném roce došlo ke snížení výroby u níže uvedených produktů:</w:t>
      </w:r>
    </w:p>
    <w:p w14:paraId="29C7919C" w14:textId="77777777" w:rsidR="00D62DDB" w:rsidRDefault="00D62DDB" w:rsidP="00D62DDB">
      <w:pPr>
        <w:pStyle w:val="Odstavecseseznamem"/>
        <w:numPr>
          <w:ilvl w:val="1"/>
          <w:numId w:val="28"/>
        </w:numPr>
        <w:spacing w:line="276" w:lineRule="auto"/>
        <w:jc w:val="both"/>
      </w:pPr>
      <w:r>
        <w:t xml:space="preserve">U vína, kde došlo ke snížení o 38,2 % </w:t>
      </w:r>
      <w:r w:rsidRPr="00F11228">
        <w:t xml:space="preserve">na </w:t>
      </w:r>
      <w:r>
        <w:t>26,8 mil.</w:t>
      </w:r>
      <w:r w:rsidRPr="00F11228">
        <w:t xml:space="preserve"> litrů</w:t>
      </w:r>
      <w:r>
        <w:t>;</w:t>
      </w:r>
    </w:p>
    <w:p w14:paraId="6829CA96" w14:textId="77777777" w:rsidR="00D62DDB" w:rsidRDefault="00D62DDB" w:rsidP="00D62DDB">
      <w:pPr>
        <w:pStyle w:val="Odstavecseseznamem"/>
        <w:numPr>
          <w:ilvl w:val="1"/>
          <w:numId w:val="28"/>
        </w:numPr>
        <w:spacing w:line="276" w:lineRule="auto"/>
        <w:jc w:val="both"/>
      </w:pPr>
      <w:r w:rsidRPr="00F11228">
        <w:t>V červených</w:t>
      </w:r>
      <w:r>
        <w:t xml:space="preserve"> číslech je i produkce brandy, u kterého došlo ke snížení o 11,7 % </w:t>
      </w:r>
      <w:proofErr w:type="gramStart"/>
      <w:r>
        <w:t xml:space="preserve">na </w:t>
      </w:r>
      <w:r w:rsidRPr="00F11228">
        <w:t xml:space="preserve"> 9</w:t>
      </w:r>
      <w:proofErr w:type="gramEnd"/>
      <w:r w:rsidRPr="00F11228">
        <w:t xml:space="preserve">,4 </w:t>
      </w:r>
      <w:r>
        <w:t>mil.</w:t>
      </w:r>
      <w:r w:rsidRPr="00F11228">
        <w:t xml:space="preserve"> litrů. </w:t>
      </w:r>
    </w:p>
    <w:p w14:paraId="264DD02F" w14:textId="77777777" w:rsidR="00D62DDB" w:rsidRDefault="00D62DDB" w:rsidP="00D62DDB">
      <w:pPr>
        <w:spacing w:line="276" w:lineRule="auto"/>
        <w:jc w:val="both"/>
      </w:pPr>
      <w:r w:rsidRPr="00F11228">
        <w:t xml:space="preserve">Ceny alkoholických nápojů v lednu </w:t>
      </w:r>
      <w:r>
        <w:t>r. 2022</w:t>
      </w:r>
      <w:r w:rsidRPr="00F11228">
        <w:t xml:space="preserve"> vzrostly o 7,2 %</w:t>
      </w:r>
      <w:r>
        <w:t xml:space="preserve"> o</w:t>
      </w:r>
      <w:r w:rsidRPr="00F11228">
        <w:t xml:space="preserve">proti </w:t>
      </w:r>
      <w:r>
        <w:t xml:space="preserve">cenám v </w:t>
      </w:r>
      <w:r w:rsidRPr="00F11228">
        <w:t xml:space="preserve">lednu loňského roku. </w:t>
      </w:r>
      <w:r>
        <w:t>Týká se to zejména</w:t>
      </w:r>
      <w:r w:rsidRPr="00F11228">
        <w:t xml:space="preserve"> vín</w:t>
      </w:r>
      <w:r>
        <w:t>a</w:t>
      </w:r>
      <w:r w:rsidRPr="00F11228">
        <w:t xml:space="preserve"> a piv</w:t>
      </w:r>
      <w:r>
        <w:t xml:space="preserve">a, které </w:t>
      </w:r>
      <w:r w:rsidRPr="00F11228">
        <w:t>zdražil</w:t>
      </w:r>
      <w:r>
        <w:t>o</w:t>
      </w:r>
      <w:r w:rsidRPr="00F11228">
        <w:t xml:space="preserve"> o 8</w:t>
      </w:r>
      <w:r>
        <w:t xml:space="preserve"> </w:t>
      </w:r>
      <w:r w:rsidRPr="00F11228">
        <w:t>%, vodka</w:t>
      </w:r>
      <w:r>
        <w:t xml:space="preserve"> o </w:t>
      </w:r>
      <w:r w:rsidRPr="00F11228">
        <w:t>6,2</w:t>
      </w:r>
      <w:r>
        <w:t xml:space="preserve"> </w:t>
      </w:r>
      <w:r w:rsidRPr="00F11228">
        <w:t xml:space="preserve">%. </w:t>
      </w:r>
    </w:p>
    <w:p w14:paraId="12385FF0" w14:textId="77777777" w:rsidR="00D62DDB" w:rsidRPr="00D62DDB" w:rsidRDefault="00D62DDB" w:rsidP="00D62DDB">
      <w:pPr>
        <w:pStyle w:val="Nadpis3"/>
        <w:spacing w:line="276" w:lineRule="auto"/>
      </w:pPr>
      <w:r>
        <w:t>Produkce potravinářských produktů</w:t>
      </w:r>
    </w:p>
    <w:p w14:paraId="17C52AE5" w14:textId="77777777" w:rsidR="00D62DDB" w:rsidRDefault="00D62DDB" w:rsidP="00D62DDB">
      <w:pPr>
        <w:spacing w:line="276" w:lineRule="auto"/>
        <w:jc w:val="both"/>
      </w:pPr>
      <w:r>
        <w:t xml:space="preserve">V r. </w:t>
      </w:r>
      <w:r w:rsidRPr="00F11228">
        <w:t xml:space="preserve">2021 se v </w:t>
      </w:r>
      <w:r>
        <w:t xml:space="preserve">Kazachstánu vyrobily </w:t>
      </w:r>
      <w:r w:rsidRPr="00F11228">
        <w:t>potravin</w:t>
      </w:r>
      <w:r>
        <w:t xml:space="preserve">y za 4,4 mld. €, což je </w:t>
      </w:r>
      <w:r w:rsidRPr="00F11228">
        <w:t>o 14,</w:t>
      </w:r>
      <w:r>
        <w:t xml:space="preserve">9 % více </w:t>
      </w:r>
      <w:r w:rsidRPr="00F11228">
        <w:t xml:space="preserve">než </w:t>
      </w:r>
      <w:r>
        <w:t>v loňském roce</w:t>
      </w:r>
      <w:r w:rsidRPr="00F11228">
        <w:t xml:space="preserve">. Reálný růst </w:t>
      </w:r>
      <w:r>
        <w:t xml:space="preserve">v </w:t>
      </w:r>
      <w:r w:rsidRPr="00F11228">
        <w:t xml:space="preserve">odvětví přitom podle indexu průmyslové produkce činil pouze 1,9 %. </w:t>
      </w:r>
    </w:p>
    <w:p w14:paraId="020B4938" w14:textId="77777777" w:rsidR="00D62DDB" w:rsidRDefault="00D62DDB" w:rsidP="00D62DDB">
      <w:pPr>
        <w:spacing w:line="276" w:lineRule="auto"/>
        <w:jc w:val="both"/>
      </w:pPr>
      <w:r w:rsidRPr="00F11228">
        <w:t xml:space="preserve">Největší objem produkce v penězích připadl na region </w:t>
      </w:r>
      <w:r>
        <w:t xml:space="preserve">– </w:t>
      </w:r>
      <w:proofErr w:type="spellStart"/>
      <w:r>
        <w:t>Almaty</w:t>
      </w:r>
      <w:proofErr w:type="spellEnd"/>
      <w:r>
        <w:t xml:space="preserve"> </w:t>
      </w:r>
      <w:proofErr w:type="gramStart"/>
      <w:r>
        <w:t xml:space="preserve">– </w:t>
      </w:r>
      <w:r w:rsidRPr="00F11228">
        <w:t xml:space="preserve"> 0</w:t>
      </w:r>
      <w:proofErr w:type="gramEnd"/>
      <w:r w:rsidRPr="00F11228">
        <w:t xml:space="preserve">,7 </w:t>
      </w:r>
      <w:r>
        <w:t xml:space="preserve">mld. € (nárůst </w:t>
      </w:r>
      <w:r>
        <w:br/>
        <w:t xml:space="preserve">o </w:t>
      </w:r>
      <w:r w:rsidRPr="00F11228">
        <w:t>17,8 % za rok</w:t>
      </w:r>
      <w:r>
        <w:t xml:space="preserve">) a na </w:t>
      </w:r>
      <w:proofErr w:type="spellStart"/>
      <w:r>
        <w:t>K</w:t>
      </w:r>
      <w:r w:rsidRPr="00F11228">
        <w:t>ostanay</w:t>
      </w:r>
      <w:r>
        <w:t>ský</w:t>
      </w:r>
      <w:proofErr w:type="spellEnd"/>
      <w:r>
        <w:t xml:space="preserve">. </w:t>
      </w:r>
    </w:p>
    <w:p w14:paraId="06049B66" w14:textId="77777777" w:rsidR="00D62DDB" w:rsidRDefault="00D62DDB" w:rsidP="00D62DDB">
      <w:pPr>
        <w:spacing w:line="276" w:lineRule="auto"/>
        <w:jc w:val="both"/>
      </w:pPr>
      <w:r>
        <w:t>Pokud jde o podíl z celkové výroby, tak:</w:t>
      </w:r>
    </w:p>
    <w:p w14:paraId="79CA586B" w14:textId="77777777" w:rsidR="00D62DDB" w:rsidRDefault="00D62DDB" w:rsidP="00D62DDB">
      <w:pPr>
        <w:pStyle w:val="Odstavecseseznamem"/>
        <w:numPr>
          <w:ilvl w:val="1"/>
          <w:numId w:val="28"/>
        </w:numPr>
        <w:spacing w:line="276" w:lineRule="auto"/>
        <w:jc w:val="both"/>
      </w:pPr>
      <w:r w:rsidRPr="00F11228">
        <w:t>18,</w:t>
      </w:r>
      <w:r>
        <w:t xml:space="preserve">4 </w:t>
      </w:r>
      <w:r w:rsidRPr="00F11228">
        <w:t>%</w:t>
      </w:r>
      <w:r>
        <w:t xml:space="preserve"> měla výroba </w:t>
      </w:r>
      <w:r w:rsidRPr="00F11228">
        <w:t>mouky, obilovin a výrobků</w:t>
      </w:r>
      <w:r>
        <w:t xml:space="preserve"> ze škrobu;</w:t>
      </w:r>
    </w:p>
    <w:p w14:paraId="62AEF2D3" w14:textId="77777777" w:rsidR="00D62DDB" w:rsidRDefault="00D62DDB" w:rsidP="00D62DDB">
      <w:pPr>
        <w:pStyle w:val="Odstavecseseznamem"/>
        <w:numPr>
          <w:ilvl w:val="1"/>
          <w:numId w:val="28"/>
        </w:numPr>
        <w:spacing w:line="276" w:lineRule="auto"/>
        <w:jc w:val="both"/>
      </w:pPr>
      <w:r>
        <w:t xml:space="preserve">18 % činila produkce </w:t>
      </w:r>
      <w:r w:rsidRPr="00F11228">
        <w:t>mléčn</w:t>
      </w:r>
      <w:r>
        <w:t>ých výrobků;</w:t>
      </w:r>
    </w:p>
    <w:p w14:paraId="6CA68435" w14:textId="77777777" w:rsidR="00D62DDB" w:rsidRDefault="00D62DDB" w:rsidP="00D62DDB">
      <w:pPr>
        <w:pStyle w:val="Odstavecseseznamem"/>
        <w:numPr>
          <w:ilvl w:val="1"/>
          <w:numId w:val="28"/>
        </w:numPr>
        <w:spacing w:line="276" w:lineRule="auto"/>
        <w:jc w:val="both"/>
      </w:pPr>
      <w:r w:rsidRPr="00F11228">
        <w:t>16,5</w:t>
      </w:r>
      <w:r>
        <w:t xml:space="preserve"> </w:t>
      </w:r>
      <w:r w:rsidRPr="00F11228">
        <w:t>% zajišťovala výroba, zpracování a konzer</w:t>
      </w:r>
      <w:r>
        <w:t>vace masa a masných výrobků;</w:t>
      </w:r>
    </w:p>
    <w:p w14:paraId="4B2AD340" w14:textId="77777777" w:rsidR="00D62DDB" w:rsidRDefault="00D62DDB" w:rsidP="00D62DDB">
      <w:pPr>
        <w:pStyle w:val="Odstavecseseznamem"/>
        <w:numPr>
          <w:ilvl w:val="1"/>
          <w:numId w:val="28"/>
        </w:numPr>
        <w:spacing w:line="276" w:lineRule="auto"/>
        <w:jc w:val="both"/>
      </w:pPr>
      <w:r w:rsidRPr="00F11228">
        <w:t>11,2</w:t>
      </w:r>
      <w:r>
        <w:t xml:space="preserve"> </w:t>
      </w:r>
      <w:r w:rsidRPr="00F11228">
        <w:t>%</w:t>
      </w:r>
      <w:r>
        <w:t xml:space="preserve"> byla</w:t>
      </w:r>
      <w:r w:rsidRPr="00F11228">
        <w:t xml:space="preserve"> výroba pekařských, těsto</w:t>
      </w:r>
      <w:r>
        <w:t>vinových a moučných cukrovinek;</w:t>
      </w:r>
      <w:r w:rsidRPr="00F11228">
        <w:t xml:space="preserve"> </w:t>
      </w:r>
    </w:p>
    <w:p w14:paraId="44F70A9A" w14:textId="77777777" w:rsidR="00D62DDB" w:rsidRDefault="00D62DDB" w:rsidP="00D62DDB">
      <w:pPr>
        <w:pStyle w:val="Odstavecseseznamem"/>
        <w:numPr>
          <w:ilvl w:val="1"/>
          <w:numId w:val="28"/>
        </w:numPr>
        <w:spacing w:line="276" w:lineRule="auto"/>
        <w:jc w:val="both"/>
      </w:pPr>
      <w:r>
        <w:t>11 % měla</w:t>
      </w:r>
      <w:r w:rsidRPr="00F11228">
        <w:t xml:space="preserve"> výroba</w:t>
      </w:r>
      <w:r>
        <w:t xml:space="preserve"> </w:t>
      </w:r>
      <w:r w:rsidRPr="00F11228">
        <w:t xml:space="preserve">olejů a tuků. </w:t>
      </w:r>
    </w:p>
    <w:p w14:paraId="545E934E" w14:textId="77777777" w:rsidR="00D62DDB" w:rsidRDefault="00D62DDB" w:rsidP="00D62DDB">
      <w:pPr>
        <w:spacing w:line="276" w:lineRule="auto"/>
        <w:jc w:val="both"/>
      </w:pPr>
      <w:r w:rsidRPr="00F11228">
        <w:t xml:space="preserve">Ve fyzickém vyjádření se z hlavních potravinářských výrobků zvýšila výroba </w:t>
      </w:r>
      <w:r>
        <w:t xml:space="preserve">u </w:t>
      </w:r>
      <w:r w:rsidRPr="00F11228">
        <w:t>cukru</w:t>
      </w:r>
      <w:r>
        <w:t xml:space="preserve">, </w:t>
      </w:r>
      <w:r>
        <w:br/>
        <w:t xml:space="preserve">a to </w:t>
      </w:r>
      <w:r w:rsidRPr="00F11228">
        <w:t xml:space="preserve">o 58 % (na 276,9 tis. tun), </w:t>
      </w:r>
      <w:r>
        <w:t xml:space="preserve">u </w:t>
      </w:r>
      <w:r w:rsidRPr="00F11228">
        <w:t>výrob</w:t>
      </w:r>
      <w:r>
        <w:t>y</w:t>
      </w:r>
      <w:r w:rsidRPr="00F11228">
        <w:t xml:space="preserve"> sýrů a tvarohu </w:t>
      </w:r>
      <w:r>
        <w:t>o 13,4 %</w:t>
      </w:r>
      <w:r w:rsidRPr="00F11228">
        <w:t xml:space="preserve"> (až 37 tis. tun)</w:t>
      </w:r>
      <w:r>
        <w:t>,</w:t>
      </w:r>
      <w:r w:rsidRPr="00F11228">
        <w:t xml:space="preserve"> </w:t>
      </w:r>
      <w:r>
        <w:br/>
        <w:t xml:space="preserve">dále u </w:t>
      </w:r>
      <w:r w:rsidRPr="00F11228">
        <w:t>výrob</w:t>
      </w:r>
      <w:r>
        <w:t>y</w:t>
      </w:r>
      <w:r w:rsidRPr="00F11228">
        <w:t xml:space="preserve"> drůbežího masa </w:t>
      </w:r>
      <w:r>
        <w:t xml:space="preserve">o 9,7 % </w:t>
      </w:r>
      <w:r w:rsidRPr="00F11228">
        <w:t>(až 110,3 tis.</w:t>
      </w:r>
      <w:r>
        <w:t xml:space="preserve">). </w:t>
      </w:r>
    </w:p>
    <w:p w14:paraId="4B45FD9D" w14:textId="77777777" w:rsidR="00D62DDB" w:rsidRPr="00CC3A26" w:rsidRDefault="00D62DDB" w:rsidP="00D62DDB">
      <w:pPr>
        <w:pStyle w:val="Nadpis3"/>
        <w:spacing w:line="276" w:lineRule="auto"/>
        <w:rPr>
          <w:b w:val="0"/>
        </w:rPr>
      </w:pPr>
      <w:bookmarkStart w:id="4" w:name="_Hlk95484946"/>
      <w:r>
        <w:t>Omezení vývozu brambor a rostlinného oleje z Kazachstánu</w:t>
      </w:r>
      <w:bookmarkEnd w:id="4"/>
      <w:r>
        <w:t xml:space="preserve"> </w:t>
      </w:r>
    </w:p>
    <w:p w14:paraId="571F478D" w14:textId="77777777" w:rsidR="00D62DDB" w:rsidRDefault="00D62DDB" w:rsidP="00D62DDB">
      <w:pPr>
        <w:spacing w:line="276" w:lineRule="auto"/>
        <w:jc w:val="both"/>
      </w:pPr>
      <w:r w:rsidRPr="00F11228">
        <w:t xml:space="preserve">Ministerstvo zemědělství Kazachstánu </w:t>
      </w:r>
      <w:r>
        <w:t>se opět chystá</w:t>
      </w:r>
      <w:r w:rsidRPr="00F11228">
        <w:t xml:space="preserve"> omezit vývoz brambor </w:t>
      </w:r>
      <w:r>
        <w:br/>
      </w:r>
      <w:r w:rsidRPr="00F11228">
        <w:t xml:space="preserve">a rostlinného oleje ze země. Do 1. července se tedy plánuje stanovení kvóty na slunečnicová semínka a surový slunečnicový olej. </w:t>
      </w:r>
      <w:r>
        <w:t xml:space="preserve">Důvodem je obava z nedostatků těchto komodit na kazachstánském trhu. </w:t>
      </w:r>
    </w:p>
    <w:p w14:paraId="6608CC0E"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7A891B23"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r>
        <w:t xml:space="preserve">tel: </w:t>
      </w:r>
      <w:r w:rsidRPr="00D4434C">
        <w:t>+84 904 099 562</w:t>
      </w:r>
      <w:r>
        <w:t xml:space="preserve">, e-mail: </w:t>
      </w:r>
      <w:hyperlink r:id="rId16" w:history="1">
        <w:r w:rsidRPr="00D54C30">
          <w:rPr>
            <w:rStyle w:val="Hypertextovodkaz"/>
          </w:rPr>
          <w:t>lubos.marek@mze.cz</w:t>
        </w:r>
      </w:hyperlink>
      <w:r>
        <w:t xml:space="preserve"> / </w:t>
      </w:r>
      <w:hyperlink r:id="rId17" w:history="1">
        <w:r w:rsidRPr="00D54C30">
          <w:rPr>
            <w:rStyle w:val="Hypertextovodkaz"/>
          </w:rPr>
          <w:t>commerce_hanoi@mzv.cz</w:t>
        </w:r>
      </w:hyperlink>
      <w:r>
        <w:t xml:space="preserve"> </w:t>
      </w:r>
    </w:p>
    <w:p w14:paraId="78E2F6B0" w14:textId="35BDF2F4" w:rsidR="00011714" w:rsidRPr="00011714" w:rsidRDefault="00113461" w:rsidP="00011714">
      <w:pPr>
        <w:pStyle w:val="Nadpis3"/>
        <w:spacing w:line="276" w:lineRule="auto"/>
      </w:pPr>
      <w:r>
        <w:t>Zhodnocení d</w:t>
      </w:r>
      <w:r w:rsidR="00011714" w:rsidRPr="00011714">
        <w:t>ohod</w:t>
      </w:r>
      <w:r>
        <w:t>y</w:t>
      </w:r>
      <w:r w:rsidR="00011714" w:rsidRPr="00011714">
        <w:t xml:space="preserve"> o volném obchodu mezi EU a Vietnamem </w:t>
      </w:r>
      <w:r>
        <w:t>z</w:t>
      </w:r>
      <w:r w:rsidR="00011714" w:rsidRPr="00011714">
        <w:t>a rok 2021</w:t>
      </w:r>
    </w:p>
    <w:p w14:paraId="361EAA36" w14:textId="531E578E" w:rsidR="00011714" w:rsidRPr="00011714" w:rsidRDefault="00011714" w:rsidP="00011714">
      <w:pPr>
        <w:pStyle w:val="Bezmezer"/>
        <w:spacing w:line="276" w:lineRule="auto"/>
        <w:jc w:val="both"/>
        <w:rPr>
          <w:rFonts w:ascii="Arial" w:hAnsi="Arial" w:cs="Arial"/>
        </w:rPr>
      </w:pPr>
      <w:r w:rsidRPr="00011714">
        <w:rPr>
          <w:rFonts w:ascii="Arial" w:hAnsi="Arial" w:cs="Arial"/>
        </w:rPr>
        <w:t>Uplynulý rok byl prvním a úplným kalendářním rokem, kdy platila mezi EU a VSR dohoda o</w:t>
      </w:r>
      <w:r>
        <w:rPr>
          <w:rFonts w:ascii="Arial" w:hAnsi="Arial" w:cs="Arial"/>
        </w:rPr>
        <w:t> </w:t>
      </w:r>
      <w:r w:rsidRPr="00011714">
        <w:rPr>
          <w:rFonts w:ascii="Arial" w:hAnsi="Arial" w:cs="Arial"/>
        </w:rPr>
        <w:t>volném obchodu EVFTA. Vietnam dohodu od počátku vnímá jako významný vlastní benefit a nyní ji nazývá „dálnicí“ pro své zboží, zejména zemědělské produkty, do Evropy. A proč právě zemědělské produkty, které tvoří pouze 15</w:t>
      </w:r>
      <w:r w:rsidR="00113461">
        <w:rPr>
          <w:rFonts w:ascii="Arial" w:hAnsi="Arial" w:cs="Arial"/>
        </w:rPr>
        <w:t xml:space="preserve"> </w:t>
      </w:r>
      <w:r w:rsidRPr="00011714">
        <w:rPr>
          <w:rFonts w:ascii="Arial" w:hAnsi="Arial" w:cs="Arial"/>
        </w:rPr>
        <w:t>% HDP? Statistiky ukazují, že více než ¾ exportu zajišťují zahraniční společnosti s výrobou ve Vietnamu jako je Samsung, LG, Intel, Nike, Adidas aj. Zbývající část exportu, která připadá na domácí firmy, tvoří hlavně agrární produkty. Vietnam využívá k agrárnímu obchodu také zemědělskou produkci sousedního Laosu a Kambodži (např. 80 % zemědělských produktů směřuje z Kambodži do Vietnamu).</w:t>
      </w:r>
    </w:p>
    <w:p w14:paraId="51749F3A" w14:textId="77777777" w:rsidR="00011714" w:rsidRPr="00011714" w:rsidRDefault="00011714" w:rsidP="00011714">
      <w:pPr>
        <w:pStyle w:val="Bezmezer"/>
        <w:spacing w:line="276" w:lineRule="auto"/>
        <w:jc w:val="both"/>
        <w:rPr>
          <w:rFonts w:ascii="Arial" w:hAnsi="Arial" w:cs="Arial"/>
        </w:rPr>
      </w:pPr>
      <w:r w:rsidRPr="00011714">
        <w:rPr>
          <w:rFonts w:ascii="Arial" w:hAnsi="Arial" w:cs="Arial"/>
        </w:rPr>
        <w:t>Přes pandemické problémy, výrazné zdražení dopravy zboží a redukci EU o Velkou Británii se obrat vzájemného obchodu mezi VSR a EU minulý rok oproti r. 2020 zvýšil o 15 % na téměř 64 mld. USD. Vývoz z Vietnamu do Evropské unie dosáhl hodnoty 45,8 mld. USD, což je nárůst o 14,2 % a vývoz EU do Vietnamu dosáhl 17,9 mld. USD, což je meziročně o 16,5 % více. Export z EU rostl rychleji, ale stále nedosahuje ani poloviny hodnoty importu z Vietnamu.</w:t>
      </w:r>
    </w:p>
    <w:p w14:paraId="020D4419" w14:textId="77777777" w:rsidR="00011714" w:rsidRPr="00CB59A1" w:rsidRDefault="00011714" w:rsidP="00011714">
      <w:pPr>
        <w:pStyle w:val="Bezmezer"/>
        <w:spacing w:line="276" w:lineRule="auto"/>
        <w:jc w:val="both"/>
        <w:rPr>
          <w:rFonts w:ascii="Arial" w:hAnsi="Arial" w:cs="Arial"/>
        </w:rPr>
      </w:pPr>
      <w:r w:rsidRPr="00011714">
        <w:rPr>
          <w:rFonts w:ascii="Arial" w:hAnsi="Arial" w:cs="Arial"/>
        </w:rPr>
        <w:t>Vstupem dohody EVFTA v platnost (1. 8. 2020) došlo k úplnému zrušení cel na všechny hlavní vietnamské zemědělské produkty, jako jsou pepř, kešu oříšky, zelenina, káva, čaj a přírodní kaučuk. EVFTA je obrovská konkurenční výhoda před okolními zeměmi, zejména před dvěma velkými zemědělskými producenty, jakými je Thajsko a Čína. Tyto dvě země zatím dohodu</w:t>
      </w:r>
      <w:r>
        <w:rPr>
          <w:rFonts w:ascii="Arial" w:hAnsi="Arial" w:cs="Arial"/>
        </w:rPr>
        <w:t xml:space="preserve"> o </w:t>
      </w:r>
      <w:r w:rsidRPr="00011714">
        <w:rPr>
          <w:rFonts w:ascii="Arial" w:hAnsi="Arial" w:cs="Arial"/>
        </w:rPr>
        <w:t xml:space="preserve">volném obchodu s EU nemají. Vietnam si proto nyní klade za cíl co nejrychleji zvýšit svůj podíl na trhu EU se zemědělskými produkty, </w:t>
      </w:r>
      <w:proofErr w:type="gramStart"/>
      <w:r w:rsidRPr="00011714">
        <w:rPr>
          <w:rFonts w:ascii="Arial" w:hAnsi="Arial" w:cs="Arial"/>
        </w:rPr>
        <w:t>dříve</w:t>
      </w:r>
      <w:proofErr w:type="gramEnd"/>
      <w:r w:rsidRPr="00011714">
        <w:rPr>
          <w:rFonts w:ascii="Arial" w:hAnsi="Arial" w:cs="Arial"/>
        </w:rPr>
        <w:t xml:space="preserve"> než EU podepíše dohody o volném obchodu s dalšími zeměmi, které pro Vietnam představují konkurenci. Podle prognózy Ministerstva průmyslu a obchodu VSR budou k celkovému exportu i nadále nejvíce přispívat komodity jako je káva, kešu oříšky, kaučuk, zelenina, pepř, rýže a čaj. Hlavními exportními položkami z EU do Vietnamu jsou krmiva, sušené mléko a syrovátka, maso, alkohol a slad. Vietnamští ekonomové předpovídají, že export do EU v roce 2022 vzroste minimálně o 10 %.</w:t>
      </w:r>
    </w:p>
    <w:p w14:paraId="51FA2642"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049A8E25"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84BD598" w14:textId="77777777" w:rsidR="00861225" w:rsidRPr="00861225" w:rsidRDefault="00861225" w:rsidP="00861225">
      <w:pPr>
        <w:pStyle w:val="Nadpis3"/>
        <w:spacing w:line="276" w:lineRule="auto"/>
      </w:pPr>
      <w:bookmarkStart w:id="5" w:name="_Hlk95485010"/>
      <w:r w:rsidRPr="002055DE">
        <w:t>Srovnání ekologického dopadu supermarketů v UK</w:t>
      </w:r>
      <w:bookmarkEnd w:id="5"/>
    </w:p>
    <w:p w14:paraId="504DEBE1" w14:textId="5B9AEBE5" w:rsidR="00861225" w:rsidRPr="00861225" w:rsidRDefault="00861225" w:rsidP="00861225">
      <w:pPr>
        <w:pStyle w:val="Bezmezer"/>
        <w:spacing w:line="276" w:lineRule="auto"/>
        <w:jc w:val="both"/>
        <w:rPr>
          <w:rFonts w:ascii="Arial" w:hAnsi="Arial" w:cs="Arial"/>
        </w:rPr>
      </w:pPr>
      <w:r w:rsidRPr="00861225">
        <w:rPr>
          <w:rFonts w:ascii="Arial" w:hAnsi="Arial" w:cs="Arial"/>
        </w:rPr>
        <w:t xml:space="preserve">Lidl a </w:t>
      </w:r>
      <w:proofErr w:type="spellStart"/>
      <w:r w:rsidRPr="00861225">
        <w:rPr>
          <w:rFonts w:ascii="Arial" w:hAnsi="Arial" w:cs="Arial"/>
        </w:rPr>
        <w:t>Waitrose</w:t>
      </w:r>
      <w:proofErr w:type="spellEnd"/>
      <w:r w:rsidRPr="00861225">
        <w:rPr>
          <w:rFonts w:ascii="Arial" w:hAnsi="Arial" w:cs="Arial"/>
        </w:rPr>
        <w:t xml:space="preserve"> jsou podle výzkumu spotřebitelské skupiny „</w:t>
      </w:r>
      <w:proofErr w:type="spellStart"/>
      <w:r w:rsidRPr="00861225">
        <w:rPr>
          <w:rFonts w:ascii="Arial" w:hAnsi="Arial" w:cs="Arial"/>
        </w:rPr>
        <w:t>Which</w:t>
      </w:r>
      <w:proofErr w:type="spellEnd"/>
      <w:r w:rsidRPr="00861225">
        <w:rPr>
          <w:rFonts w:ascii="Arial" w:hAnsi="Arial" w:cs="Arial"/>
        </w:rPr>
        <w:t>?“ nejekologičtější supermarkety v UK. Výzkum srovnával stovky údajů ze supermarketů, včetně např. emisí skleníkových plynů, používání plastů nebo plýtvání potravinami (množství odpadu).</w:t>
      </w:r>
    </w:p>
    <w:p w14:paraId="585EF166" w14:textId="77777777" w:rsidR="00861225" w:rsidRDefault="00861225" w:rsidP="00861225">
      <w:pPr>
        <w:pStyle w:val="Bezmezer"/>
        <w:spacing w:line="276" w:lineRule="auto"/>
        <w:jc w:val="both"/>
        <w:rPr>
          <w:rFonts w:ascii="Arial" w:hAnsi="Arial" w:cs="Arial"/>
        </w:rPr>
      </w:pPr>
      <w:r w:rsidRPr="00861225">
        <w:rPr>
          <w:rFonts w:ascii="Arial" w:hAnsi="Arial" w:cs="Arial"/>
        </w:rPr>
        <w:t>Supermarkety mají velké dopady na životní prostředí a výzkumníci zdůraznili, že u všech zkoumaných firem existuje prostor pro zlepšení. Zatímco supermarkety produkují vlastní odpady, je potřeba také zohlednit produkty, které prodávají a které mají rovněž podíl na zátěži pro životní prostředí.</w:t>
      </w:r>
    </w:p>
    <w:p w14:paraId="4D5FCE04" w14:textId="77777777" w:rsidR="00861225" w:rsidRPr="00861225" w:rsidRDefault="0055046F" w:rsidP="00861225">
      <w:pPr>
        <w:pStyle w:val="Bezmezer"/>
        <w:spacing w:line="276" w:lineRule="auto"/>
        <w:jc w:val="both"/>
        <w:rPr>
          <w:rFonts w:ascii="Arial" w:hAnsi="Arial" w:cs="Arial"/>
        </w:rPr>
      </w:pPr>
      <w:hyperlink r:id="rId19" w:history="1">
        <w:r w:rsidR="00861225" w:rsidRPr="00861225">
          <w:rPr>
            <w:rStyle w:val="Hypertextovodkaz"/>
            <w:rFonts w:ascii="Arial" w:hAnsi="Arial" w:cs="Arial"/>
          </w:rPr>
          <w:t>Zdroj</w:t>
        </w:r>
      </w:hyperlink>
    </w:p>
    <w:p w14:paraId="6F6F41DF" w14:textId="77777777" w:rsidR="00861225" w:rsidRPr="00861225" w:rsidRDefault="00861225" w:rsidP="00861225">
      <w:pPr>
        <w:pStyle w:val="Nadpis3"/>
        <w:spacing w:line="276" w:lineRule="auto"/>
      </w:pPr>
      <w:r w:rsidRPr="00AE02D9">
        <w:t xml:space="preserve">Efektivní značení </w:t>
      </w:r>
      <w:r>
        <w:t>různých</w:t>
      </w:r>
      <w:r w:rsidRPr="00AE02D9">
        <w:t xml:space="preserve"> certifikací produktů</w:t>
      </w:r>
    </w:p>
    <w:p w14:paraId="1A3F00B9"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 xml:space="preserve">Různé značky pro udržitelnost, bioprodukci, </w:t>
      </w:r>
      <w:proofErr w:type="spellStart"/>
      <w:r w:rsidRPr="00861225">
        <w:rPr>
          <w:rFonts w:ascii="Arial" w:hAnsi="Arial" w:cs="Arial"/>
        </w:rPr>
        <w:t>welfare</w:t>
      </w:r>
      <w:proofErr w:type="spellEnd"/>
      <w:r w:rsidRPr="00861225">
        <w:rPr>
          <w:rFonts w:ascii="Arial" w:hAnsi="Arial" w:cs="Arial"/>
        </w:rPr>
        <w:t xml:space="preserve"> nebo fair </w:t>
      </w:r>
      <w:proofErr w:type="spellStart"/>
      <w:r w:rsidRPr="00861225">
        <w:rPr>
          <w:rFonts w:ascii="Arial" w:hAnsi="Arial" w:cs="Arial"/>
        </w:rPr>
        <w:t>trade</w:t>
      </w:r>
      <w:proofErr w:type="spellEnd"/>
      <w:r w:rsidRPr="00861225">
        <w:rPr>
          <w:rFonts w:ascii="Arial" w:hAnsi="Arial" w:cs="Arial"/>
        </w:rPr>
        <w:t xml:space="preserve"> na výrobku mohou zvýšit povědomí zákazníků o těchto skutečnostech, ale nemusí vést ke změně chování spotřebitelů ve smyslu vyšší prodejnosti takových produktů.</w:t>
      </w:r>
    </w:p>
    <w:p w14:paraId="7E0B84A8" w14:textId="77777777" w:rsidR="00861225" w:rsidRPr="00861225" w:rsidRDefault="00861225" w:rsidP="00861225">
      <w:pPr>
        <w:pStyle w:val="Bezmezer"/>
        <w:spacing w:line="276" w:lineRule="auto"/>
        <w:jc w:val="both"/>
        <w:rPr>
          <w:rFonts w:ascii="Arial" w:hAnsi="Arial" w:cs="Arial"/>
        </w:rPr>
      </w:pPr>
      <w:proofErr w:type="spellStart"/>
      <w:r w:rsidRPr="00861225">
        <w:rPr>
          <w:rFonts w:ascii="Arial" w:hAnsi="Arial" w:cs="Arial"/>
        </w:rPr>
        <w:t>Wageningen</w:t>
      </w:r>
      <w:proofErr w:type="spellEnd"/>
      <w:r w:rsidRPr="00861225">
        <w:rPr>
          <w:rFonts w:ascii="Arial" w:hAnsi="Arial" w:cs="Arial"/>
        </w:rPr>
        <w:t xml:space="preserve"> University &amp; </w:t>
      </w:r>
      <w:proofErr w:type="spellStart"/>
      <w:r w:rsidRPr="00861225">
        <w:rPr>
          <w:rFonts w:ascii="Arial" w:hAnsi="Arial" w:cs="Arial"/>
        </w:rPr>
        <w:t>Research</w:t>
      </w:r>
      <w:proofErr w:type="spellEnd"/>
      <w:r w:rsidRPr="00861225">
        <w:rPr>
          <w:rFonts w:ascii="Arial" w:hAnsi="Arial" w:cs="Arial"/>
        </w:rPr>
        <w:t xml:space="preserve"> ve studii „Efektivní označování udržitelných produktů“ naznačuje, že větší účinek na spotřebitele mají kombinovaná označení, tedy více různých označení v jedné značce. </w:t>
      </w:r>
    </w:p>
    <w:p w14:paraId="1AED1DDD" w14:textId="77777777" w:rsidR="00861225" w:rsidRDefault="00861225" w:rsidP="00861225">
      <w:pPr>
        <w:pStyle w:val="Bezmezer"/>
        <w:spacing w:line="276" w:lineRule="auto"/>
        <w:jc w:val="both"/>
        <w:rPr>
          <w:rFonts w:ascii="Arial" w:hAnsi="Arial" w:cs="Arial"/>
        </w:rPr>
      </w:pPr>
      <w:r w:rsidRPr="00861225">
        <w:rPr>
          <w:rFonts w:ascii="Arial" w:hAnsi="Arial" w:cs="Arial"/>
        </w:rPr>
        <w:t xml:space="preserve">Zákazníci s větší pravděpodobností koupí produkt, který má značku obsahující kombinaci různých </w:t>
      </w:r>
      <w:proofErr w:type="gramStart"/>
      <w:r w:rsidRPr="00861225">
        <w:rPr>
          <w:rFonts w:ascii="Arial" w:hAnsi="Arial" w:cs="Arial"/>
        </w:rPr>
        <w:t>certifikací,</w:t>
      </w:r>
      <w:proofErr w:type="gramEnd"/>
      <w:r w:rsidRPr="00861225">
        <w:rPr>
          <w:rFonts w:ascii="Arial" w:hAnsi="Arial" w:cs="Arial"/>
        </w:rPr>
        <w:t xml:space="preserve"> než ten, který má více individuálních značek (kvality, udržitelnosti, bio produkce apod.)</w:t>
      </w:r>
    </w:p>
    <w:p w14:paraId="159F7271" w14:textId="77777777" w:rsidR="00861225" w:rsidRPr="00861225" w:rsidRDefault="0055046F" w:rsidP="00861225">
      <w:pPr>
        <w:pStyle w:val="Bezmezer"/>
        <w:spacing w:line="276" w:lineRule="auto"/>
        <w:jc w:val="both"/>
        <w:rPr>
          <w:rFonts w:ascii="Arial" w:hAnsi="Arial" w:cs="Arial"/>
        </w:rPr>
      </w:pPr>
      <w:hyperlink r:id="rId20" w:history="1">
        <w:r w:rsidR="00861225" w:rsidRPr="00861225">
          <w:rPr>
            <w:rStyle w:val="Hypertextovodkaz"/>
            <w:rFonts w:ascii="Arial" w:hAnsi="Arial" w:cs="Arial"/>
          </w:rPr>
          <w:t>Zdroj</w:t>
        </w:r>
      </w:hyperlink>
    </w:p>
    <w:p w14:paraId="20F613A6" w14:textId="77777777" w:rsidR="00861225" w:rsidRPr="00861225" w:rsidRDefault="00861225" w:rsidP="00861225">
      <w:pPr>
        <w:pStyle w:val="Nadpis3"/>
        <w:spacing w:line="276" w:lineRule="auto"/>
      </w:pPr>
      <w:r>
        <w:t xml:space="preserve">Trendy spotřebitelů i producentů </w:t>
      </w:r>
      <w:r w:rsidRPr="00AE02D9">
        <w:t xml:space="preserve">masa ve Skotsku </w:t>
      </w:r>
    </w:p>
    <w:p w14:paraId="1B5C7C6E"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Trh s potravinami ve Skotsku se zrušením pandemických omezení zaznamenal pokles, ale kategorie masa si stále vede dobře oproti období před pandemií. Většina produktů z hovězího masa zaznamenala nárůst.</w:t>
      </w:r>
    </w:p>
    <w:p w14:paraId="461E597C" w14:textId="77777777" w:rsidR="00861225" w:rsidRPr="00861225" w:rsidRDefault="00861225" w:rsidP="00861225">
      <w:pPr>
        <w:pStyle w:val="Bezmezer"/>
        <w:spacing w:line="276" w:lineRule="auto"/>
        <w:jc w:val="both"/>
        <w:rPr>
          <w:rFonts w:ascii="Arial" w:hAnsi="Arial" w:cs="Arial"/>
        </w:rPr>
      </w:pPr>
      <w:r w:rsidRPr="00861225">
        <w:rPr>
          <w:rFonts w:ascii="Arial" w:hAnsi="Arial" w:cs="Arial"/>
        </w:rPr>
        <w:t>Zákazníci ve Skotsku včetně mladší generace upřednostňují nákup červeného masa od místních řezníků. Důvodem tohoto trendu je názor, že lokální po</w:t>
      </w:r>
      <w:r w:rsidR="00D62DDB">
        <w:rPr>
          <w:rFonts w:ascii="Arial" w:hAnsi="Arial" w:cs="Arial"/>
        </w:rPr>
        <w:t>traviny jsou lepší pro zdraví i </w:t>
      </w:r>
      <w:r w:rsidRPr="00861225">
        <w:rPr>
          <w:rFonts w:ascii="Arial" w:hAnsi="Arial" w:cs="Arial"/>
        </w:rPr>
        <w:t>životní prostředí.</w:t>
      </w:r>
    </w:p>
    <w:p w14:paraId="155BB581" w14:textId="77777777" w:rsidR="00861225" w:rsidRDefault="00861225" w:rsidP="00861225">
      <w:pPr>
        <w:pStyle w:val="Bezmezer"/>
        <w:spacing w:line="276" w:lineRule="auto"/>
        <w:jc w:val="both"/>
        <w:rPr>
          <w:rFonts w:ascii="Arial" w:hAnsi="Arial" w:cs="Arial"/>
        </w:rPr>
      </w:pPr>
      <w:r w:rsidRPr="00861225">
        <w:rPr>
          <w:rFonts w:ascii="Arial" w:hAnsi="Arial" w:cs="Arial"/>
        </w:rPr>
        <w:t xml:space="preserve">Podle výzkumu společností </w:t>
      </w:r>
      <w:proofErr w:type="spellStart"/>
      <w:r w:rsidRPr="00861225">
        <w:rPr>
          <w:rFonts w:ascii="Arial" w:hAnsi="Arial" w:cs="Arial"/>
        </w:rPr>
        <w:t>Kantar</w:t>
      </w:r>
      <w:proofErr w:type="spellEnd"/>
      <w:r w:rsidRPr="00861225">
        <w:rPr>
          <w:rFonts w:ascii="Arial" w:hAnsi="Arial" w:cs="Arial"/>
        </w:rPr>
        <w:t xml:space="preserve"> a </w:t>
      </w:r>
      <w:proofErr w:type="spellStart"/>
      <w:r w:rsidRPr="00861225">
        <w:rPr>
          <w:rFonts w:ascii="Arial" w:hAnsi="Arial" w:cs="Arial"/>
        </w:rPr>
        <w:t>The</w:t>
      </w:r>
      <w:proofErr w:type="spellEnd"/>
      <w:r w:rsidRPr="00861225">
        <w:rPr>
          <w:rFonts w:ascii="Arial" w:hAnsi="Arial" w:cs="Arial"/>
        </w:rPr>
        <w:t xml:space="preserve"> </w:t>
      </w:r>
      <w:proofErr w:type="spellStart"/>
      <w:r w:rsidRPr="00861225">
        <w:rPr>
          <w:rFonts w:ascii="Arial" w:hAnsi="Arial" w:cs="Arial"/>
        </w:rPr>
        <w:t>Knowledge</w:t>
      </w:r>
      <w:proofErr w:type="spellEnd"/>
      <w:r w:rsidRPr="00861225">
        <w:rPr>
          <w:rFonts w:ascii="Arial" w:hAnsi="Arial" w:cs="Arial"/>
        </w:rPr>
        <w:t xml:space="preserve"> Bank by ve Skotsku mohl do roku 2030 vzrůst podíl zákazníků zohledňujících při svých nákupech ekologii na 62 %. Všeobecně vzrůstá zájem minimalizovat dopady na životní prostředí. Na to reagují i producenti potravin </w:t>
      </w:r>
      <w:r w:rsidR="00D62DDB">
        <w:rPr>
          <w:rFonts w:ascii="Arial" w:hAnsi="Arial" w:cs="Arial"/>
        </w:rPr>
        <w:t>a </w:t>
      </w:r>
      <w:r w:rsidRPr="00861225">
        <w:rPr>
          <w:rFonts w:ascii="Arial" w:hAnsi="Arial" w:cs="Arial"/>
        </w:rPr>
        <w:t>masa a snaží se o snížení zátěže pro životní prostředí, dosažení vysoké úrovně blaha chovaných zvířat a například také o produkci masa z chovů, ve kterých nejsou využívána antibiotika.</w:t>
      </w:r>
    </w:p>
    <w:p w14:paraId="7A4EC5F7" w14:textId="77777777" w:rsidR="00861225" w:rsidRPr="00861225" w:rsidRDefault="0055046F" w:rsidP="00861225">
      <w:pPr>
        <w:pStyle w:val="Bezmezer"/>
        <w:spacing w:line="276" w:lineRule="auto"/>
        <w:jc w:val="both"/>
        <w:rPr>
          <w:rFonts w:ascii="Arial" w:hAnsi="Arial" w:cs="Arial"/>
        </w:rPr>
      </w:pPr>
      <w:hyperlink r:id="rId21" w:history="1">
        <w:r w:rsidR="00861225" w:rsidRPr="00861225">
          <w:rPr>
            <w:rStyle w:val="Hypertextovodkaz"/>
            <w:rFonts w:ascii="Arial" w:hAnsi="Arial" w:cs="Arial"/>
          </w:rPr>
          <w:t>Zdroj</w:t>
        </w:r>
      </w:hyperlink>
    </w:p>
    <w:p w14:paraId="3B0D8619" w14:textId="77777777" w:rsidR="00F36E50" w:rsidRPr="00F36E50" w:rsidRDefault="00F36E50" w:rsidP="00EF76D8">
      <w:pPr>
        <w:spacing w:line="276" w:lineRule="auto"/>
      </w:pPr>
    </w:p>
    <w:sectPr w:rsidR="00F36E50" w:rsidRPr="00F36E50" w:rsidSect="00505C2E">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9233" w14:textId="77777777" w:rsidR="0055046F" w:rsidRDefault="0055046F" w:rsidP="00D4434C">
      <w:r>
        <w:separator/>
      </w:r>
    </w:p>
  </w:endnote>
  <w:endnote w:type="continuationSeparator" w:id="0">
    <w:p w14:paraId="553232BD" w14:textId="77777777" w:rsidR="0055046F" w:rsidRDefault="0055046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2ADE37B6" w14:textId="77777777" w:rsidR="00D4434C" w:rsidRDefault="00D4434C">
        <w:pPr>
          <w:pStyle w:val="Zpat"/>
          <w:jc w:val="center"/>
        </w:pPr>
        <w:r>
          <w:fldChar w:fldCharType="begin"/>
        </w:r>
        <w:r>
          <w:instrText>PAGE   \* MERGEFORMAT</w:instrText>
        </w:r>
        <w:r>
          <w:fldChar w:fldCharType="separate"/>
        </w:r>
        <w:r w:rsidR="00E73262">
          <w:rPr>
            <w:noProof/>
          </w:rPr>
          <w:t>2</w:t>
        </w:r>
        <w:r>
          <w:fldChar w:fldCharType="end"/>
        </w:r>
      </w:p>
    </w:sdtContent>
  </w:sdt>
  <w:p w14:paraId="2A0C1916"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5E85" w14:textId="77777777" w:rsidR="0055046F" w:rsidRDefault="0055046F" w:rsidP="00D4434C">
      <w:r>
        <w:separator/>
      </w:r>
    </w:p>
  </w:footnote>
  <w:footnote w:type="continuationSeparator" w:id="0">
    <w:p w14:paraId="40997C1E" w14:textId="77777777" w:rsidR="0055046F" w:rsidRDefault="0055046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8535F7"/>
    <w:multiLevelType w:val="hybridMultilevel"/>
    <w:tmpl w:val="C986AC80"/>
    <w:lvl w:ilvl="0" w:tplc="32A672A2">
      <w:numFmt w:val="bullet"/>
      <w:lvlText w:val="-"/>
      <w:lvlJc w:val="left"/>
      <w:pPr>
        <w:ind w:left="720" w:hanging="360"/>
      </w:pPr>
      <w:rPr>
        <w:rFonts w:ascii="Arial" w:eastAsia="Calibri"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0"/>
  </w:num>
  <w:num w:numId="5">
    <w:abstractNumId w:val="21"/>
  </w:num>
  <w:num w:numId="6">
    <w:abstractNumId w:val="22"/>
  </w:num>
  <w:num w:numId="7">
    <w:abstractNumId w:val="18"/>
  </w:num>
  <w:num w:numId="8">
    <w:abstractNumId w:val="3"/>
  </w:num>
  <w:num w:numId="9">
    <w:abstractNumId w:val="9"/>
  </w:num>
  <w:num w:numId="10">
    <w:abstractNumId w:val="6"/>
  </w:num>
  <w:num w:numId="11">
    <w:abstractNumId w:val="16"/>
  </w:num>
  <w:num w:numId="12">
    <w:abstractNumId w:val="11"/>
  </w:num>
  <w:num w:numId="13">
    <w:abstractNumId w:val="27"/>
  </w:num>
  <w:num w:numId="14">
    <w:abstractNumId w:val="8"/>
  </w:num>
  <w:num w:numId="15">
    <w:abstractNumId w:val="2"/>
  </w:num>
  <w:num w:numId="16">
    <w:abstractNumId w:val="14"/>
  </w:num>
  <w:num w:numId="17">
    <w:abstractNumId w:val="7"/>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3"/>
  </w:num>
  <w:num w:numId="25">
    <w:abstractNumId w:val="4"/>
  </w:num>
  <w:num w:numId="26">
    <w:abstractNumId w:val="20"/>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11714"/>
    <w:rsid w:val="00035FAD"/>
    <w:rsid w:val="000458E0"/>
    <w:rsid w:val="00056BBE"/>
    <w:rsid w:val="00061EED"/>
    <w:rsid w:val="00062DAB"/>
    <w:rsid w:val="000663DF"/>
    <w:rsid w:val="000A4F06"/>
    <w:rsid w:val="000F717B"/>
    <w:rsid w:val="00113461"/>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232BE"/>
    <w:rsid w:val="004559E3"/>
    <w:rsid w:val="004962CD"/>
    <w:rsid w:val="004A6C5B"/>
    <w:rsid w:val="004E6FCD"/>
    <w:rsid w:val="00505C2E"/>
    <w:rsid w:val="005248F4"/>
    <w:rsid w:val="00524BA5"/>
    <w:rsid w:val="0055046F"/>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629F3"/>
    <w:rsid w:val="00780119"/>
    <w:rsid w:val="0078308B"/>
    <w:rsid w:val="00790E93"/>
    <w:rsid w:val="00795E13"/>
    <w:rsid w:val="007A531E"/>
    <w:rsid w:val="007F3E9B"/>
    <w:rsid w:val="007F44D0"/>
    <w:rsid w:val="007F5F98"/>
    <w:rsid w:val="00807D31"/>
    <w:rsid w:val="00861225"/>
    <w:rsid w:val="00886E98"/>
    <w:rsid w:val="00892A59"/>
    <w:rsid w:val="00892E02"/>
    <w:rsid w:val="00897840"/>
    <w:rsid w:val="008A6BB3"/>
    <w:rsid w:val="008A799A"/>
    <w:rsid w:val="00937595"/>
    <w:rsid w:val="009677BC"/>
    <w:rsid w:val="00974743"/>
    <w:rsid w:val="00993C8E"/>
    <w:rsid w:val="009E7056"/>
    <w:rsid w:val="00A53226"/>
    <w:rsid w:val="00A91B8F"/>
    <w:rsid w:val="00AA3100"/>
    <w:rsid w:val="00AB1996"/>
    <w:rsid w:val="00AD54F3"/>
    <w:rsid w:val="00AE3F61"/>
    <w:rsid w:val="00AF51BE"/>
    <w:rsid w:val="00B05BDF"/>
    <w:rsid w:val="00B173B4"/>
    <w:rsid w:val="00B208A7"/>
    <w:rsid w:val="00B27E33"/>
    <w:rsid w:val="00B318F6"/>
    <w:rsid w:val="00B554B9"/>
    <w:rsid w:val="00BA6A5B"/>
    <w:rsid w:val="00BC3276"/>
    <w:rsid w:val="00BC341A"/>
    <w:rsid w:val="00BC4BD8"/>
    <w:rsid w:val="00BD647F"/>
    <w:rsid w:val="00BD7227"/>
    <w:rsid w:val="00C0233A"/>
    <w:rsid w:val="00C34CC6"/>
    <w:rsid w:val="00C57B4E"/>
    <w:rsid w:val="00C833B6"/>
    <w:rsid w:val="00CA1C10"/>
    <w:rsid w:val="00CA2C8C"/>
    <w:rsid w:val="00CA478D"/>
    <w:rsid w:val="00D05C35"/>
    <w:rsid w:val="00D4434C"/>
    <w:rsid w:val="00D62DDB"/>
    <w:rsid w:val="00D71800"/>
    <w:rsid w:val="00DA01A0"/>
    <w:rsid w:val="00DA25B0"/>
    <w:rsid w:val="00DB022E"/>
    <w:rsid w:val="00DB0371"/>
    <w:rsid w:val="00DB3BA7"/>
    <w:rsid w:val="00E0689A"/>
    <w:rsid w:val="00E52E29"/>
    <w:rsid w:val="00E73262"/>
    <w:rsid w:val="00E853BA"/>
    <w:rsid w:val="00E87201"/>
    <w:rsid w:val="00E96F76"/>
    <w:rsid w:val="00E973C5"/>
    <w:rsid w:val="00E97C5D"/>
    <w:rsid w:val="00EA44BE"/>
    <w:rsid w:val="00EA7FE6"/>
    <w:rsid w:val="00EB12F4"/>
    <w:rsid w:val="00EC48AC"/>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DB7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01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011714"/>
    <w:rPr>
      <w:rFonts w:ascii="Courier New" w:eastAsia="Times New Roman" w:hAnsi="Courier New" w:cs="Courier New"/>
      <w:lang w:val="en-US" w:eastAsia="en-US"/>
    </w:rPr>
  </w:style>
  <w:style w:type="character" w:customStyle="1" w:styleId="y2iqfc">
    <w:name w:val="y2iqfc"/>
    <w:basedOn w:val="Standardnpsmoodstavce"/>
    <w:rsid w:val="0001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3079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irena_leopoldova@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hyperlink" Target="https://www.foodmanufacture.co.uk/Article/2022/02/09/Meat-trends-from-roasts-and-snacks-to-environment" TargetMode="Externa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commerce_hanoi@mzv.cz" TargetMode="External"/><Relationship Id="rId2" Type="http://schemas.openxmlformats.org/officeDocument/2006/relationships/numbering" Target="numbering.xml"/><Relationship Id="rId16" Type="http://schemas.openxmlformats.org/officeDocument/2006/relationships/hyperlink" Target="mailto:lubos.marek@mze.cz" TargetMode="External"/><Relationship Id="rId20" Type="http://schemas.openxmlformats.org/officeDocument/2006/relationships/hyperlink" Target="https://www.foodnavigator.com/Article/2022/02/04/combined-sustainability-labelling-systems-more-effective-than-single-lab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tom_lukasov@mzv.cz" TargetMode="External"/><Relationship Id="rId23" Type="http://schemas.openxmlformats.org/officeDocument/2006/relationships/fontTable" Target="fontTable.xml"/><Relationship Id="rId10" Type="http://schemas.openxmlformats.org/officeDocument/2006/relationships/hyperlink" Target="https://home.treasury.gov/system/files/136/Competition-Report.pdf" TargetMode="External"/><Relationship Id="rId19" Type="http://schemas.openxmlformats.org/officeDocument/2006/relationships/hyperlink" Target="https://www.foodnavigator.com/Article/2022/02/07/frozen-food-retailer-iceland-left-in-cold-by-supermarket-sustainability-ranking" TargetMode="External"/><Relationship Id="rId4" Type="http://schemas.openxmlformats.org/officeDocument/2006/relationships/settings" Target="settings.xml"/><Relationship Id="rId9" Type="http://schemas.openxmlformats.org/officeDocument/2006/relationships/hyperlink" Target="mailto:petr_jezek@mzv.cz" TargetMode="External"/><Relationship Id="rId14" Type="http://schemas.openxmlformats.org/officeDocument/2006/relationships/hyperlink" Target="mailto:cz.ukrexport@meta.u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7A5E66C-4EBC-46F2-A11A-3E5DBB68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10</TotalTime>
  <Pages>1</Pages>
  <Words>3229</Words>
  <Characters>19053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22238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4</cp:revision>
  <dcterms:created xsi:type="dcterms:W3CDTF">2022-02-11T14:09:00Z</dcterms:created>
  <dcterms:modified xsi:type="dcterms:W3CDTF">2022-02-11T14:18:00Z</dcterms:modified>
</cp:coreProperties>
</file>