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7983" w14:textId="62F44A67" w:rsidR="00F45AA1" w:rsidRPr="001366BD" w:rsidRDefault="00A877EF" w:rsidP="00B2762A">
      <w:pPr>
        <w:rPr>
          <w:rFonts w:ascii="Arial" w:hAnsi="Arial" w:cs="Arial"/>
          <w:sz w:val="22"/>
          <w:szCs w:val="24"/>
        </w:rPr>
      </w:pPr>
      <w:r>
        <w:rPr>
          <w:rFonts w:ascii="Arial" w:hAnsi="Arial" w:cs="Arial"/>
          <w:noProof/>
          <w:sz w:val="22"/>
          <w:szCs w:val="24"/>
        </w:rPr>
        <w:drawing>
          <wp:anchor distT="0" distB="0" distL="114300" distR="114300" simplePos="0" relativeHeight="251659264" behindDoc="1" locked="0" layoutInCell="1" allowOverlap="1" wp14:anchorId="50D73B24" wp14:editId="4043A941">
            <wp:simplePos x="0" y="0"/>
            <wp:positionH relativeFrom="page">
              <wp:align>left</wp:align>
            </wp:positionH>
            <wp:positionV relativeFrom="page">
              <wp:align>top</wp:align>
            </wp:positionV>
            <wp:extent cx="2523490" cy="713740"/>
            <wp:effectExtent l="0" t="0" r="0" b="0"/>
            <wp:wrapNone/>
            <wp:docPr id="2" name="DocNatureLogo"/>
            <wp:cNvGraphicFramePr/>
            <a:graphic xmlns:a="http://schemas.openxmlformats.org/drawingml/2006/main">
              <a:graphicData uri="http://schemas.openxmlformats.org/drawingml/2006/picture">
                <pic:pic xmlns:pic="http://schemas.openxmlformats.org/drawingml/2006/picture">
                  <pic:nvPicPr>
                    <pic:cNvPr id="2" name="DocNatureLogo"/>
                    <pic:cNvPicPr/>
                  </pic:nvPicPr>
                  <pic:blipFill>
                    <a:blip r:embed="rId8">
                      <a:extLst>
                        <a:ext uri="{28A0092B-C50C-407E-A947-70E740481C1C}">
                          <a14:useLocalDpi xmlns:a14="http://schemas.microsoft.com/office/drawing/2010/main" val="0"/>
                        </a:ext>
                      </a:extLst>
                    </a:blip>
                    <a:stretch>
                      <a:fillRect/>
                    </a:stretch>
                  </pic:blipFill>
                  <pic:spPr>
                    <a:xfrm>
                      <a:off x="0" y="0"/>
                      <a:ext cx="2523490" cy="713740"/>
                    </a:xfrm>
                    <a:prstGeom prst="rect">
                      <a:avLst/>
                    </a:prstGeom>
                  </pic:spPr>
                </pic:pic>
              </a:graphicData>
            </a:graphic>
          </wp:anchor>
        </w:drawing>
      </w:r>
    </w:p>
    <w:p w14:paraId="3EFD9538" w14:textId="1DC90F9E" w:rsidR="00F45AA1" w:rsidRPr="00C000C4" w:rsidRDefault="00A70DD0" w:rsidP="00A70DD0">
      <w:pPr>
        <w:jc w:val="right"/>
        <w:rPr>
          <w:sz w:val="22"/>
          <w:szCs w:val="24"/>
        </w:rPr>
      </w:pPr>
      <w:r>
        <w:rPr>
          <w:sz w:val="22"/>
          <w:szCs w:val="24"/>
        </w:rPr>
        <w:t>13 March 2023</w:t>
      </w:r>
    </w:p>
    <w:p w14:paraId="21525E23" w14:textId="77777777" w:rsidR="00F45AA1" w:rsidRPr="00F45AA1" w:rsidRDefault="00F45AA1" w:rsidP="00F45AA1">
      <w:pPr>
        <w:rPr>
          <w:sz w:val="22"/>
          <w:szCs w:val="24"/>
        </w:rPr>
      </w:pPr>
    </w:p>
    <w:p w14:paraId="6FF2218E" w14:textId="77777777" w:rsidR="00F45AA1" w:rsidRPr="00F45AA1" w:rsidRDefault="00F45AA1" w:rsidP="00F45AA1">
      <w:pPr>
        <w:rPr>
          <w:sz w:val="22"/>
          <w:szCs w:val="24"/>
        </w:rPr>
      </w:pPr>
    </w:p>
    <w:p w14:paraId="36FE314F" w14:textId="6AF2B685" w:rsidR="0067329F" w:rsidRPr="0067329F" w:rsidRDefault="00A70DD0" w:rsidP="00F45AA1">
      <w:pPr>
        <w:rPr>
          <w:b/>
          <w:bCs/>
          <w:sz w:val="36"/>
          <w:szCs w:val="36"/>
        </w:rPr>
      </w:pPr>
      <w:r w:rsidRPr="00A70DD0">
        <w:rPr>
          <w:b/>
          <w:bCs/>
          <w:sz w:val="36"/>
          <w:szCs w:val="36"/>
        </w:rPr>
        <w:t>Parliament and Council updates on Packaging and Packaging Waste Regulation (PPWR)</w:t>
      </w:r>
    </w:p>
    <w:p w14:paraId="50B66CC1" w14:textId="77777777" w:rsidR="0067329F" w:rsidRDefault="0067329F" w:rsidP="00F45AA1">
      <w:pPr>
        <w:rPr>
          <w:sz w:val="22"/>
          <w:szCs w:val="24"/>
        </w:rPr>
      </w:pPr>
    </w:p>
    <w:p w14:paraId="0ECA9C3B" w14:textId="77777777" w:rsidR="00A70DD0" w:rsidRPr="00C64D77" w:rsidRDefault="00A70DD0" w:rsidP="00C64D77">
      <w:pPr>
        <w:jc w:val="both"/>
        <w:rPr>
          <w:sz w:val="22"/>
        </w:rPr>
      </w:pPr>
      <w:r w:rsidRPr="00C64D77">
        <w:rPr>
          <w:sz w:val="22"/>
        </w:rPr>
        <w:t>Dear member,</w:t>
      </w:r>
    </w:p>
    <w:p w14:paraId="0DD82A7A" w14:textId="77777777" w:rsidR="00A70DD0" w:rsidRPr="00C64D77" w:rsidRDefault="00A70DD0" w:rsidP="00C64D77">
      <w:pPr>
        <w:jc w:val="both"/>
        <w:rPr>
          <w:sz w:val="22"/>
        </w:rPr>
      </w:pPr>
    </w:p>
    <w:p w14:paraId="38E22FC9" w14:textId="77777777" w:rsidR="00A70DD0" w:rsidRPr="00C64D77" w:rsidRDefault="00A70DD0" w:rsidP="00C64D77">
      <w:pPr>
        <w:jc w:val="both"/>
        <w:rPr>
          <w:sz w:val="22"/>
        </w:rPr>
      </w:pPr>
      <w:r w:rsidRPr="00C64D77">
        <w:rPr>
          <w:sz w:val="22"/>
        </w:rPr>
        <w:t xml:space="preserve">In this note you will find information on the works of the European Parliament and the Council on the proposed Packaging and Packaging Waste Regulation (PPWR). </w:t>
      </w:r>
    </w:p>
    <w:p w14:paraId="585004F7" w14:textId="77777777" w:rsidR="00A70DD0" w:rsidRPr="00C64D77" w:rsidRDefault="00A70DD0" w:rsidP="00C64D77">
      <w:pPr>
        <w:jc w:val="both"/>
        <w:rPr>
          <w:sz w:val="22"/>
        </w:rPr>
      </w:pPr>
    </w:p>
    <w:p w14:paraId="10DB547F" w14:textId="77777777" w:rsidR="00A70DD0" w:rsidRPr="00C64D77" w:rsidRDefault="00A70DD0" w:rsidP="00C64D77">
      <w:pPr>
        <w:jc w:val="both"/>
        <w:rPr>
          <w:sz w:val="22"/>
        </w:rPr>
      </w:pPr>
      <w:r w:rsidRPr="00C64D77">
        <w:rPr>
          <w:sz w:val="22"/>
        </w:rPr>
        <w:t>Updates in this note will be indicated using the red font.</w:t>
      </w:r>
    </w:p>
    <w:p w14:paraId="49453AAB" w14:textId="77777777" w:rsidR="00A70DD0" w:rsidRPr="00C64D77" w:rsidRDefault="00A70DD0" w:rsidP="00C64D77">
      <w:pPr>
        <w:jc w:val="both"/>
        <w:rPr>
          <w:sz w:val="22"/>
        </w:rPr>
      </w:pPr>
    </w:p>
    <w:p w14:paraId="7FE8843D" w14:textId="77777777" w:rsidR="00A70DD0" w:rsidRPr="00C64D77" w:rsidRDefault="00A70DD0" w:rsidP="00C64D77">
      <w:pPr>
        <w:jc w:val="both"/>
        <w:rPr>
          <w:sz w:val="22"/>
        </w:rPr>
      </w:pPr>
      <w:r w:rsidRPr="00C64D77">
        <w:rPr>
          <w:sz w:val="22"/>
        </w:rPr>
        <w:t xml:space="preserve">This note does not include information on the activities carried out by FoodDrinkEurope in relation to this proposal. For the updated FoodDrinkEurope tracker of meetings (and feedback received thereof) with EU Parliament and Permanent Representations of EU Member States, please check this document on this extranet: </w:t>
      </w:r>
      <w:hyperlink r:id="rId9" w:history="1">
        <w:r w:rsidRPr="00C64D77">
          <w:rPr>
            <w:rStyle w:val="Hyperlink"/>
            <w:sz w:val="22"/>
            <w:lang w:val="en-US"/>
          </w:rPr>
          <w:t>ENV/CIRCECON/009/23E</w:t>
        </w:r>
      </w:hyperlink>
      <w:r w:rsidRPr="00C64D77">
        <w:rPr>
          <w:rStyle w:val="Hyperlink"/>
          <w:sz w:val="22"/>
          <w:lang w:val="en-US"/>
        </w:rPr>
        <w:t>.</w:t>
      </w:r>
    </w:p>
    <w:p w14:paraId="16261B5D" w14:textId="77777777" w:rsidR="00A70DD0" w:rsidRPr="00C64D77" w:rsidRDefault="00A70DD0" w:rsidP="00C64D77">
      <w:pPr>
        <w:jc w:val="both"/>
        <w:rPr>
          <w:sz w:val="22"/>
        </w:rPr>
      </w:pPr>
    </w:p>
    <w:p w14:paraId="4EF4745C" w14:textId="77777777" w:rsidR="00A70DD0" w:rsidRPr="00C64D77" w:rsidRDefault="00A70DD0" w:rsidP="00C64D77">
      <w:pPr>
        <w:jc w:val="both"/>
        <w:rPr>
          <w:sz w:val="22"/>
        </w:rPr>
      </w:pPr>
      <w:r w:rsidRPr="00C64D77">
        <w:rPr>
          <w:sz w:val="22"/>
        </w:rPr>
        <w:t xml:space="preserve">For more information, please contact Silvia Lofrese at </w:t>
      </w:r>
      <w:hyperlink r:id="rId10" w:history="1">
        <w:r w:rsidRPr="00C64D77">
          <w:rPr>
            <w:rStyle w:val="Hyperlink"/>
            <w:sz w:val="22"/>
          </w:rPr>
          <w:t>s.lofrese@fooddrinkeurope.eu</w:t>
        </w:r>
      </w:hyperlink>
      <w:r w:rsidRPr="00C64D77">
        <w:rPr>
          <w:sz w:val="22"/>
        </w:rPr>
        <w:t xml:space="preserve"> </w:t>
      </w:r>
    </w:p>
    <w:p w14:paraId="1320C265" w14:textId="77777777" w:rsidR="00A70DD0" w:rsidRPr="00C64D77" w:rsidRDefault="00A70DD0" w:rsidP="00C64D77">
      <w:pPr>
        <w:jc w:val="both"/>
        <w:rPr>
          <w:sz w:val="22"/>
        </w:rPr>
      </w:pPr>
    </w:p>
    <w:p w14:paraId="6ACE4F6A" w14:textId="77777777" w:rsidR="00A70DD0" w:rsidRPr="00C64D77" w:rsidRDefault="00A70DD0" w:rsidP="00C64D77">
      <w:pPr>
        <w:jc w:val="both"/>
        <w:rPr>
          <w:sz w:val="22"/>
        </w:rPr>
      </w:pPr>
      <w:r w:rsidRPr="00C64D77">
        <w:rPr>
          <w:sz w:val="22"/>
        </w:rPr>
        <w:t>Kind regards,</w:t>
      </w:r>
    </w:p>
    <w:p w14:paraId="07C99497" w14:textId="77777777" w:rsidR="00A70DD0" w:rsidRPr="00C64D77" w:rsidRDefault="00A70DD0" w:rsidP="00C64D77">
      <w:pPr>
        <w:jc w:val="both"/>
        <w:rPr>
          <w:sz w:val="22"/>
        </w:rPr>
      </w:pPr>
    </w:p>
    <w:p w14:paraId="5B561ABA" w14:textId="77777777" w:rsidR="00A70DD0" w:rsidRPr="00C64D77" w:rsidRDefault="00A70DD0" w:rsidP="00C64D77">
      <w:pPr>
        <w:jc w:val="both"/>
        <w:rPr>
          <w:sz w:val="22"/>
        </w:rPr>
      </w:pPr>
      <w:r w:rsidRPr="00C64D77">
        <w:rPr>
          <w:sz w:val="22"/>
        </w:rPr>
        <w:t>The Secretariat</w:t>
      </w:r>
    </w:p>
    <w:p w14:paraId="114C426A" w14:textId="77777777" w:rsidR="00A70DD0" w:rsidRPr="00C64D77" w:rsidRDefault="00A70DD0" w:rsidP="00C64D77">
      <w:pPr>
        <w:jc w:val="both"/>
        <w:rPr>
          <w:sz w:val="22"/>
        </w:rPr>
      </w:pPr>
    </w:p>
    <w:p w14:paraId="359CA51D" w14:textId="77777777" w:rsidR="00A70DD0" w:rsidRPr="00C64D77" w:rsidRDefault="00A70DD0" w:rsidP="00C64D77">
      <w:pPr>
        <w:jc w:val="center"/>
        <w:rPr>
          <w:sz w:val="22"/>
          <w:lang w:val="en-US"/>
        </w:rPr>
      </w:pPr>
      <w:r w:rsidRPr="00C64D77">
        <w:rPr>
          <w:sz w:val="22"/>
          <w:lang w:val="en-US"/>
        </w:rPr>
        <w:t>***</w:t>
      </w:r>
    </w:p>
    <w:p w14:paraId="557723BF" w14:textId="77777777" w:rsidR="00A70DD0" w:rsidRPr="00C64D77" w:rsidRDefault="00A70DD0" w:rsidP="00C64D77">
      <w:pPr>
        <w:jc w:val="both"/>
        <w:rPr>
          <w:sz w:val="22"/>
          <w:lang w:val="en-US"/>
        </w:rPr>
      </w:pPr>
    </w:p>
    <w:p w14:paraId="56A34AE6" w14:textId="77777777" w:rsidR="00A70DD0" w:rsidRPr="00C64D77" w:rsidRDefault="00A70DD0" w:rsidP="00C64D77">
      <w:pPr>
        <w:jc w:val="both"/>
        <w:rPr>
          <w:sz w:val="22"/>
          <w:lang w:val="en-US"/>
        </w:rPr>
      </w:pPr>
      <w:r w:rsidRPr="00C64D77">
        <w:rPr>
          <w:sz w:val="22"/>
          <w:lang w:val="en-US"/>
        </w:rPr>
        <w:t>An updated timeline of the works on PPWR in the Parliament and the Council can be found in the following pages.</w:t>
      </w:r>
    </w:p>
    <w:p w14:paraId="517D44B4" w14:textId="77777777" w:rsidR="00A70DD0" w:rsidRPr="00C64D77" w:rsidRDefault="00A70DD0" w:rsidP="00C64D77">
      <w:pPr>
        <w:jc w:val="both"/>
        <w:rPr>
          <w:sz w:val="22"/>
          <w:lang w:val="en-US"/>
        </w:rPr>
      </w:pPr>
    </w:p>
    <w:p w14:paraId="4DC17D7D" w14:textId="77777777" w:rsidR="00A70DD0" w:rsidRPr="00C64D77" w:rsidRDefault="00A70DD0" w:rsidP="00C64D77">
      <w:pPr>
        <w:jc w:val="both"/>
        <w:rPr>
          <w:b/>
          <w:bCs/>
          <w:sz w:val="22"/>
          <w:lang w:val="en-US"/>
        </w:rPr>
      </w:pPr>
      <w:r w:rsidRPr="00C64D77">
        <w:rPr>
          <w:b/>
          <w:bCs/>
          <w:sz w:val="22"/>
          <w:lang w:val="en-US"/>
        </w:rPr>
        <w:t>EUROPEAN PARLIAMENT</w:t>
      </w:r>
    </w:p>
    <w:p w14:paraId="12F804EC" w14:textId="77777777" w:rsidR="00A70DD0" w:rsidRPr="00C64D77" w:rsidRDefault="00A70DD0" w:rsidP="00C64D77">
      <w:pPr>
        <w:jc w:val="both"/>
        <w:rPr>
          <w:sz w:val="22"/>
          <w:lang w:val="en-US"/>
        </w:rPr>
      </w:pPr>
    </w:p>
    <w:p w14:paraId="4FE18369" w14:textId="77777777" w:rsidR="00A70DD0" w:rsidRPr="00C64D77" w:rsidRDefault="00A70DD0" w:rsidP="00C64D77">
      <w:pPr>
        <w:jc w:val="both"/>
        <w:rPr>
          <w:sz w:val="22"/>
        </w:rPr>
      </w:pPr>
      <w:r w:rsidRPr="00C64D77">
        <w:rPr>
          <w:sz w:val="22"/>
        </w:rPr>
        <w:t xml:space="preserve">In the European Parliament, there are four Committees involved in the analysis and amendment of the PPWR proposal: ENVI (lead), AGRI, IMCO and ITRE. </w:t>
      </w:r>
    </w:p>
    <w:p w14:paraId="197B3D65" w14:textId="77777777" w:rsidR="00A70DD0" w:rsidRPr="00C64D77" w:rsidRDefault="00A70DD0" w:rsidP="00C64D77">
      <w:pPr>
        <w:jc w:val="both"/>
        <w:rPr>
          <w:sz w:val="22"/>
        </w:rPr>
      </w:pPr>
    </w:p>
    <w:p w14:paraId="27EF14E6" w14:textId="77777777" w:rsidR="00A70DD0" w:rsidRPr="00C64D77" w:rsidRDefault="00A70DD0" w:rsidP="00C64D77">
      <w:pPr>
        <w:jc w:val="both"/>
        <w:rPr>
          <w:sz w:val="22"/>
        </w:rPr>
      </w:pPr>
      <w:r w:rsidRPr="00C64D77">
        <w:rPr>
          <w:sz w:val="22"/>
        </w:rPr>
        <w:t>ENVI will be the Committee ultimately responsible for adopting the draft negotiating position of the Parliament (in the form of a Report), then will then have to be validated by ta vote during a Parliament’s Plenary session.</w:t>
      </w:r>
    </w:p>
    <w:p w14:paraId="1A0180CB" w14:textId="77777777" w:rsidR="00A70DD0" w:rsidRPr="00C64D77" w:rsidRDefault="00A70DD0" w:rsidP="00C64D77">
      <w:pPr>
        <w:jc w:val="both"/>
        <w:rPr>
          <w:sz w:val="22"/>
        </w:rPr>
      </w:pPr>
    </w:p>
    <w:p w14:paraId="46B698EE" w14:textId="77777777" w:rsidR="00A70DD0" w:rsidRPr="00C64D77" w:rsidRDefault="00A70DD0" w:rsidP="00C64D77">
      <w:pPr>
        <w:jc w:val="both"/>
        <w:rPr>
          <w:sz w:val="22"/>
        </w:rPr>
      </w:pPr>
      <w:r w:rsidRPr="00C64D77">
        <w:rPr>
          <w:sz w:val="22"/>
        </w:rPr>
        <w:t xml:space="preserve">The AGRI Committee will issue an Opinion on the PPWR proposal, that will send a political message to the leading ENVI Committee. IMCO and ITRE are requesting more important competences on certain articles of the proposed Regulation, but a decision on the matter has not been made yet. In any case, those two Committees will adopt an Opinion that may – or may not – have a heavier weight than the AGRI one, depending on the decision on the competences. </w:t>
      </w:r>
    </w:p>
    <w:p w14:paraId="6615AA3E" w14:textId="77777777" w:rsidR="00A70DD0" w:rsidRPr="00C64D77" w:rsidRDefault="00A70DD0" w:rsidP="00C64D77">
      <w:pPr>
        <w:jc w:val="both"/>
        <w:rPr>
          <w:sz w:val="22"/>
        </w:rPr>
      </w:pPr>
    </w:p>
    <w:p w14:paraId="6830E6CF" w14:textId="77777777" w:rsidR="00A70DD0" w:rsidRPr="00C64D77" w:rsidRDefault="00A70DD0" w:rsidP="00C64D77">
      <w:pPr>
        <w:jc w:val="both"/>
        <w:rPr>
          <w:sz w:val="22"/>
        </w:rPr>
      </w:pPr>
    </w:p>
    <w:p w14:paraId="37138EAF" w14:textId="77777777" w:rsidR="00A70DD0" w:rsidRPr="00C64D77" w:rsidRDefault="00A70DD0" w:rsidP="00C64D77">
      <w:pPr>
        <w:jc w:val="both"/>
        <w:rPr>
          <w:sz w:val="22"/>
        </w:rPr>
      </w:pPr>
    </w:p>
    <w:p w14:paraId="0455903E" w14:textId="77777777" w:rsidR="00A70DD0" w:rsidRPr="00C64D77" w:rsidRDefault="00A70DD0" w:rsidP="00C64D77">
      <w:pPr>
        <w:jc w:val="both"/>
        <w:rPr>
          <w:sz w:val="22"/>
        </w:rPr>
      </w:pPr>
      <w:r w:rsidRPr="00C64D77">
        <w:rPr>
          <w:sz w:val="22"/>
        </w:rPr>
        <w:t>These are the key MEPs across those four Committees:</w:t>
      </w:r>
    </w:p>
    <w:p w14:paraId="618B44A2" w14:textId="77777777" w:rsidR="00A70DD0" w:rsidRPr="00C64D77" w:rsidRDefault="00A70DD0" w:rsidP="00C64D77">
      <w:pPr>
        <w:jc w:val="both"/>
        <w:rPr>
          <w:sz w:val="22"/>
        </w:rPr>
      </w:pPr>
    </w:p>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268"/>
        <w:gridCol w:w="2552"/>
        <w:gridCol w:w="2410"/>
      </w:tblGrid>
      <w:tr w:rsidR="00A70DD0" w:rsidRPr="00C64D77" w14:paraId="22AC7FB4" w14:textId="77777777" w:rsidTr="00A70DD0">
        <w:tc>
          <w:tcPr>
            <w:tcW w:w="2410" w:type="dxa"/>
            <w:hideMark/>
          </w:tcPr>
          <w:p w14:paraId="36D4D7D7" w14:textId="77777777" w:rsidR="00A70DD0" w:rsidRPr="00C64D77" w:rsidRDefault="00A70DD0" w:rsidP="00C64D77">
            <w:pPr>
              <w:jc w:val="both"/>
              <w:rPr>
                <w:rFonts w:ascii="Arial" w:hAnsi="Arial" w:cs="Arial"/>
                <w:szCs w:val="20"/>
              </w:rPr>
            </w:pPr>
            <w:r w:rsidRPr="00C64D77">
              <w:rPr>
                <w:rFonts w:ascii="Arial" w:hAnsi="Arial" w:cs="Arial"/>
                <w:szCs w:val="20"/>
              </w:rPr>
              <w:t>ENVI</w:t>
            </w:r>
          </w:p>
        </w:tc>
        <w:tc>
          <w:tcPr>
            <w:tcW w:w="2268" w:type="dxa"/>
            <w:hideMark/>
          </w:tcPr>
          <w:p w14:paraId="1E69168B" w14:textId="77777777" w:rsidR="00A70DD0" w:rsidRPr="00C64D77" w:rsidRDefault="00A70DD0" w:rsidP="00C64D77">
            <w:pPr>
              <w:jc w:val="both"/>
              <w:rPr>
                <w:rFonts w:ascii="Arial" w:hAnsi="Arial" w:cs="Arial"/>
                <w:szCs w:val="20"/>
              </w:rPr>
            </w:pPr>
            <w:r w:rsidRPr="00C64D77">
              <w:rPr>
                <w:rFonts w:ascii="Arial" w:hAnsi="Arial" w:cs="Arial"/>
                <w:szCs w:val="20"/>
              </w:rPr>
              <w:t>ITRE</w:t>
            </w:r>
          </w:p>
        </w:tc>
        <w:tc>
          <w:tcPr>
            <w:tcW w:w="2552" w:type="dxa"/>
            <w:hideMark/>
          </w:tcPr>
          <w:p w14:paraId="40929841" w14:textId="77777777" w:rsidR="00A70DD0" w:rsidRPr="00C64D77" w:rsidRDefault="00A70DD0" w:rsidP="00C64D77">
            <w:pPr>
              <w:jc w:val="both"/>
              <w:rPr>
                <w:rFonts w:ascii="Arial" w:hAnsi="Arial" w:cs="Arial"/>
                <w:szCs w:val="20"/>
              </w:rPr>
            </w:pPr>
            <w:r w:rsidRPr="00C64D77">
              <w:rPr>
                <w:rFonts w:ascii="Arial" w:hAnsi="Arial" w:cs="Arial"/>
                <w:szCs w:val="20"/>
              </w:rPr>
              <w:t>IMCO</w:t>
            </w:r>
          </w:p>
        </w:tc>
        <w:tc>
          <w:tcPr>
            <w:tcW w:w="2410" w:type="dxa"/>
            <w:hideMark/>
          </w:tcPr>
          <w:p w14:paraId="52E7D393" w14:textId="77777777" w:rsidR="00A70DD0" w:rsidRPr="00C64D77" w:rsidRDefault="00A70DD0" w:rsidP="00C64D77">
            <w:pPr>
              <w:jc w:val="both"/>
              <w:rPr>
                <w:rFonts w:ascii="Arial" w:hAnsi="Arial" w:cs="Arial"/>
                <w:szCs w:val="20"/>
              </w:rPr>
            </w:pPr>
            <w:r w:rsidRPr="00C64D77">
              <w:rPr>
                <w:rFonts w:ascii="Arial" w:hAnsi="Arial" w:cs="Arial"/>
                <w:szCs w:val="20"/>
              </w:rPr>
              <w:t>AGRI</w:t>
            </w:r>
          </w:p>
        </w:tc>
      </w:tr>
      <w:tr w:rsidR="00A70DD0" w:rsidRPr="00C64D77" w14:paraId="43219E9D" w14:textId="77777777" w:rsidTr="00A70DD0">
        <w:tc>
          <w:tcPr>
            <w:tcW w:w="2410" w:type="dxa"/>
            <w:hideMark/>
          </w:tcPr>
          <w:p w14:paraId="4EABD2F0" w14:textId="77777777" w:rsidR="00A70DD0" w:rsidRPr="00C64D77" w:rsidRDefault="00A70DD0" w:rsidP="00C64D77">
            <w:pPr>
              <w:jc w:val="both"/>
              <w:rPr>
                <w:rFonts w:ascii="Arial" w:hAnsi="Arial" w:cs="Arial"/>
                <w:b/>
                <w:bCs/>
                <w:szCs w:val="20"/>
              </w:rPr>
            </w:pPr>
            <w:r w:rsidRPr="00C64D77">
              <w:rPr>
                <w:rFonts w:ascii="Arial" w:hAnsi="Arial" w:cs="Arial"/>
                <w:b/>
                <w:bCs/>
                <w:szCs w:val="20"/>
              </w:rPr>
              <w:t>Ms Ries (Renew)</w:t>
            </w:r>
          </w:p>
          <w:p w14:paraId="30C82405" w14:textId="77777777" w:rsidR="00A70DD0" w:rsidRPr="00C64D77" w:rsidRDefault="00A70DD0" w:rsidP="00C64D77">
            <w:pPr>
              <w:jc w:val="both"/>
              <w:rPr>
                <w:rFonts w:ascii="Arial" w:hAnsi="Arial" w:cs="Arial"/>
                <w:szCs w:val="20"/>
              </w:rPr>
            </w:pPr>
            <w:r w:rsidRPr="00C64D77">
              <w:rPr>
                <w:rFonts w:ascii="Arial" w:hAnsi="Arial" w:cs="Arial"/>
                <w:szCs w:val="20"/>
              </w:rPr>
              <w:t>Ms Regimenti (EPP)</w:t>
            </w:r>
          </w:p>
          <w:p w14:paraId="091A9DB3" w14:textId="77777777" w:rsidR="00A70DD0" w:rsidRPr="00C64D77" w:rsidRDefault="00A70DD0" w:rsidP="00C64D77">
            <w:pPr>
              <w:jc w:val="both"/>
              <w:rPr>
                <w:rFonts w:ascii="Arial" w:hAnsi="Arial" w:cs="Arial"/>
                <w:szCs w:val="20"/>
              </w:rPr>
            </w:pPr>
            <w:r w:rsidRPr="00C64D77">
              <w:rPr>
                <w:rFonts w:ascii="Arial" w:hAnsi="Arial" w:cs="Arial"/>
                <w:szCs w:val="20"/>
              </w:rPr>
              <w:t>Ms Burkhardt (S&amp;D)</w:t>
            </w:r>
          </w:p>
          <w:p w14:paraId="5D20933F" w14:textId="77777777" w:rsidR="00A70DD0" w:rsidRPr="00800990" w:rsidRDefault="00A70DD0" w:rsidP="00C64D77">
            <w:pPr>
              <w:jc w:val="both"/>
              <w:rPr>
                <w:rFonts w:ascii="Arial" w:hAnsi="Arial" w:cs="Arial"/>
                <w:szCs w:val="20"/>
                <w:lang w:val="en-US"/>
              </w:rPr>
            </w:pPr>
            <w:r w:rsidRPr="00800990">
              <w:rPr>
                <w:rFonts w:ascii="Arial" w:hAnsi="Arial" w:cs="Arial"/>
                <w:szCs w:val="20"/>
                <w:lang w:val="en-US"/>
              </w:rPr>
              <w:t>Mr Fiocchi (ECR)</w:t>
            </w:r>
          </w:p>
          <w:p w14:paraId="45BDD312" w14:textId="77777777" w:rsidR="00A70DD0" w:rsidRPr="00800990" w:rsidRDefault="00A70DD0" w:rsidP="00C64D77">
            <w:pPr>
              <w:jc w:val="both"/>
              <w:rPr>
                <w:rFonts w:ascii="Arial" w:hAnsi="Arial" w:cs="Arial"/>
                <w:szCs w:val="20"/>
                <w:lang w:val="en-US"/>
              </w:rPr>
            </w:pPr>
            <w:r w:rsidRPr="00800990">
              <w:rPr>
                <w:rFonts w:ascii="Arial" w:hAnsi="Arial" w:cs="Arial"/>
                <w:szCs w:val="20"/>
                <w:lang w:val="en-US"/>
              </w:rPr>
              <w:t>Ms O’Sullivan (Greens)</w:t>
            </w:r>
          </w:p>
          <w:p w14:paraId="1E5724B2" w14:textId="77777777" w:rsidR="00A70DD0" w:rsidRPr="00C64D77" w:rsidRDefault="00A70DD0" w:rsidP="00C64D77">
            <w:pPr>
              <w:jc w:val="both"/>
              <w:rPr>
                <w:rFonts w:ascii="Arial" w:hAnsi="Arial" w:cs="Arial"/>
                <w:spacing w:val="-12"/>
                <w:szCs w:val="20"/>
                <w:lang w:val="en-US"/>
              </w:rPr>
            </w:pPr>
            <w:r w:rsidRPr="00C64D77">
              <w:rPr>
                <w:rFonts w:ascii="Arial" w:hAnsi="Arial" w:cs="Arial"/>
                <w:spacing w:val="-12"/>
                <w:szCs w:val="20"/>
                <w:lang w:val="en-US"/>
              </w:rPr>
              <w:t>Mr Pimenta Lopes (The Left)</w:t>
            </w:r>
          </w:p>
        </w:tc>
        <w:tc>
          <w:tcPr>
            <w:tcW w:w="2268" w:type="dxa"/>
            <w:hideMark/>
          </w:tcPr>
          <w:p w14:paraId="10277B43" w14:textId="77777777" w:rsidR="00A70DD0" w:rsidRPr="00C64D77" w:rsidRDefault="00A70DD0" w:rsidP="00C64D77">
            <w:pPr>
              <w:jc w:val="both"/>
              <w:rPr>
                <w:rFonts w:ascii="Arial" w:hAnsi="Arial" w:cs="Arial"/>
                <w:b/>
                <w:bCs/>
                <w:szCs w:val="20"/>
              </w:rPr>
            </w:pPr>
            <w:r w:rsidRPr="00C64D77">
              <w:rPr>
                <w:rFonts w:ascii="Arial" w:hAnsi="Arial" w:cs="Arial"/>
                <w:b/>
                <w:bCs/>
                <w:szCs w:val="20"/>
              </w:rPr>
              <w:t>Ms Toia (S&amp;D)</w:t>
            </w:r>
          </w:p>
          <w:p w14:paraId="55B06E77" w14:textId="77777777" w:rsidR="00A70DD0" w:rsidRPr="00C64D77" w:rsidRDefault="00A70DD0" w:rsidP="00C64D77">
            <w:pPr>
              <w:jc w:val="both"/>
              <w:rPr>
                <w:rFonts w:ascii="Arial" w:hAnsi="Arial" w:cs="Arial"/>
                <w:szCs w:val="20"/>
              </w:rPr>
            </w:pPr>
            <w:r w:rsidRPr="00C64D77">
              <w:rPr>
                <w:rFonts w:ascii="Arial" w:hAnsi="Arial" w:cs="Arial"/>
                <w:szCs w:val="20"/>
              </w:rPr>
              <w:t>Mr Torvalds (Renew)</w:t>
            </w:r>
          </w:p>
          <w:p w14:paraId="6C8A9CC0" w14:textId="77777777" w:rsidR="00A70DD0" w:rsidRPr="00C64D77" w:rsidRDefault="00A70DD0" w:rsidP="00C64D77">
            <w:pPr>
              <w:jc w:val="both"/>
              <w:rPr>
                <w:rFonts w:ascii="Arial" w:hAnsi="Arial" w:cs="Arial"/>
                <w:szCs w:val="20"/>
              </w:rPr>
            </w:pPr>
            <w:r w:rsidRPr="00C64D77">
              <w:rPr>
                <w:rFonts w:ascii="Arial" w:hAnsi="Arial" w:cs="Arial"/>
                <w:szCs w:val="20"/>
              </w:rPr>
              <w:t>Ms Niebler (EPP)</w:t>
            </w:r>
          </w:p>
          <w:p w14:paraId="1CAC6392" w14:textId="77777777" w:rsidR="00A70DD0" w:rsidRPr="00C64D77" w:rsidRDefault="00A70DD0" w:rsidP="00C64D77">
            <w:pPr>
              <w:jc w:val="both"/>
              <w:rPr>
                <w:rFonts w:ascii="Arial" w:hAnsi="Arial" w:cs="Arial"/>
                <w:szCs w:val="20"/>
              </w:rPr>
            </w:pPr>
            <w:r w:rsidRPr="00C64D77">
              <w:rPr>
                <w:rFonts w:ascii="Arial" w:hAnsi="Arial" w:cs="Arial"/>
                <w:szCs w:val="20"/>
              </w:rPr>
              <w:t>Mr Borchia (ID)</w:t>
            </w:r>
          </w:p>
        </w:tc>
        <w:tc>
          <w:tcPr>
            <w:tcW w:w="2552" w:type="dxa"/>
            <w:hideMark/>
          </w:tcPr>
          <w:p w14:paraId="1C748838" w14:textId="77777777" w:rsidR="00A70DD0" w:rsidRPr="00C64D77" w:rsidRDefault="00A70DD0" w:rsidP="00C64D77">
            <w:pPr>
              <w:jc w:val="both"/>
              <w:rPr>
                <w:rFonts w:ascii="Arial" w:hAnsi="Arial" w:cs="Arial"/>
                <w:b/>
                <w:bCs/>
                <w:szCs w:val="20"/>
              </w:rPr>
            </w:pPr>
            <w:r w:rsidRPr="00C64D77">
              <w:rPr>
                <w:rFonts w:ascii="Arial" w:hAnsi="Arial" w:cs="Arial"/>
                <w:b/>
                <w:bCs/>
                <w:szCs w:val="20"/>
              </w:rPr>
              <w:t>Ms Joron (ID)</w:t>
            </w:r>
          </w:p>
          <w:p w14:paraId="3D9A9E51" w14:textId="77777777" w:rsidR="00A70DD0" w:rsidRPr="00C64D77" w:rsidRDefault="00A70DD0" w:rsidP="00C64D77">
            <w:pPr>
              <w:jc w:val="both"/>
              <w:rPr>
                <w:rFonts w:ascii="Arial" w:hAnsi="Arial" w:cs="Arial"/>
                <w:szCs w:val="20"/>
              </w:rPr>
            </w:pPr>
            <w:r w:rsidRPr="00C64D77">
              <w:rPr>
                <w:rFonts w:ascii="Arial" w:hAnsi="Arial" w:cs="Arial"/>
                <w:szCs w:val="20"/>
              </w:rPr>
              <w:t>Ms Melchior (Renew)</w:t>
            </w:r>
          </w:p>
          <w:p w14:paraId="6FB85853" w14:textId="77777777" w:rsidR="00A70DD0" w:rsidRPr="00C64D77" w:rsidRDefault="00A70DD0" w:rsidP="00C64D77">
            <w:pPr>
              <w:jc w:val="both"/>
              <w:rPr>
                <w:rFonts w:ascii="Arial" w:hAnsi="Arial" w:cs="Arial"/>
                <w:szCs w:val="20"/>
                <w:lang w:val="nl-NL"/>
              </w:rPr>
            </w:pPr>
            <w:r w:rsidRPr="00C64D77">
              <w:rPr>
                <w:rFonts w:ascii="Arial" w:hAnsi="Arial" w:cs="Arial"/>
                <w:szCs w:val="20"/>
                <w:lang w:val="nl-NL"/>
              </w:rPr>
              <w:t>Ms Schaldemose (S&amp;D)</w:t>
            </w:r>
          </w:p>
          <w:p w14:paraId="0E214C43" w14:textId="77777777" w:rsidR="00A70DD0" w:rsidRPr="00C64D77" w:rsidRDefault="00A70DD0" w:rsidP="00C64D77">
            <w:pPr>
              <w:jc w:val="both"/>
              <w:rPr>
                <w:rFonts w:ascii="Arial" w:hAnsi="Arial" w:cs="Arial"/>
                <w:spacing w:val="-8"/>
                <w:szCs w:val="20"/>
                <w:lang w:val="nl-NL"/>
              </w:rPr>
            </w:pPr>
            <w:r w:rsidRPr="00C64D77">
              <w:rPr>
                <w:rFonts w:ascii="Arial" w:hAnsi="Arial" w:cs="Arial"/>
                <w:spacing w:val="-8"/>
                <w:szCs w:val="20"/>
                <w:lang w:val="nl-NL"/>
              </w:rPr>
              <w:t>Mr Vandenkendelaere (EPP)</w:t>
            </w:r>
          </w:p>
          <w:p w14:paraId="2E774D3B" w14:textId="77777777" w:rsidR="00A70DD0" w:rsidRPr="00C64D77" w:rsidRDefault="00A70DD0" w:rsidP="00C64D77">
            <w:pPr>
              <w:jc w:val="both"/>
              <w:rPr>
                <w:rFonts w:ascii="Arial" w:hAnsi="Arial" w:cs="Arial"/>
                <w:szCs w:val="20"/>
              </w:rPr>
            </w:pPr>
            <w:r w:rsidRPr="00C64D77">
              <w:rPr>
                <w:rFonts w:ascii="Arial" w:hAnsi="Arial" w:cs="Arial"/>
                <w:szCs w:val="20"/>
              </w:rPr>
              <w:t>Mr Fidanza (ECR)</w:t>
            </w:r>
          </w:p>
        </w:tc>
        <w:tc>
          <w:tcPr>
            <w:tcW w:w="2410" w:type="dxa"/>
            <w:hideMark/>
          </w:tcPr>
          <w:p w14:paraId="31DA8E53" w14:textId="77777777" w:rsidR="00A70DD0" w:rsidRPr="00C64D77" w:rsidRDefault="00A70DD0" w:rsidP="00C64D77">
            <w:pPr>
              <w:jc w:val="both"/>
              <w:rPr>
                <w:rFonts w:ascii="Arial" w:hAnsi="Arial" w:cs="Arial"/>
                <w:b/>
                <w:bCs/>
                <w:szCs w:val="20"/>
                <w:lang w:val="en-US"/>
              </w:rPr>
            </w:pPr>
            <w:r w:rsidRPr="00C64D77">
              <w:rPr>
                <w:rFonts w:ascii="Arial" w:hAnsi="Arial" w:cs="Arial"/>
                <w:b/>
                <w:bCs/>
                <w:szCs w:val="20"/>
                <w:lang w:val="en-US"/>
              </w:rPr>
              <w:t>Mr De Meo (EPP)</w:t>
            </w:r>
          </w:p>
          <w:p w14:paraId="2892E158" w14:textId="77777777" w:rsidR="00A70DD0" w:rsidRPr="00C64D77" w:rsidRDefault="00A70DD0" w:rsidP="00C64D77">
            <w:pPr>
              <w:jc w:val="both"/>
              <w:rPr>
                <w:rFonts w:ascii="Arial" w:hAnsi="Arial" w:cs="Arial"/>
                <w:szCs w:val="20"/>
                <w:lang w:val="en-US"/>
              </w:rPr>
            </w:pPr>
            <w:r w:rsidRPr="00C64D77">
              <w:rPr>
                <w:rFonts w:ascii="Arial" w:hAnsi="Arial" w:cs="Arial"/>
                <w:szCs w:val="20"/>
                <w:lang w:val="en-US"/>
              </w:rPr>
              <w:t>Ms Katainen (Renew)</w:t>
            </w:r>
          </w:p>
          <w:p w14:paraId="25DBA29F" w14:textId="77777777" w:rsidR="00A70DD0" w:rsidRPr="00C64D77" w:rsidRDefault="00A70DD0" w:rsidP="00C64D77">
            <w:pPr>
              <w:jc w:val="both"/>
              <w:rPr>
                <w:rFonts w:ascii="Arial" w:hAnsi="Arial" w:cs="Arial"/>
                <w:szCs w:val="20"/>
                <w:lang w:val="en-US"/>
              </w:rPr>
            </w:pPr>
            <w:r w:rsidRPr="00C64D77">
              <w:rPr>
                <w:rFonts w:ascii="Arial" w:hAnsi="Arial" w:cs="Arial"/>
                <w:szCs w:val="20"/>
                <w:lang w:val="en-US"/>
              </w:rPr>
              <w:t>Mr Variati (S&amp;D)</w:t>
            </w:r>
          </w:p>
          <w:p w14:paraId="75FA6355" w14:textId="77777777" w:rsidR="00A70DD0" w:rsidRPr="00C64D77" w:rsidRDefault="00A70DD0" w:rsidP="00C64D77">
            <w:pPr>
              <w:jc w:val="both"/>
              <w:rPr>
                <w:rFonts w:ascii="Arial" w:hAnsi="Arial" w:cs="Arial"/>
                <w:szCs w:val="20"/>
                <w:lang w:val="en-US"/>
              </w:rPr>
            </w:pPr>
            <w:r w:rsidRPr="00C64D77">
              <w:rPr>
                <w:rFonts w:ascii="Arial" w:hAnsi="Arial" w:cs="Arial"/>
                <w:szCs w:val="20"/>
                <w:lang w:val="en-US"/>
              </w:rPr>
              <w:t>Mr Holmgren (Greens)</w:t>
            </w:r>
          </w:p>
          <w:p w14:paraId="21C1AF37" w14:textId="77777777" w:rsidR="00A70DD0" w:rsidRPr="00C64D77" w:rsidRDefault="00A70DD0" w:rsidP="00C64D77">
            <w:pPr>
              <w:jc w:val="both"/>
              <w:rPr>
                <w:rFonts w:ascii="Arial" w:hAnsi="Arial" w:cs="Arial"/>
                <w:szCs w:val="20"/>
                <w:lang w:val="en-US"/>
              </w:rPr>
            </w:pPr>
            <w:r w:rsidRPr="00C64D77">
              <w:rPr>
                <w:rFonts w:ascii="Arial" w:hAnsi="Arial" w:cs="Arial"/>
                <w:szCs w:val="20"/>
                <w:lang w:val="en-US"/>
              </w:rPr>
              <w:t>Mr Jurgiel (ECR)</w:t>
            </w:r>
          </w:p>
          <w:p w14:paraId="1E6B83DC" w14:textId="77777777" w:rsidR="00A70DD0" w:rsidRPr="00C64D77" w:rsidRDefault="00A70DD0" w:rsidP="00C64D77">
            <w:pPr>
              <w:jc w:val="both"/>
              <w:rPr>
                <w:rFonts w:ascii="Arial" w:hAnsi="Arial" w:cs="Arial"/>
                <w:szCs w:val="20"/>
                <w:lang w:val="en-US"/>
              </w:rPr>
            </w:pPr>
            <w:r w:rsidRPr="00C64D77">
              <w:rPr>
                <w:rFonts w:ascii="Arial" w:hAnsi="Arial" w:cs="Arial"/>
                <w:szCs w:val="20"/>
                <w:lang w:val="en-US"/>
              </w:rPr>
              <w:t>Ms Conte (ID)</w:t>
            </w:r>
          </w:p>
          <w:p w14:paraId="1DAE4F36" w14:textId="77777777" w:rsidR="00A70DD0" w:rsidRPr="00C64D77" w:rsidRDefault="00A70DD0" w:rsidP="00C64D77">
            <w:pPr>
              <w:jc w:val="both"/>
              <w:rPr>
                <w:rFonts w:ascii="Arial" w:hAnsi="Arial" w:cs="Arial"/>
                <w:szCs w:val="20"/>
                <w:lang w:val="en-US"/>
              </w:rPr>
            </w:pPr>
            <w:r w:rsidRPr="00C64D77">
              <w:rPr>
                <w:rFonts w:ascii="Arial" w:hAnsi="Arial" w:cs="Arial"/>
                <w:szCs w:val="20"/>
                <w:lang w:val="en-US"/>
              </w:rPr>
              <w:t>Mr Flanagan (The Left)</w:t>
            </w:r>
          </w:p>
        </w:tc>
      </w:tr>
    </w:tbl>
    <w:p w14:paraId="7BCEB843" w14:textId="77777777" w:rsidR="00A70DD0" w:rsidRPr="00C64D77" w:rsidRDefault="00A70DD0" w:rsidP="00C64D77">
      <w:pPr>
        <w:jc w:val="both"/>
        <w:rPr>
          <w:sz w:val="22"/>
        </w:rPr>
      </w:pPr>
    </w:p>
    <w:p w14:paraId="447FCA44" w14:textId="77777777" w:rsidR="00A70DD0" w:rsidRPr="00C64D77" w:rsidRDefault="00A70DD0" w:rsidP="00C64D77">
      <w:pPr>
        <w:jc w:val="both"/>
        <w:rPr>
          <w:sz w:val="22"/>
        </w:rPr>
      </w:pPr>
      <w:r w:rsidRPr="00C64D77">
        <w:rPr>
          <w:sz w:val="22"/>
        </w:rPr>
        <w:t>On 28 February, the AGRI Committee held a first exchange of views on the proposal. Many MEPs raised concerns on the implications of the proposal on the safety and shelf life of fresh (hence perishable) fruit and vegetables, as well as on the import/export of agri-food products – especially those falling under the EU quality and promotion schemes, such as GIs. Another point raised related to the sale of certain products in bulks (a specific reference was made to olive oil). Doubts arose also on the timing foreseen to implement the new requirements and achieve targets, on the financial implications (also on consumers) and on the environmental benefits of certain solutions proposed by the Commission (notably in relation to reuse).</w:t>
      </w:r>
    </w:p>
    <w:p w14:paraId="757F6A24" w14:textId="77777777" w:rsidR="00A70DD0" w:rsidRPr="00C64D77" w:rsidRDefault="00A70DD0" w:rsidP="00C64D77">
      <w:pPr>
        <w:jc w:val="both"/>
        <w:rPr>
          <w:sz w:val="22"/>
        </w:rPr>
      </w:pPr>
    </w:p>
    <w:p w14:paraId="3417E64F" w14:textId="77777777" w:rsidR="00A70DD0" w:rsidRPr="00C64D77" w:rsidRDefault="00A70DD0" w:rsidP="00C64D77">
      <w:pPr>
        <w:jc w:val="both"/>
        <w:rPr>
          <w:b/>
          <w:bCs/>
          <w:sz w:val="22"/>
        </w:rPr>
      </w:pPr>
      <w:r w:rsidRPr="00C64D77">
        <w:rPr>
          <w:b/>
          <w:bCs/>
          <w:sz w:val="22"/>
        </w:rPr>
        <w:t>COUNCIL OF THE EU</w:t>
      </w:r>
    </w:p>
    <w:p w14:paraId="3F83AB91" w14:textId="4DEC1763" w:rsidR="00A70DD0" w:rsidRPr="00C64D77" w:rsidRDefault="00A70DD0" w:rsidP="00C64D77">
      <w:pPr>
        <w:spacing w:before="120" w:after="120"/>
        <w:jc w:val="both"/>
        <w:rPr>
          <w:sz w:val="22"/>
        </w:rPr>
      </w:pPr>
      <w:r w:rsidRPr="00C64D77">
        <w:rPr>
          <w:sz w:val="22"/>
        </w:rPr>
        <w:t>In the Council, the Working Party on Environment is responsible for this file. No other Council formations are officially involved in the works (contrary to the European Parliament) and the coordination with other relevant ministries (i.e. Agriculture, Industry or else) is left in the hands of each Member State to carry out at national level.</w:t>
      </w:r>
    </w:p>
    <w:p w14:paraId="4353C916" w14:textId="77777777" w:rsidR="00A70DD0" w:rsidRPr="00C64D77" w:rsidRDefault="00A70DD0" w:rsidP="00C64D77">
      <w:pPr>
        <w:spacing w:before="120" w:after="120"/>
        <w:jc w:val="both"/>
        <w:rPr>
          <w:sz w:val="22"/>
        </w:rPr>
      </w:pPr>
      <w:r w:rsidRPr="00C64D77">
        <w:rPr>
          <w:sz w:val="22"/>
        </w:rPr>
        <w:t>On 20 December 2022, only three weeks after the publication of the PPWR, the Council held a preliminary exchange of views on the proposal. Then, the Working Party on Environment started to work on the proposal in mid-January. For two months, under the aegis of the Swedish Presidency, Environment Attaches have carried out a first reading of the PPWR, using this as an opportunity to ask the European Commission to clarify certain aspects of the proposal. Most of the Member States had a scrutiny reservation during this period, meaning that they did not have yet a position on the text.</w:t>
      </w:r>
    </w:p>
    <w:p w14:paraId="00563B9F" w14:textId="77777777" w:rsidR="00A70DD0" w:rsidRPr="00C64D77" w:rsidRDefault="00A70DD0" w:rsidP="00C64D77">
      <w:pPr>
        <w:spacing w:before="120" w:after="120"/>
        <w:jc w:val="both"/>
        <w:rPr>
          <w:sz w:val="22"/>
        </w:rPr>
      </w:pPr>
      <w:r w:rsidRPr="00C64D77">
        <w:rPr>
          <w:sz w:val="22"/>
        </w:rPr>
        <w:t>This is also due to the fact that the proposal had not been translated in many of the EU languages. All the translations have been finally made available at the beginning of March.</w:t>
      </w:r>
    </w:p>
    <w:p w14:paraId="55A7B58E" w14:textId="77777777" w:rsidR="00A70DD0" w:rsidRPr="00C64D77" w:rsidRDefault="00A70DD0" w:rsidP="00C64D77">
      <w:pPr>
        <w:spacing w:before="120" w:after="120"/>
        <w:jc w:val="both"/>
        <w:rPr>
          <w:sz w:val="22"/>
        </w:rPr>
      </w:pPr>
      <w:r w:rsidRPr="00C64D77">
        <w:rPr>
          <w:sz w:val="22"/>
        </w:rPr>
        <w:t>We understand that France and Germany are supportive of the proposal, whereas Italy is vocally concerned by the push on reusable packaging as preferred option vis-à-vis recycling. Finland and Czech Republic are reported to have raised concerns during the meetings of the Working Party on Environment.</w:t>
      </w:r>
    </w:p>
    <w:p w14:paraId="48428347" w14:textId="77777777" w:rsidR="00800990" w:rsidRDefault="00800990" w:rsidP="00800990">
      <w:pPr>
        <w:rPr>
          <w:color w:val="FF0000"/>
        </w:rPr>
      </w:pPr>
      <w:r>
        <w:rPr>
          <w:color w:val="FF0000"/>
        </w:rPr>
        <w:t xml:space="preserve">On 16 March, the EU Ministers for the Environment held a policy debate on the PPWR proposal. This indicated the political priorities of the Member States, without digging into the technical details of the proposal. Here you can find the positions expressed by Member States on key issues for the food and drink sector: </w:t>
      </w:r>
    </w:p>
    <w:p w14:paraId="3AB3123C" w14:textId="77777777" w:rsidR="00800990" w:rsidRDefault="00800990" w:rsidP="00800990">
      <w:pPr>
        <w:rPr>
          <w:color w:val="FF0000"/>
        </w:rPr>
      </w:pPr>
    </w:p>
    <w:p w14:paraId="02CF60AA" w14:textId="77777777" w:rsidR="00800990" w:rsidRDefault="00800990" w:rsidP="00800990">
      <w:pPr>
        <w:pStyle w:val="ListParagraph"/>
        <w:numPr>
          <w:ilvl w:val="0"/>
          <w:numId w:val="24"/>
        </w:numPr>
        <w:ind w:left="360"/>
        <w:rPr>
          <w:color w:val="FF0000"/>
          <w:u w:val="single"/>
        </w:rPr>
      </w:pPr>
      <w:r>
        <w:rPr>
          <w:color w:val="FF0000"/>
          <w:u w:val="single"/>
        </w:rPr>
        <w:lastRenderedPageBreak/>
        <w:t>Regulation or Directive</w:t>
      </w:r>
    </w:p>
    <w:p w14:paraId="68BC1D91" w14:textId="77777777" w:rsidR="00800990" w:rsidRDefault="00800990" w:rsidP="00800990">
      <w:pPr>
        <w:pStyle w:val="ListParagraph"/>
        <w:ind w:left="360"/>
        <w:rPr>
          <w:color w:val="FF0000"/>
        </w:rPr>
      </w:pPr>
      <w:r>
        <w:rPr>
          <w:color w:val="FF0000"/>
        </w:rPr>
        <w:t>In favour of a Directive as a way to give more room for manoeuvre to Member States: Austria, Belgium, Croatia, Czechia, Latvia, Luxembourg, Greece</w:t>
      </w:r>
    </w:p>
    <w:p w14:paraId="13C72C48" w14:textId="77777777" w:rsidR="00800990" w:rsidRDefault="00800990" w:rsidP="00800990">
      <w:pPr>
        <w:pStyle w:val="ListParagraph"/>
        <w:ind w:left="360"/>
        <w:rPr>
          <w:color w:val="FF0000"/>
        </w:rPr>
      </w:pPr>
      <w:r>
        <w:rPr>
          <w:color w:val="FF0000"/>
        </w:rPr>
        <w:t>In favour of a Regulation: Netherlands (but in some areas there should be room for more ambitious policies), Bulgaria, Estonia</w:t>
      </w:r>
    </w:p>
    <w:p w14:paraId="5AFA8026" w14:textId="77777777" w:rsidR="00800990" w:rsidRDefault="00800990" w:rsidP="00800990">
      <w:pPr>
        <w:pStyle w:val="ListParagraph"/>
        <w:numPr>
          <w:ilvl w:val="0"/>
          <w:numId w:val="24"/>
        </w:numPr>
        <w:ind w:left="360"/>
        <w:rPr>
          <w:color w:val="FF0000"/>
          <w:u w:val="single"/>
        </w:rPr>
      </w:pPr>
      <w:r>
        <w:rPr>
          <w:color w:val="FF0000"/>
          <w:u w:val="single"/>
        </w:rPr>
        <w:t>Internal market legal basis (only) or dual legal basis (internal market + environment)</w:t>
      </w:r>
    </w:p>
    <w:p w14:paraId="57132245" w14:textId="77777777" w:rsidR="00800990" w:rsidRDefault="00800990" w:rsidP="00800990">
      <w:pPr>
        <w:pStyle w:val="ListParagraph"/>
        <w:ind w:left="360"/>
        <w:rPr>
          <w:color w:val="FF0000"/>
        </w:rPr>
      </w:pPr>
      <w:r>
        <w:rPr>
          <w:color w:val="FF0000"/>
        </w:rPr>
        <w:t>In favour of a dual legal basis as a way to give Member States the possibility to adopt or maintain ambitious national measures: Austria, France, Ireland, Luxembourg</w:t>
      </w:r>
    </w:p>
    <w:p w14:paraId="1416A38F" w14:textId="77777777" w:rsidR="00800990" w:rsidRDefault="00800990" w:rsidP="00800990">
      <w:pPr>
        <w:pStyle w:val="ListParagraph"/>
        <w:numPr>
          <w:ilvl w:val="0"/>
          <w:numId w:val="24"/>
        </w:numPr>
        <w:ind w:left="360"/>
        <w:rPr>
          <w:color w:val="FF0000"/>
          <w:u w:val="single"/>
        </w:rPr>
      </w:pPr>
      <w:r>
        <w:rPr>
          <w:color w:val="FF0000"/>
          <w:u w:val="single"/>
        </w:rPr>
        <w:t xml:space="preserve">Reuse </w:t>
      </w:r>
    </w:p>
    <w:p w14:paraId="438D6D68" w14:textId="77777777" w:rsidR="00800990" w:rsidRDefault="00800990" w:rsidP="00800990">
      <w:pPr>
        <w:pStyle w:val="ListParagraph"/>
        <w:ind w:left="360"/>
        <w:rPr>
          <w:color w:val="FF0000"/>
        </w:rPr>
      </w:pPr>
      <w:r>
        <w:rPr>
          <w:color w:val="FF0000"/>
        </w:rPr>
        <w:t>In favour or reuse: Netherlands, Spain, Latvia</w:t>
      </w:r>
    </w:p>
    <w:p w14:paraId="23AAFB0F" w14:textId="77777777" w:rsidR="00800990" w:rsidRDefault="00800990" w:rsidP="00800990">
      <w:pPr>
        <w:pStyle w:val="ListParagraph"/>
        <w:ind w:left="360"/>
        <w:rPr>
          <w:color w:val="FF0000"/>
        </w:rPr>
      </w:pPr>
      <w:r>
        <w:rPr>
          <w:color w:val="FF0000"/>
        </w:rPr>
        <w:t>Cautious on pushing reuse (“vs” recycling), look at impact: Italy, Slovakia, Croatia, Luxembourg, Greece, Malta</w:t>
      </w:r>
    </w:p>
    <w:p w14:paraId="716E44D7" w14:textId="77777777" w:rsidR="00800990" w:rsidRDefault="00800990" w:rsidP="00800990">
      <w:pPr>
        <w:pStyle w:val="ListParagraph"/>
        <w:numPr>
          <w:ilvl w:val="0"/>
          <w:numId w:val="24"/>
        </w:numPr>
        <w:ind w:left="360"/>
        <w:rPr>
          <w:color w:val="FF0000"/>
          <w:u w:val="single"/>
        </w:rPr>
      </w:pPr>
      <w:r>
        <w:rPr>
          <w:color w:val="FF0000"/>
          <w:u w:val="single"/>
        </w:rPr>
        <w:t>Targets and deadlines</w:t>
      </w:r>
    </w:p>
    <w:p w14:paraId="2E53D681" w14:textId="77777777" w:rsidR="00800990" w:rsidRDefault="00800990" w:rsidP="00800990">
      <w:pPr>
        <w:pStyle w:val="ListParagraph"/>
        <w:ind w:left="360"/>
        <w:rPr>
          <w:color w:val="FF0000"/>
        </w:rPr>
      </w:pPr>
      <w:r>
        <w:rPr>
          <w:color w:val="FF0000"/>
        </w:rPr>
        <w:t>In favour or higher targets and shorter deadlines: Netherlands, Luxembourg</w:t>
      </w:r>
    </w:p>
    <w:p w14:paraId="6158EA01" w14:textId="77777777" w:rsidR="00800990" w:rsidRDefault="00800990" w:rsidP="00800990">
      <w:pPr>
        <w:pStyle w:val="ListParagraph"/>
        <w:ind w:left="360"/>
        <w:rPr>
          <w:color w:val="FF0000"/>
        </w:rPr>
      </w:pPr>
      <w:r>
        <w:rPr>
          <w:color w:val="FF0000"/>
        </w:rPr>
        <w:t>Believes that they are too ambitious: Czechia (deadlines), Lithuania, Greece</w:t>
      </w:r>
    </w:p>
    <w:p w14:paraId="2B160BB8" w14:textId="77777777" w:rsidR="00800990" w:rsidRDefault="00800990" w:rsidP="00800990">
      <w:pPr>
        <w:pStyle w:val="ListParagraph"/>
        <w:numPr>
          <w:ilvl w:val="0"/>
          <w:numId w:val="24"/>
        </w:numPr>
        <w:ind w:left="360"/>
        <w:rPr>
          <w:color w:val="FF0000"/>
          <w:u w:val="single"/>
        </w:rPr>
      </w:pPr>
      <w:r>
        <w:rPr>
          <w:color w:val="FF0000"/>
          <w:u w:val="single"/>
        </w:rPr>
        <w:t>Chemical recycling</w:t>
      </w:r>
    </w:p>
    <w:p w14:paraId="07CC6624" w14:textId="77777777" w:rsidR="00800990" w:rsidRDefault="00800990" w:rsidP="00800990">
      <w:pPr>
        <w:pStyle w:val="ListParagraph"/>
        <w:ind w:left="360"/>
        <w:rPr>
          <w:color w:val="FF0000"/>
        </w:rPr>
      </w:pPr>
      <w:r>
        <w:rPr>
          <w:color w:val="FF0000"/>
        </w:rPr>
        <w:t>In favour: Slovakia, Finland</w:t>
      </w:r>
    </w:p>
    <w:p w14:paraId="477733D1" w14:textId="77777777" w:rsidR="00800990" w:rsidRDefault="00800990" w:rsidP="00800990">
      <w:pPr>
        <w:pStyle w:val="ListParagraph"/>
        <w:numPr>
          <w:ilvl w:val="0"/>
          <w:numId w:val="24"/>
        </w:numPr>
        <w:ind w:left="360"/>
        <w:rPr>
          <w:color w:val="FF0000"/>
          <w:u w:val="single"/>
        </w:rPr>
      </w:pPr>
      <w:r>
        <w:rPr>
          <w:color w:val="FF0000"/>
          <w:u w:val="single"/>
        </w:rPr>
        <w:t>Food safety</w:t>
      </w:r>
    </w:p>
    <w:p w14:paraId="430BB05E" w14:textId="77777777" w:rsidR="00800990" w:rsidRDefault="00800990" w:rsidP="00800990">
      <w:pPr>
        <w:pStyle w:val="ListParagraph"/>
        <w:ind w:left="360"/>
        <w:rPr>
          <w:color w:val="FF0000"/>
        </w:rPr>
      </w:pPr>
      <w:r>
        <w:rPr>
          <w:color w:val="FF0000"/>
        </w:rPr>
        <w:t>Special mention to the need to preserve food safety: Italy, Latvia</w:t>
      </w:r>
    </w:p>
    <w:p w14:paraId="3279DF04" w14:textId="77777777" w:rsidR="00800990" w:rsidRDefault="00800990" w:rsidP="00800990">
      <w:pPr>
        <w:pStyle w:val="ListParagraph"/>
        <w:numPr>
          <w:ilvl w:val="0"/>
          <w:numId w:val="24"/>
        </w:numPr>
        <w:ind w:left="360"/>
        <w:rPr>
          <w:color w:val="FF0000"/>
          <w:u w:val="single"/>
        </w:rPr>
      </w:pPr>
      <w:r>
        <w:rPr>
          <w:color w:val="FF0000"/>
          <w:u w:val="single"/>
        </w:rPr>
        <w:t>Cost/burden for SMEs</w:t>
      </w:r>
    </w:p>
    <w:p w14:paraId="086D6044" w14:textId="77777777" w:rsidR="00800990" w:rsidRDefault="00800990" w:rsidP="00800990">
      <w:pPr>
        <w:pStyle w:val="ListParagraph"/>
        <w:ind w:left="360"/>
        <w:rPr>
          <w:color w:val="FF0000"/>
        </w:rPr>
      </w:pPr>
      <w:r>
        <w:rPr>
          <w:color w:val="FF0000"/>
        </w:rPr>
        <w:t>Special mention to the burden that the new rules would create for SMEs: Italy, Poland, Greece, Malta</w:t>
      </w:r>
    </w:p>
    <w:p w14:paraId="6712D2F0" w14:textId="77777777" w:rsidR="00800990" w:rsidRDefault="00800990" w:rsidP="00800990">
      <w:pPr>
        <w:pStyle w:val="ListParagraph"/>
        <w:numPr>
          <w:ilvl w:val="0"/>
          <w:numId w:val="24"/>
        </w:numPr>
        <w:ind w:left="360"/>
        <w:rPr>
          <w:color w:val="FF0000"/>
          <w:u w:val="single"/>
        </w:rPr>
      </w:pPr>
      <w:r>
        <w:rPr>
          <w:color w:val="FF0000"/>
          <w:u w:val="single"/>
        </w:rPr>
        <w:t>Delegated acts</w:t>
      </w:r>
    </w:p>
    <w:p w14:paraId="583330E8" w14:textId="77777777" w:rsidR="00800990" w:rsidRDefault="00800990" w:rsidP="00800990">
      <w:pPr>
        <w:pStyle w:val="ListParagraph"/>
        <w:ind w:left="360"/>
        <w:rPr>
          <w:color w:val="FF0000"/>
        </w:rPr>
      </w:pPr>
      <w:r>
        <w:rPr>
          <w:color w:val="FF0000"/>
        </w:rPr>
        <w:t>Doubtful on the number of delegated acts: Italy, Belgium, Czechia, Bulgaria, Slovenia</w:t>
      </w:r>
    </w:p>
    <w:p w14:paraId="3EE80774" w14:textId="77777777" w:rsidR="00800990" w:rsidRDefault="00800990" w:rsidP="00800990">
      <w:pPr>
        <w:pStyle w:val="ListParagraph"/>
        <w:numPr>
          <w:ilvl w:val="0"/>
          <w:numId w:val="24"/>
        </w:numPr>
        <w:ind w:left="360"/>
        <w:rPr>
          <w:color w:val="FF0000"/>
          <w:u w:val="single"/>
        </w:rPr>
      </w:pPr>
      <w:r>
        <w:rPr>
          <w:color w:val="FF0000"/>
          <w:u w:val="single"/>
        </w:rPr>
        <w:t>More</w:t>
      </w:r>
    </w:p>
    <w:p w14:paraId="6672B871" w14:textId="77777777" w:rsidR="00800990" w:rsidRDefault="00800990" w:rsidP="00800990">
      <w:pPr>
        <w:pStyle w:val="ListParagraph"/>
        <w:numPr>
          <w:ilvl w:val="0"/>
          <w:numId w:val="25"/>
        </w:numPr>
        <w:rPr>
          <w:color w:val="FF0000"/>
        </w:rPr>
      </w:pPr>
      <w:r>
        <w:rPr>
          <w:color w:val="FF0000"/>
        </w:rPr>
        <w:t>Italy askes to update the Commission’s Impact Assessment</w:t>
      </w:r>
    </w:p>
    <w:p w14:paraId="5A1AB5F2" w14:textId="77777777" w:rsidR="00800990" w:rsidRDefault="00800990" w:rsidP="00800990">
      <w:pPr>
        <w:pStyle w:val="ListParagraph"/>
        <w:numPr>
          <w:ilvl w:val="0"/>
          <w:numId w:val="25"/>
        </w:numPr>
        <w:rPr>
          <w:color w:val="FF0000"/>
        </w:rPr>
      </w:pPr>
      <w:r>
        <w:rPr>
          <w:color w:val="FF0000"/>
        </w:rPr>
        <w:t>Italy: no one-size-fits-all</w:t>
      </w:r>
    </w:p>
    <w:p w14:paraId="4DC2D829" w14:textId="77777777" w:rsidR="00800990" w:rsidRDefault="00800990" w:rsidP="00800990">
      <w:pPr>
        <w:pStyle w:val="ListParagraph"/>
        <w:numPr>
          <w:ilvl w:val="0"/>
          <w:numId w:val="25"/>
        </w:numPr>
        <w:rPr>
          <w:color w:val="FF0000"/>
        </w:rPr>
      </w:pPr>
      <w:r>
        <w:rPr>
          <w:color w:val="FF0000"/>
        </w:rPr>
        <w:t>Spain: sorted collection should be improved, as well as better recycling techniques</w:t>
      </w:r>
    </w:p>
    <w:p w14:paraId="46EB6F2A" w14:textId="77777777" w:rsidR="00800990" w:rsidRDefault="00800990" w:rsidP="00800990">
      <w:pPr>
        <w:pStyle w:val="ListParagraph"/>
        <w:numPr>
          <w:ilvl w:val="0"/>
          <w:numId w:val="25"/>
        </w:numPr>
        <w:rPr>
          <w:color w:val="FF0000"/>
        </w:rPr>
      </w:pPr>
      <w:r>
        <w:rPr>
          <w:color w:val="FF0000"/>
        </w:rPr>
        <w:t>France: packaging should be standardised</w:t>
      </w:r>
    </w:p>
    <w:p w14:paraId="51148908" w14:textId="77777777" w:rsidR="00800990" w:rsidRDefault="00800990" w:rsidP="00800990">
      <w:pPr>
        <w:pStyle w:val="ListParagraph"/>
        <w:numPr>
          <w:ilvl w:val="0"/>
          <w:numId w:val="25"/>
        </w:numPr>
        <w:rPr>
          <w:color w:val="FF0000"/>
        </w:rPr>
      </w:pPr>
      <w:r>
        <w:rPr>
          <w:color w:val="FF0000"/>
        </w:rPr>
        <w:t>France: certain types of packaging should be banned where alternatives exist</w:t>
      </w:r>
    </w:p>
    <w:p w14:paraId="1BD9CB87" w14:textId="77777777" w:rsidR="00800990" w:rsidRDefault="00800990" w:rsidP="00800990">
      <w:pPr>
        <w:pStyle w:val="ListParagraph"/>
        <w:numPr>
          <w:ilvl w:val="0"/>
          <w:numId w:val="25"/>
        </w:numPr>
        <w:rPr>
          <w:color w:val="FF0000"/>
        </w:rPr>
      </w:pPr>
      <w:r>
        <w:rPr>
          <w:color w:val="FF0000"/>
        </w:rPr>
        <w:t>Croatia: to properly assess all impacts of the proposal, this file should not be rushed</w:t>
      </w:r>
    </w:p>
    <w:p w14:paraId="0D61C8CC" w14:textId="77777777" w:rsidR="00800990" w:rsidRDefault="00800990" w:rsidP="00800990">
      <w:pPr>
        <w:pStyle w:val="ListParagraph"/>
        <w:numPr>
          <w:ilvl w:val="0"/>
          <w:numId w:val="25"/>
        </w:numPr>
        <w:rPr>
          <w:color w:val="FF0000"/>
        </w:rPr>
      </w:pPr>
      <w:r>
        <w:rPr>
          <w:color w:val="FF0000"/>
        </w:rPr>
        <w:t>Czechia: for effective implementation, at least 2 years are needed for adaptation</w:t>
      </w:r>
    </w:p>
    <w:p w14:paraId="7B60E9E9" w14:textId="77777777" w:rsidR="00800990" w:rsidRDefault="00800990" w:rsidP="00800990">
      <w:pPr>
        <w:pStyle w:val="ListParagraph"/>
        <w:numPr>
          <w:ilvl w:val="0"/>
          <w:numId w:val="25"/>
        </w:numPr>
        <w:rPr>
          <w:color w:val="FF0000"/>
        </w:rPr>
      </w:pPr>
      <w:r>
        <w:rPr>
          <w:color w:val="FF0000"/>
        </w:rPr>
        <w:t>Germany: the proposal could be more ambitious when it comes to recyclability</w:t>
      </w:r>
    </w:p>
    <w:p w14:paraId="4FFA8B80" w14:textId="77777777" w:rsidR="00800990" w:rsidRDefault="00800990" w:rsidP="00800990">
      <w:pPr>
        <w:pStyle w:val="ListParagraph"/>
        <w:numPr>
          <w:ilvl w:val="0"/>
          <w:numId w:val="25"/>
        </w:numPr>
        <w:rPr>
          <w:color w:val="FF0000"/>
        </w:rPr>
      </w:pPr>
      <w:r>
        <w:rPr>
          <w:color w:val="FF0000"/>
        </w:rPr>
        <w:t>Finland: the requirements for recycling at scale should be further specified and assessed in terms of appropriateness</w:t>
      </w:r>
    </w:p>
    <w:p w14:paraId="59C69114" w14:textId="77777777" w:rsidR="00800990" w:rsidRDefault="00800990" w:rsidP="00800990">
      <w:pPr>
        <w:pStyle w:val="ListParagraph"/>
        <w:numPr>
          <w:ilvl w:val="0"/>
          <w:numId w:val="25"/>
        </w:numPr>
        <w:rPr>
          <w:color w:val="FF0000"/>
        </w:rPr>
      </w:pPr>
      <w:r>
        <w:rPr>
          <w:color w:val="FF0000"/>
        </w:rPr>
        <w:t>Lithuania: recycling and reuse targets should not be contradictory; they could be set by the type of packaging and type of use</w:t>
      </w:r>
    </w:p>
    <w:p w14:paraId="31B89577" w14:textId="77777777" w:rsidR="00800990" w:rsidRDefault="00800990" w:rsidP="00800990">
      <w:pPr>
        <w:pStyle w:val="ListParagraph"/>
        <w:numPr>
          <w:ilvl w:val="0"/>
          <w:numId w:val="25"/>
        </w:numPr>
        <w:rPr>
          <w:color w:val="FF0000"/>
        </w:rPr>
      </w:pPr>
      <w:r>
        <w:rPr>
          <w:color w:val="FF0000"/>
        </w:rPr>
        <w:t>Ireland: consistency with other EU legislation is needed</w:t>
      </w:r>
    </w:p>
    <w:p w14:paraId="114AD0F9" w14:textId="77777777" w:rsidR="00800990" w:rsidRDefault="00800990" w:rsidP="00800990">
      <w:pPr>
        <w:pStyle w:val="ListParagraph"/>
        <w:numPr>
          <w:ilvl w:val="0"/>
          <w:numId w:val="25"/>
        </w:numPr>
        <w:rPr>
          <w:color w:val="FF0000"/>
        </w:rPr>
      </w:pPr>
      <w:r>
        <w:rPr>
          <w:color w:val="FF0000"/>
        </w:rPr>
        <w:t>Ireland: targets should be based on robust analysis and data</w:t>
      </w:r>
    </w:p>
    <w:p w14:paraId="7E3F92A8" w14:textId="77777777" w:rsidR="00800990" w:rsidRDefault="00800990" w:rsidP="00800990">
      <w:pPr>
        <w:pStyle w:val="ListParagraph"/>
        <w:numPr>
          <w:ilvl w:val="0"/>
          <w:numId w:val="25"/>
        </w:numPr>
        <w:rPr>
          <w:color w:val="FF0000"/>
        </w:rPr>
      </w:pPr>
      <w:r>
        <w:rPr>
          <w:color w:val="FF0000"/>
        </w:rPr>
        <w:t>Romania: the calculation methods have to be adopted before the deadlines and economic operators need to have transitional periods</w:t>
      </w:r>
    </w:p>
    <w:p w14:paraId="67EA2BB1" w14:textId="77777777" w:rsidR="00800990" w:rsidRDefault="00800990" w:rsidP="00800990">
      <w:pPr>
        <w:pStyle w:val="ListParagraph"/>
        <w:numPr>
          <w:ilvl w:val="0"/>
          <w:numId w:val="25"/>
        </w:numPr>
        <w:rPr>
          <w:color w:val="FF0000"/>
        </w:rPr>
      </w:pPr>
      <w:r>
        <w:rPr>
          <w:color w:val="FF0000"/>
        </w:rPr>
        <w:t>Latvia: the principle of proportionality should be applied to food packaging; this is vital in preventing the increase in food waste due to less substantial packaging</w:t>
      </w:r>
    </w:p>
    <w:p w14:paraId="1D9B1E76" w14:textId="77777777" w:rsidR="00800990" w:rsidRDefault="00800990" w:rsidP="00800990">
      <w:pPr>
        <w:pStyle w:val="ListParagraph"/>
        <w:numPr>
          <w:ilvl w:val="0"/>
          <w:numId w:val="25"/>
        </w:numPr>
        <w:rPr>
          <w:color w:val="FF0000"/>
        </w:rPr>
      </w:pPr>
      <w:r>
        <w:rPr>
          <w:color w:val="FF0000"/>
        </w:rPr>
        <w:t>Portugal: need to develop the infrastructure for collecting, sorting and recycling</w:t>
      </w:r>
    </w:p>
    <w:p w14:paraId="62EC63B1" w14:textId="77777777" w:rsidR="00800990" w:rsidRDefault="00800990" w:rsidP="00800990">
      <w:pPr>
        <w:pStyle w:val="ListParagraph"/>
        <w:numPr>
          <w:ilvl w:val="0"/>
          <w:numId w:val="25"/>
        </w:numPr>
        <w:rPr>
          <w:color w:val="FF0000"/>
        </w:rPr>
      </w:pPr>
      <w:r>
        <w:rPr>
          <w:color w:val="FF0000"/>
        </w:rPr>
        <w:lastRenderedPageBreak/>
        <w:t>Portugal: having rates of minimum recycled content in plastic packaging is good to boost the demand for secondary raw materials; however, the amount available does not match the demand</w:t>
      </w:r>
    </w:p>
    <w:p w14:paraId="21B95A70" w14:textId="77777777" w:rsidR="00800990" w:rsidRDefault="00800990" w:rsidP="00800990">
      <w:pPr>
        <w:pStyle w:val="ListParagraph"/>
        <w:numPr>
          <w:ilvl w:val="0"/>
          <w:numId w:val="25"/>
        </w:numPr>
        <w:rPr>
          <w:color w:val="FF0000"/>
        </w:rPr>
      </w:pPr>
      <w:r>
        <w:rPr>
          <w:color w:val="FF0000"/>
        </w:rPr>
        <w:t>Luxembourg: it is paramount that these rules would lead to more sustainable solutions</w:t>
      </w:r>
    </w:p>
    <w:p w14:paraId="5ECF4C0F" w14:textId="77777777" w:rsidR="00800990" w:rsidRDefault="00800990" w:rsidP="00800990">
      <w:pPr>
        <w:pStyle w:val="ListParagraph"/>
        <w:numPr>
          <w:ilvl w:val="0"/>
          <w:numId w:val="25"/>
        </w:numPr>
        <w:rPr>
          <w:color w:val="FF0000"/>
        </w:rPr>
      </w:pPr>
      <w:r>
        <w:rPr>
          <w:color w:val="FF0000"/>
        </w:rPr>
        <w:t>Greece: the recycled plastic target is impossible to achieve (60% by 2040)</w:t>
      </w:r>
    </w:p>
    <w:p w14:paraId="51A5BF54" w14:textId="77777777" w:rsidR="00800990" w:rsidRDefault="00800990" w:rsidP="00800990">
      <w:pPr>
        <w:pStyle w:val="ListParagraph"/>
        <w:numPr>
          <w:ilvl w:val="0"/>
          <w:numId w:val="25"/>
        </w:numPr>
        <w:rPr>
          <w:color w:val="FF0000"/>
        </w:rPr>
      </w:pPr>
      <w:r>
        <w:rPr>
          <w:color w:val="FF0000"/>
        </w:rPr>
        <w:t>Bulgaria, Romania: against “per unit” target for recycled content</w:t>
      </w:r>
    </w:p>
    <w:p w14:paraId="5EA9D839" w14:textId="77777777" w:rsidR="00800990" w:rsidRDefault="00800990" w:rsidP="00800990">
      <w:pPr>
        <w:pStyle w:val="ListParagraph"/>
        <w:numPr>
          <w:ilvl w:val="0"/>
          <w:numId w:val="25"/>
        </w:numPr>
        <w:rPr>
          <w:color w:val="FF0000"/>
        </w:rPr>
      </w:pPr>
      <w:r>
        <w:rPr>
          <w:color w:val="FF0000"/>
        </w:rPr>
        <w:t>Bulgaria: in favour of priority access to recycled materials for food packaging</w:t>
      </w:r>
    </w:p>
    <w:p w14:paraId="34D8F353" w14:textId="77777777" w:rsidR="00800990" w:rsidRDefault="00800990" w:rsidP="00800990">
      <w:pPr>
        <w:pStyle w:val="ListParagraph"/>
        <w:numPr>
          <w:ilvl w:val="0"/>
          <w:numId w:val="25"/>
        </w:numPr>
        <w:rPr>
          <w:rStyle w:val="Strong"/>
        </w:rPr>
      </w:pPr>
      <w:r>
        <w:rPr>
          <w:color w:val="FF0000"/>
        </w:rPr>
        <w:t>Slovenia: concerned that environmental matters would be “subordinated” to issues linked to the internal market</w:t>
      </w:r>
    </w:p>
    <w:p w14:paraId="655BAAF5" w14:textId="77777777" w:rsidR="00A70DD0" w:rsidRPr="00C64D77" w:rsidRDefault="00A70DD0" w:rsidP="00C64D77">
      <w:pPr>
        <w:jc w:val="both"/>
        <w:rPr>
          <w:sz w:val="22"/>
        </w:rPr>
        <w:sectPr w:rsidR="00A70DD0" w:rsidRPr="00C64D77" w:rsidSect="003F7AC3">
          <w:headerReference w:type="even" r:id="rId11"/>
          <w:headerReference w:type="default" r:id="rId12"/>
          <w:footerReference w:type="even" r:id="rId13"/>
          <w:footerReference w:type="default" r:id="rId14"/>
          <w:headerReference w:type="first" r:id="rId15"/>
          <w:footerReference w:type="first" r:id="rId16"/>
          <w:pgSz w:w="11900" w:h="16840"/>
          <w:pgMar w:top="2410" w:right="1134" w:bottom="1440" w:left="1134" w:header="907" w:footer="397" w:gutter="0"/>
          <w:cols w:space="708"/>
          <w:titlePg/>
          <w:docGrid w:linePitch="360"/>
        </w:sectPr>
      </w:pPr>
    </w:p>
    <w:p w14:paraId="779270D4" w14:textId="0F6C0540" w:rsidR="00A70DD0" w:rsidRDefault="00A70DD0" w:rsidP="00A70DD0">
      <w:r>
        <w:rPr>
          <w:noProof/>
        </w:rPr>
        <w:lastRenderedPageBreak/>
        <w:drawing>
          <wp:anchor distT="0" distB="0" distL="114300" distR="114300" simplePos="0" relativeHeight="251658240" behindDoc="0" locked="0" layoutInCell="1" allowOverlap="1" wp14:anchorId="3316DA8A" wp14:editId="2026F97F">
            <wp:simplePos x="0" y="0"/>
            <wp:positionH relativeFrom="page">
              <wp:posOffset>9525</wp:posOffset>
            </wp:positionH>
            <wp:positionV relativeFrom="margin">
              <wp:posOffset>-369570</wp:posOffset>
            </wp:positionV>
            <wp:extent cx="10690225" cy="5657850"/>
            <wp:effectExtent l="0" t="0" r="0" b="0"/>
            <wp:wrapSquare wrapText="bothSides"/>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graphical user interfac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23962" t="23763" r="8302" b="12511"/>
                    <a:stretch>
                      <a:fillRect/>
                    </a:stretch>
                  </pic:blipFill>
                  <pic:spPr bwMode="auto">
                    <a:xfrm>
                      <a:off x="0" y="0"/>
                      <a:ext cx="10690225" cy="5657850"/>
                    </a:xfrm>
                    <a:prstGeom prst="rect">
                      <a:avLst/>
                    </a:prstGeom>
                    <a:noFill/>
                  </pic:spPr>
                </pic:pic>
              </a:graphicData>
            </a:graphic>
            <wp14:sizeRelH relativeFrom="margin">
              <wp14:pctWidth>0</wp14:pctWidth>
            </wp14:sizeRelH>
            <wp14:sizeRelV relativeFrom="margin">
              <wp14:pctHeight>0</wp14:pctHeight>
            </wp14:sizeRelV>
          </wp:anchor>
        </w:drawing>
      </w:r>
    </w:p>
    <w:sectPr w:rsidR="00A70DD0" w:rsidSect="003F7AC3">
      <w:pgSz w:w="16840" w:h="11900" w:orient="landscape"/>
      <w:pgMar w:top="1440" w:right="2410" w:bottom="1440" w:left="1440" w:header="90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571F" w14:textId="77777777" w:rsidR="00BD1314" w:rsidRDefault="00BD1314" w:rsidP="00144D9D">
      <w:pPr>
        <w:spacing w:line="240" w:lineRule="auto"/>
      </w:pPr>
      <w:r>
        <w:separator/>
      </w:r>
    </w:p>
    <w:p w14:paraId="4B5B46FC" w14:textId="77777777" w:rsidR="00BD1314" w:rsidRDefault="00BD1314"/>
  </w:endnote>
  <w:endnote w:type="continuationSeparator" w:id="0">
    <w:p w14:paraId="44CEC189" w14:textId="77777777" w:rsidR="00BD1314" w:rsidRDefault="00BD1314" w:rsidP="00144D9D">
      <w:pPr>
        <w:spacing w:line="240" w:lineRule="auto"/>
      </w:pPr>
      <w:r>
        <w:continuationSeparator/>
      </w:r>
    </w:p>
    <w:p w14:paraId="4AE38B59" w14:textId="77777777" w:rsidR="00BD1314" w:rsidRDefault="00BD1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364230"/>
      <w:docPartObj>
        <w:docPartGallery w:val="Page Numbers (Bottom of Page)"/>
        <w:docPartUnique/>
      </w:docPartObj>
    </w:sdtPr>
    <w:sdtEndPr>
      <w:rPr>
        <w:rStyle w:val="PageNumber"/>
      </w:rPr>
    </w:sdtEndPr>
    <w:sdtContent>
      <w:p w14:paraId="1580BD4C" w14:textId="77777777" w:rsidR="00095C3A" w:rsidRDefault="00095C3A" w:rsidP="00057C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AB6CC" w14:textId="77777777" w:rsidR="003823CD" w:rsidRDefault="003823CD" w:rsidP="00095C3A">
    <w:pPr>
      <w:pStyle w:val="Footer"/>
      <w:ind w:right="360"/>
    </w:pPr>
  </w:p>
  <w:p w14:paraId="75736DB3" w14:textId="77777777" w:rsidR="00057CA9" w:rsidRDefault="00057C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F2DE" w14:textId="61AD875E" w:rsidR="00057CA9" w:rsidRPr="003F7AC3" w:rsidRDefault="003F7AC3" w:rsidP="003F7AC3">
    <w:pPr>
      <w:pStyle w:val="Footer"/>
      <w:jc w:val="right"/>
      <w:rPr>
        <w:rFonts w:ascii="Arial" w:hAnsi="Arial" w:cs="Arial"/>
        <w:color w:val="333399"/>
        <w:sz w:val="18"/>
      </w:rPr>
    </w:pPr>
    <w:r w:rsidRPr="003F7AC3">
      <w:rPr>
        <w:rFonts w:ascii="Arial" w:hAnsi="Arial" w:cs="Arial"/>
        <w:color w:val="333399"/>
        <w:sz w:val="18"/>
      </w:rPr>
      <w:fldChar w:fldCharType="begin"/>
    </w:r>
    <w:r w:rsidRPr="003F7AC3">
      <w:rPr>
        <w:rFonts w:ascii="Arial" w:hAnsi="Arial" w:cs="Arial"/>
        <w:color w:val="333399"/>
        <w:sz w:val="18"/>
      </w:rPr>
      <w:instrText xml:space="preserve"> PAGE \* MERGEFORMAT </w:instrText>
    </w:r>
    <w:r w:rsidRPr="003F7AC3">
      <w:rPr>
        <w:rFonts w:ascii="Arial" w:hAnsi="Arial" w:cs="Arial"/>
        <w:color w:val="333399"/>
        <w:sz w:val="18"/>
      </w:rPr>
      <w:fldChar w:fldCharType="separate"/>
    </w:r>
    <w:r w:rsidRPr="003F7AC3">
      <w:rPr>
        <w:rFonts w:ascii="Arial" w:hAnsi="Arial" w:cs="Arial"/>
        <w:noProof/>
        <w:color w:val="333399"/>
        <w:sz w:val="18"/>
      </w:rPr>
      <w:t>2</w:t>
    </w:r>
    <w:r w:rsidRPr="003F7AC3">
      <w:rPr>
        <w:rFonts w:ascii="Arial" w:hAnsi="Arial" w:cs="Arial"/>
        <w:color w:val="333399"/>
        <w:sz w:val="18"/>
      </w:rPr>
      <w:fldChar w:fldCharType="end"/>
    </w:r>
    <w:r w:rsidRPr="003F7AC3">
      <w:rPr>
        <w:rFonts w:ascii="Arial" w:hAnsi="Arial" w:cs="Arial"/>
        <w:color w:val="333399"/>
        <w:sz w:val="18"/>
      </w:rPr>
      <w:t>/</w:t>
    </w:r>
    <w:r w:rsidRPr="003F7AC3">
      <w:rPr>
        <w:rFonts w:ascii="Arial" w:hAnsi="Arial" w:cs="Arial"/>
        <w:color w:val="333399"/>
        <w:sz w:val="18"/>
      </w:rPr>
      <w:fldChar w:fldCharType="begin"/>
    </w:r>
    <w:r w:rsidRPr="003F7AC3">
      <w:rPr>
        <w:rFonts w:ascii="Arial" w:hAnsi="Arial" w:cs="Arial"/>
        <w:color w:val="333399"/>
        <w:sz w:val="18"/>
      </w:rPr>
      <w:instrText xml:space="preserve"> NUMPAGES \* MERGEFORMAT </w:instrText>
    </w:r>
    <w:r w:rsidRPr="003F7AC3">
      <w:rPr>
        <w:rFonts w:ascii="Arial" w:hAnsi="Arial" w:cs="Arial"/>
        <w:color w:val="333399"/>
        <w:sz w:val="18"/>
      </w:rPr>
      <w:fldChar w:fldCharType="separate"/>
    </w:r>
    <w:r w:rsidRPr="003F7AC3">
      <w:rPr>
        <w:rFonts w:ascii="Arial" w:hAnsi="Arial" w:cs="Arial"/>
        <w:noProof/>
        <w:color w:val="333399"/>
        <w:sz w:val="18"/>
      </w:rPr>
      <w:t>5</w:t>
    </w:r>
    <w:r w:rsidRPr="003F7AC3">
      <w:rPr>
        <w:rFonts w:ascii="Arial" w:hAnsi="Arial" w:cs="Arial"/>
        <w:color w:val="333399"/>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B5D0" w14:textId="77777777" w:rsidR="003F7AC3" w:rsidRPr="003F7AC3" w:rsidRDefault="003F7AC3" w:rsidP="003F7AC3">
    <w:pPr>
      <w:pStyle w:val="Footer"/>
      <w:rPr>
        <w:rFonts w:ascii="Arial" w:hAnsi="Arial" w:cs="Arial"/>
        <w:color w:val="333399"/>
        <w:sz w:val="18"/>
      </w:rPr>
    </w:pPr>
    <w:r w:rsidRPr="003F7AC3">
      <w:rPr>
        <w:rFonts w:ascii="Arial" w:hAnsi="Arial" w:cs="Arial"/>
        <w:color w:val="333399"/>
        <w:sz w:val="18"/>
      </w:rPr>
      <w:t>© FoodDrinkEurope aisbl - Avenue des Nerviens 9-31 - 1040 Brussels – BELGIUM - Tel. +32 2 514 11 11</w:t>
    </w:r>
  </w:p>
  <w:p w14:paraId="55F7D77F" w14:textId="10C4B519" w:rsidR="003823CD" w:rsidRPr="003F7AC3" w:rsidRDefault="003F7AC3" w:rsidP="003F7AC3">
    <w:pPr>
      <w:pStyle w:val="Footer"/>
      <w:rPr>
        <w:rFonts w:ascii="Arial" w:hAnsi="Arial" w:cs="Arial"/>
        <w:color w:val="333399"/>
        <w:sz w:val="18"/>
      </w:rPr>
    </w:pPr>
    <w:r w:rsidRPr="003F7AC3">
      <w:rPr>
        <w:rFonts w:ascii="Arial" w:hAnsi="Arial" w:cs="Arial"/>
        <w:color w:val="333399"/>
        <w:sz w:val="18"/>
      </w:rPr>
      <w:t>info@fooddrinkeurope.eu - www.fooddrinkeurope.eu - ETI Register 75818824519-45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9468" w14:textId="77777777" w:rsidR="00BD1314" w:rsidRDefault="00BD1314" w:rsidP="00144D9D">
      <w:pPr>
        <w:spacing w:line="240" w:lineRule="auto"/>
      </w:pPr>
      <w:r>
        <w:separator/>
      </w:r>
    </w:p>
    <w:p w14:paraId="5E6C0EC1" w14:textId="77777777" w:rsidR="00BD1314" w:rsidRDefault="00BD1314"/>
  </w:footnote>
  <w:footnote w:type="continuationSeparator" w:id="0">
    <w:p w14:paraId="0A32F583" w14:textId="77777777" w:rsidR="00BD1314" w:rsidRDefault="00BD1314" w:rsidP="00144D9D">
      <w:pPr>
        <w:spacing w:line="240" w:lineRule="auto"/>
      </w:pPr>
      <w:r>
        <w:continuationSeparator/>
      </w:r>
    </w:p>
    <w:p w14:paraId="60015205" w14:textId="77777777" w:rsidR="00BD1314" w:rsidRDefault="00BD1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AF36" w14:textId="77777777" w:rsidR="003F7AC3" w:rsidRDefault="003F7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811"/>
      <w:gridCol w:w="4811"/>
    </w:tblGrid>
    <w:tr w:rsidR="00A877EF" w:rsidRPr="00A877EF" w14:paraId="754B1EF2" w14:textId="77777777" w:rsidTr="00A877EF">
      <w:tc>
        <w:tcPr>
          <w:tcW w:w="4811" w:type="dxa"/>
          <w:tcBorders>
            <w:top w:val="nil"/>
            <w:left w:val="nil"/>
            <w:bottom w:val="nil"/>
            <w:right w:val="nil"/>
          </w:tcBorders>
          <w:shd w:val="clear" w:color="auto" w:fill="auto"/>
        </w:tcPr>
        <w:p w14:paraId="2B5AFFB9" w14:textId="77777777" w:rsidR="00A877EF" w:rsidRPr="00A877EF" w:rsidRDefault="00A877EF" w:rsidP="00A877EF">
          <w:pPr>
            <w:pStyle w:val="Header"/>
            <w:jc w:val="right"/>
            <w:rPr>
              <w:rFonts w:ascii="Arial" w:hAnsi="Arial" w:cs="Arial"/>
              <w:sz w:val="18"/>
            </w:rPr>
          </w:pPr>
        </w:p>
      </w:tc>
      <w:tc>
        <w:tcPr>
          <w:tcW w:w="4811" w:type="dxa"/>
          <w:tcBorders>
            <w:top w:val="nil"/>
            <w:left w:val="nil"/>
            <w:bottom w:val="nil"/>
            <w:right w:val="nil"/>
          </w:tcBorders>
          <w:shd w:val="clear" w:color="auto" w:fill="auto"/>
        </w:tcPr>
        <w:p w14:paraId="0BB04089" w14:textId="77777777" w:rsidR="00A877EF" w:rsidRPr="00A877EF" w:rsidRDefault="00A877EF" w:rsidP="00A877EF">
          <w:pPr>
            <w:pStyle w:val="Header"/>
            <w:jc w:val="right"/>
            <w:rPr>
              <w:rFonts w:ascii="Arial" w:hAnsi="Arial" w:cs="Arial"/>
              <w:color w:val="000000"/>
              <w:sz w:val="18"/>
            </w:rPr>
          </w:pPr>
          <w:r w:rsidRPr="00A877EF">
            <w:rPr>
              <w:rFonts w:ascii="Arial" w:hAnsi="Arial" w:cs="Arial"/>
              <w:noProof/>
              <w:sz w:val="18"/>
            </w:rPr>
            <w:drawing>
              <wp:inline distT="0" distB="0" distL="0" distR="0" wp14:anchorId="71FFFCBC" wp14:editId="1A22A665">
                <wp:extent cx="1395987" cy="697993"/>
                <wp:effectExtent l="0" t="0" r="0" b="6985"/>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7205AC20" w14:textId="77777777" w:rsidR="00A877EF" w:rsidRPr="00A877EF" w:rsidRDefault="00A877EF" w:rsidP="00A877EF">
          <w:pPr>
            <w:pStyle w:val="Header"/>
            <w:jc w:val="right"/>
            <w:rPr>
              <w:rFonts w:ascii="Arial" w:hAnsi="Arial" w:cs="Arial"/>
              <w:color w:val="000000"/>
              <w:sz w:val="18"/>
            </w:rPr>
          </w:pPr>
        </w:p>
        <w:p w14:paraId="5D1121D0" w14:textId="5EA933BF" w:rsidR="00A877EF" w:rsidRPr="00A877EF" w:rsidRDefault="00A877EF" w:rsidP="00A877EF">
          <w:pPr>
            <w:pStyle w:val="Header"/>
            <w:jc w:val="right"/>
            <w:rPr>
              <w:rFonts w:ascii="Arial" w:hAnsi="Arial" w:cs="Arial"/>
              <w:color w:val="000000"/>
              <w:sz w:val="18"/>
            </w:rPr>
          </w:pPr>
          <w:r w:rsidRPr="00A877EF">
            <w:rPr>
              <w:rFonts w:ascii="Arial" w:hAnsi="Arial" w:cs="Arial"/>
              <w:color w:val="000000"/>
              <w:sz w:val="18"/>
            </w:rPr>
            <w:t>ENVI/CIRCECON/012/23E</w:t>
          </w:r>
        </w:p>
      </w:tc>
    </w:tr>
  </w:tbl>
  <w:p w14:paraId="302A8CF8" w14:textId="697C0F9A" w:rsidR="00057CA9" w:rsidRPr="00A877EF" w:rsidRDefault="00057CA9" w:rsidP="00A877EF">
    <w:pPr>
      <w:pStyle w:val="Header"/>
      <w:jc w:val="right"/>
      <w:rPr>
        <w:rFonts w:ascii="Arial" w:hAnsi="Arial" w:cs="Arial"/>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811"/>
      <w:gridCol w:w="4811"/>
    </w:tblGrid>
    <w:tr w:rsidR="00A877EF" w:rsidRPr="00A877EF" w14:paraId="5740FC7B" w14:textId="77777777" w:rsidTr="00A877EF">
      <w:tc>
        <w:tcPr>
          <w:tcW w:w="4811" w:type="dxa"/>
          <w:tcBorders>
            <w:top w:val="nil"/>
            <w:left w:val="nil"/>
            <w:bottom w:val="nil"/>
            <w:right w:val="nil"/>
          </w:tcBorders>
          <w:shd w:val="clear" w:color="auto" w:fill="auto"/>
        </w:tcPr>
        <w:p w14:paraId="0253530B" w14:textId="77777777" w:rsidR="00A877EF" w:rsidRPr="00A877EF" w:rsidRDefault="00A877EF" w:rsidP="00A877EF">
          <w:pPr>
            <w:pStyle w:val="Header"/>
            <w:jc w:val="right"/>
            <w:rPr>
              <w:rFonts w:ascii="Arial" w:hAnsi="Arial" w:cs="Arial"/>
              <w:sz w:val="18"/>
            </w:rPr>
          </w:pPr>
        </w:p>
      </w:tc>
      <w:tc>
        <w:tcPr>
          <w:tcW w:w="4811" w:type="dxa"/>
          <w:tcBorders>
            <w:top w:val="nil"/>
            <w:left w:val="nil"/>
            <w:bottom w:val="nil"/>
            <w:right w:val="nil"/>
          </w:tcBorders>
          <w:shd w:val="clear" w:color="auto" w:fill="auto"/>
        </w:tcPr>
        <w:p w14:paraId="4871C610" w14:textId="77777777" w:rsidR="00A877EF" w:rsidRPr="00A877EF" w:rsidRDefault="00A877EF" w:rsidP="00A877EF">
          <w:pPr>
            <w:pStyle w:val="Header"/>
            <w:jc w:val="right"/>
            <w:rPr>
              <w:rFonts w:ascii="Arial" w:hAnsi="Arial" w:cs="Arial"/>
              <w:color w:val="000000"/>
              <w:sz w:val="18"/>
            </w:rPr>
          </w:pPr>
          <w:r w:rsidRPr="00A877EF">
            <w:rPr>
              <w:rFonts w:ascii="Arial" w:hAnsi="Arial" w:cs="Arial"/>
              <w:noProof/>
              <w:sz w:val="18"/>
            </w:rPr>
            <w:drawing>
              <wp:inline distT="0" distB="0" distL="0" distR="0" wp14:anchorId="63AA741D" wp14:editId="11D9D441">
                <wp:extent cx="1395987" cy="697993"/>
                <wp:effectExtent l="0" t="0" r="0" b="6985"/>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95987" cy="697993"/>
                        </a:xfrm>
                        <a:prstGeom prst="rect">
                          <a:avLst/>
                        </a:prstGeom>
                      </pic:spPr>
                    </pic:pic>
                  </a:graphicData>
                </a:graphic>
              </wp:inline>
            </w:drawing>
          </w:r>
        </w:p>
        <w:p w14:paraId="4CB1BB2B" w14:textId="77777777" w:rsidR="00A877EF" w:rsidRPr="00A877EF" w:rsidRDefault="00A877EF" w:rsidP="00A877EF">
          <w:pPr>
            <w:pStyle w:val="Header"/>
            <w:jc w:val="right"/>
            <w:rPr>
              <w:rFonts w:ascii="Arial" w:hAnsi="Arial" w:cs="Arial"/>
              <w:color w:val="000000"/>
              <w:sz w:val="18"/>
            </w:rPr>
          </w:pPr>
        </w:p>
        <w:p w14:paraId="51A58DE2" w14:textId="5966404E" w:rsidR="00A877EF" w:rsidRPr="00A877EF" w:rsidRDefault="00A877EF" w:rsidP="00A877EF">
          <w:pPr>
            <w:pStyle w:val="Header"/>
            <w:jc w:val="right"/>
            <w:rPr>
              <w:rFonts w:ascii="Arial" w:hAnsi="Arial" w:cs="Arial"/>
              <w:color w:val="000000"/>
              <w:sz w:val="18"/>
            </w:rPr>
          </w:pPr>
          <w:r w:rsidRPr="00A877EF">
            <w:rPr>
              <w:rFonts w:ascii="Arial" w:hAnsi="Arial" w:cs="Arial"/>
              <w:color w:val="000000"/>
              <w:sz w:val="18"/>
            </w:rPr>
            <w:t>ENVI/CIRCECON/012/23E</w:t>
          </w:r>
        </w:p>
      </w:tc>
    </w:tr>
  </w:tbl>
  <w:p w14:paraId="5E798F92" w14:textId="77777777" w:rsidR="003823CD" w:rsidRPr="00A877EF" w:rsidRDefault="003823CD" w:rsidP="00A877EF">
    <w:pPr>
      <w:pStyle w:val="Header"/>
      <w:jc w:val="right"/>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2A1A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A41A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5A3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F6C8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762E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F42C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50B3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8B6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5453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E699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07D54"/>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9B4295"/>
    <w:multiLevelType w:val="multilevel"/>
    <w:tmpl w:val="E970ECBC"/>
    <w:styleLink w:val="BulletListLevels"/>
    <w:lvl w:ilvl="0">
      <w:start w:val="1"/>
      <w:numFmt w:val="bullet"/>
      <w:pStyle w:val="Bulletlist"/>
      <w:lvlText w:val=""/>
      <w:lvlJc w:val="left"/>
      <w:pPr>
        <w:ind w:left="890" w:hanging="170"/>
      </w:pPr>
      <w:rPr>
        <w:rFonts w:ascii="Symbol" w:hAnsi="Symbol" w:hint="default"/>
        <w:b w:val="0"/>
        <w:i w:val="0"/>
        <w:color w:val="DD492F" w:themeColor="accent2"/>
        <w:sz w:val="16"/>
      </w:rPr>
    </w:lvl>
    <w:lvl w:ilvl="1">
      <w:start w:val="1"/>
      <w:numFmt w:val="bullet"/>
      <w:lvlText w:val=""/>
      <w:lvlJc w:val="left"/>
      <w:pPr>
        <w:ind w:left="1364" w:hanging="360"/>
      </w:pPr>
      <w:rPr>
        <w:rFonts w:ascii="Symbol" w:hAnsi="Symbol" w:hint="default"/>
        <w:color w:val="DD492F" w:themeColor="accent2"/>
        <w:sz w:val="16"/>
      </w:rPr>
    </w:lvl>
    <w:lvl w:ilvl="2">
      <w:start w:val="1"/>
      <w:numFmt w:val="bullet"/>
      <w:lvlText w:val=""/>
      <w:lvlJc w:val="left"/>
      <w:pPr>
        <w:ind w:left="1648" w:hanging="360"/>
      </w:pPr>
      <w:rPr>
        <w:rFonts w:ascii="Symbol" w:hAnsi="Symbol" w:hint="default"/>
        <w:color w:val="DD492F" w:themeColor="accent2"/>
        <w:sz w:val="16"/>
      </w:rPr>
    </w:lvl>
    <w:lvl w:ilvl="3">
      <w:start w:val="1"/>
      <w:numFmt w:val="bullet"/>
      <w:lvlText w:val=""/>
      <w:lvlJc w:val="left"/>
      <w:pPr>
        <w:ind w:left="2041" w:hanging="397"/>
      </w:pPr>
      <w:rPr>
        <w:rFonts w:ascii="Symbol" w:hAnsi="Symbol" w:hint="default"/>
        <w:color w:val="DD492F" w:themeColor="accent2"/>
        <w:sz w:val="16"/>
      </w:rPr>
    </w:lvl>
    <w:lvl w:ilvl="4">
      <w:start w:val="1"/>
      <w:numFmt w:val="bullet"/>
      <w:lvlText w:val=""/>
      <w:lvlJc w:val="left"/>
      <w:pPr>
        <w:ind w:left="2892" w:hanging="624"/>
      </w:pPr>
      <w:rPr>
        <w:rFonts w:ascii="Symbol" w:hAnsi="Symbol" w:hint="default"/>
        <w:color w:val="DD492F" w:themeColor="accent2"/>
        <w:sz w:val="16"/>
      </w:rPr>
    </w:lvl>
    <w:lvl w:ilvl="5">
      <w:start w:val="1"/>
      <w:numFmt w:val="bullet"/>
      <w:lvlText w:val=""/>
      <w:lvlJc w:val="left"/>
      <w:pPr>
        <w:ind w:left="5040" w:hanging="360"/>
      </w:pPr>
      <w:rPr>
        <w:rFonts w:ascii="Wingdings" w:hAnsi="Wingdings" w:hint="default"/>
        <w:color w:val="DD492F" w:themeColor="accent2"/>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D03669B"/>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771E13"/>
    <w:multiLevelType w:val="hybridMultilevel"/>
    <w:tmpl w:val="2A60EAE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16A31621"/>
    <w:multiLevelType w:val="multilevel"/>
    <w:tmpl w:val="E970ECBC"/>
    <w:numStyleLink w:val="BulletListLevels"/>
  </w:abstractNum>
  <w:abstractNum w:abstractNumId="15" w15:restartNumberingAfterBreak="0">
    <w:nsid w:val="18621407"/>
    <w:multiLevelType w:val="multilevel"/>
    <w:tmpl w:val="E970ECBC"/>
    <w:numStyleLink w:val="BulletListLevels"/>
  </w:abstractNum>
  <w:abstractNum w:abstractNumId="16" w15:restartNumberingAfterBreak="0">
    <w:nsid w:val="21712481"/>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3E7D52"/>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801E8F"/>
    <w:multiLevelType w:val="multilevel"/>
    <w:tmpl w:val="193432D6"/>
    <w:lvl w:ilvl="0">
      <w:start w:val="1"/>
      <w:numFmt w:val="bullet"/>
      <w:lvlText w:val=""/>
      <w:lvlJc w:val="left"/>
      <w:pPr>
        <w:ind w:left="170" w:hanging="170"/>
      </w:pPr>
      <w:rPr>
        <w:rFonts w:ascii="Symbol" w:hAnsi="Symbol" w:hint="default"/>
        <w:b w:val="0"/>
        <w:i w:val="0"/>
        <w:color w:val="DD492F" w:themeColor="accent2"/>
        <w:sz w:val="16"/>
      </w:rPr>
    </w:lvl>
    <w:lvl w:ilvl="1">
      <w:start w:val="1"/>
      <w:numFmt w:val="bullet"/>
      <w:lvlText w:val=""/>
      <w:lvlJc w:val="left"/>
      <w:pPr>
        <w:ind w:left="644" w:hanging="360"/>
      </w:pPr>
      <w:rPr>
        <w:rFonts w:ascii="Symbol" w:hAnsi="Symbol" w:hint="default"/>
        <w:color w:val="E3981C" w:themeColor="accent1"/>
      </w:rPr>
    </w:lvl>
    <w:lvl w:ilvl="2">
      <w:start w:val="1"/>
      <w:numFmt w:val="bullet"/>
      <w:lvlText w:val=""/>
      <w:lvlJc w:val="left"/>
      <w:pPr>
        <w:ind w:left="928" w:hanging="360"/>
      </w:pPr>
      <w:rPr>
        <w:rFonts w:ascii="Symbol" w:hAnsi="Symbol" w:hint="default"/>
        <w:color w:val="E3981C" w:themeColor="accen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B53E4C"/>
    <w:multiLevelType w:val="multilevel"/>
    <w:tmpl w:val="9CE810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D20B6E"/>
    <w:multiLevelType w:val="hybridMultilevel"/>
    <w:tmpl w:val="4766960E"/>
    <w:lvl w:ilvl="0" w:tplc="2000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65F10E3B"/>
    <w:multiLevelType w:val="multilevel"/>
    <w:tmpl w:val="E970ECBC"/>
    <w:numStyleLink w:val="BulletListLevels"/>
  </w:abstractNum>
  <w:abstractNum w:abstractNumId="22" w15:restartNumberingAfterBreak="0">
    <w:nsid w:val="66EE176C"/>
    <w:multiLevelType w:val="multilevel"/>
    <w:tmpl w:val="E970ECBC"/>
    <w:numStyleLink w:val="BulletListLevels"/>
  </w:abstractNum>
  <w:abstractNum w:abstractNumId="23" w15:restartNumberingAfterBreak="0">
    <w:nsid w:val="7AF54CD9"/>
    <w:multiLevelType w:val="hybridMultilevel"/>
    <w:tmpl w:val="833C23DA"/>
    <w:lvl w:ilvl="0" w:tplc="CC626376">
      <w:start w:val="1"/>
      <w:numFmt w:val="bullet"/>
      <w:lvlText w:val=""/>
      <w:lvlJc w:val="left"/>
      <w:pPr>
        <w:ind w:left="170" w:hanging="170"/>
      </w:pPr>
      <w:rPr>
        <w:rFonts w:ascii="Symbol" w:hAnsi="Symbol" w:hint="default"/>
        <w:b w:val="0"/>
        <w:i w:val="0"/>
        <w:color w:val="DD492F" w:themeColor="accent2"/>
        <w:sz w:val="16"/>
      </w:rPr>
    </w:lvl>
    <w:lvl w:ilvl="1" w:tplc="BA7CCE9A">
      <w:start w:val="1"/>
      <w:numFmt w:val="bullet"/>
      <w:pStyle w:val="Style1"/>
      <w:lvlText w:val=""/>
      <w:lvlJc w:val="left"/>
      <w:pPr>
        <w:ind w:left="644" w:hanging="360"/>
      </w:pPr>
      <w:rPr>
        <w:rFonts w:ascii="Symbol" w:hAnsi="Symbol" w:hint="default"/>
        <w:color w:val="E3981C" w:themeColor="accent1"/>
      </w:rPr>
    </w:lvl>
    <w:lvl w:ilvl="2" w:tplc="AB428C0C">
      <w:start w:val="1"/>
      <w:numFmt w:val="bullet"/>
      <w:lvlText w:val=""/>
      <w:lvlJc w:val="left"/>
      <w:pPr>
        <w:ind w:left="928" w:hanging="360"/>
      </w:pPr>
      <w:rPr>
        <w:rFonts w:ascii="Symbol" w:hAnsi="Symbol" w:hint="default"/>
        <w:color w:val="E3981C" w:themeColor="accent1"/>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B4F05"/>
    <w:multiLevelType w:val="multilevel"/>
    <w:tmpl w:val="EB62D4C8"/>
    <w:lvl w:ilvl="0">
      <w:start w:val="1"/>
      <w:numFmt w:val="bullet"/>
      <w:lvlText w:val=""/>
      <w:lvlJc w:val="left"/>
      <w:pPr>
        <w:ind w:left="113" w:hanging="11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4823722">
    <w:abstractNumId w:val="8"/>
  </w:num>
  <w:num w:numId="2" w16cid:durableId="1659455758">
    <w:abstractNumId w:val="9"/>
  </w:num>
  <w:num w:numId="3" w16cid:durableId="1541160399">
    <w:abstractNumId w:val="23"/>
  </w:num>
  <w:num w:numId="4" w16cid:durableId="923295467">
    <w:abstractNumId w:val="19"/>
  </w:num>
  <w:num w:numId="5" w16cid:durableId="841120374">
    <w:abstractNumId w:val="24"/>
  </w:num>
  <w:num w:numId="6" w16cid:durableId="169759761">
    <w:abstractNumId w:val="7"/>
  </w:num>
  <w:num w:numId="7" w16cid:durableId="413671032">
    <w:abstractNumId w:val="10"/>
  </w:num>
  <w:num w:numId="8" w16cid:durableId="1662461282">
    <w:abstractNumId w:val="11"/>
  </w:num>
  <w:num w:numId="9" w16cid:durableId="270431208">
    <w:abstractNumId w:val="12"/>
  </w:num>
  <w:num w:numId="10" w16cid:durableId="1231231219">
    <w:abstractNumId w:val="14"/>
  </w:num>
  <w:num w:numId="11" w16cid:durableId="956569316">
    <w:abstractNumId w:val="0"/>
  </w:num>
  <w:num w:numId="12" w16cid:durableId="1823622265">
    <w:abstractNumId w:val="1"/>
  </w:num>
  <w:num w:numId="13" w16cid:durableId="1595237506">
    <w:abstractNumId w:val="2"/>
  </w:num>
  <w:num w:numId="14" w16cid:durableId="832381517">
    <w:abstractNumId w:val="3"/>
  </w:num>
  <w:num w:numId="15" w16cid:durableId="2126652228">
    <w:abstractNumId w:val="4"/>
  </w:num>
  <w:num w:numId="16" w16cid:durableId="776023359">
    <w:abstractNumId w:val="5"/>
  </w:num>
  <w:num w:numId="17" w16cid:durableId="639073232">
    <w:abstractNumId w:val="6"/>
  </w:num>
  <w:num w:numId="18" w16cid:durableId="755706209">
    <w:abstractNumId w:val="17"/>
  </w:num>
  <w:num w:numId="19" w16cid:durableId="238443454">
    <w:abstractNumId w:val="18"/>
  </w:num>
  <w:num w:numId="20" w16cid:durableId="2026246102">
    <w:abstractNumId w:val="15"/>
  </w:num>
  <w:num w:numId="21" w16cid:durableId="1491679755">
    <w:abstractNumId w:val="16"/>
  </w:num>
  <w:num w:numId="22" w16cid:durableId="195775370">
    <w:abstractNumId w:val="22"/>
  </w:num>
  <w:num w:numId="23" w16cid:durableId="1794207402">
    <w:abstractNumId w:val="21"/>
  </w:num>
  <w:num w:numId="24" w16cid:durableId="1657881914">
    <w:abstractNumId w:val="13"/>
  </w:num>
  <w:num w:numId="25" w16cid:durableId="1432832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023AC"/>
    <w:rsid w:val="00057CA9"/>
    <w:rsid w:val="00066EEC"/>
    <w:rsid w:val="00095C3A"/>
    <w:rsid w:val="001010A6"/>
    <w:rsid w:val="001366BD"/>
    <w:rsid w:val="00144D9D"/>
    <w:rsid w:val="00154281"/>
    <w:rsid w:val="001764E5"/>
    <w:rsid w:val="00221603"/>
    <w:rsid w:val="0022715E"/>
    <w:rsid w:val="002C6339"/>
    <w:rsid w:val="002D32E3"/>
    <w:rsid w:val="0031662F"/>
    <w:rsid w:val="00346481"/>
    <w:rsid w:val="003823CD"/>
    <w:rsid w:val="003E5720"/>
    <w:rsid w:val="003F7AC3"/>
    <w:rsid w:val="00447EE5"/>
    <w:rsid w:val="00484CEA"/>
    <w:rsid w:val="00486347"/>
    <w:rsid w:val="00520F6F"/>
    <w:rsid w:val="005265CC"/>
    <w:rsid w:val="005312A7"/>
    <w:rsid w:val="00544E03"/>
    <w:rsid w:val="005E5991"/>
    <w:rsid w:val="005F08D1"/>
    <w:rsid w:val="006032DC"/>
    <w:rsid w:val="0062272F"/>
    <w:rsid w:val="0067329F"/>
    <w:rsid w:val="006A43CC"/>
    <w:rsid w:val="006C7A3A"/>
    <w:rsid w:val="006D0112"/>
    <w:rsid w:val="00742C8D"/>
    <w:rsid w:val="0074455E"/>
    <w:rsid w:val="00771199"/>
    <w:rsid w:val="007B2B17"/>
    <w:rsid w:val="007E5B79"/>
    <w:rsid w:val="007E6A4C"/>
    <w:rsid w:val="00800990"/>
    <w:rsid w:val="00820BD2"/>
    <w:rsid w:val="00843BA9"/>
    <w:rsid w:val="00860382"/>
    <w:rsid w:val="00867DEB"/>
    <w:rsid w:val="00885AEC"/>
    <w:rsid w:val="0089685D"/>
    <w:rsid w:val="008F04AA"/>
    <w:rsid w:val="008F2D32"/>
    <w:rsid w:val="00901AC5"/>
    <w:rsid w:val="009A770A"/>
    <w:rsid w:val="009D3826"/>
    <w:rsid w:val="009D499A"/>
    <w:rsid w:val="00A70DD0"/>
    <w:rsid w:val="00A877EF"/>
    <w:rsid w:val="00B2762A"/>
    <w:rsid w:val="00B42368"/>
    <w:rsid w:val="00B6325B"/>
    <w:rsid w:val="00BA3E10"/>
    <w:rsid w:val="00BD1314"/>
    <w:rsid w:val="00BE4D64"/>
    <w:rsid w:val="00C000C4"/>
    <w:rsid w:val="00C0789C"/>
    <w:rsid w:val="00C363C3"/>
    <w:rsid w:val="00C64D77"/>
    <w:rsid w:val="00C742DD"/>
    <w:rsid w:val="00CA7226"/>
    <w:rsid w:val="00CE115C"/>
    <w:rsid w:val="00DB7855"/>
    <w:rsid w:val="00E010F0"/>
    <w:rsid w:val="00E1370C"/>
    <w:rsid w:val="00E80B18"/>
    <w:rsid w:val="00EA1E7D"/>
    <w:rsid w:val="00EA5D50"/>
    <w:rsid w:val="00EB2DE4"/>
    <w:rsid w:val="00EE7090"/>
    <w:rsid w:val="00F01C88"/>
    <w:rsid w:val="00F15489"/>
    <w:rsid w:val="00F25119"/>
    <w:rsid w:val="00F33ACC"/>
    <w:rsid w:val="00F45AA1"/>
    <w:rsid w:val="00F54363"/>
    <w:rsid w:val="00F76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F7CFA"/>
  <w15:chartTrackingRefBased/>
  <w15:docId w15:val="{B3387F16-F503-44EC-A867-F8B1A2C9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C5"/>
    <w:pPr>
      <w:spacing w:line="259" w:lineRule="auto"/>
    </w:pPr>
    <w:rPr>
      <w:color w:val="0D1956" w:themeColor="accent5"/>
      <w:sz w:val="20"/>
      <w:szCs w:val="22"/>
    </w:rPr>
  </w:style>
  <w:style w:type="paragraph" w:styleId="Heading1">
    <w:name w:val="heading 1"/>
    <w:basedOn w:val="Normal"/>
    <w:next w:val="Normal"/>
    <w:link w:val="Heading1Char"/>
    <w:uiPriority w:val="9"/>
    <w:qFormat/>
    <w:rsid w:val="002D32E3"/>
    <w:pPr>
      <w:keepNext/>
      <w:keepLines/>
      <w:spacing w:before="240"/>
      <w:outlineLvl w:val="0"/>
    </w:pPr>
    <w:rPr>
      <w:rFonts w:asciiTheme="majorHAnsi" w:eastAsiaTheme="majorEastAsia" w:hAnsiTheme="majorHAnsi" w:cstheme="majorBidi"/>
      <w:b/>
      <w:sz w:val="32"/>
      <w:szCs w:val="24"/>
    </w:rPr>
  </w:style>
  <w:style w:type="paragraph" w:styleId="Heading2">
    <w:name w:val="heading 2"/>
    <w:basedOn w:val="Normal"/>
    <w:next w:val="Normal"/>
    <w:link w:val="Heading2Char"/>
    <w:autoRedefine/>
    <w:uiPriority w:val="9"/>
    <w:unhideWhenUsed/>
    <w:qFormat/>
    <w:rsid w:val="00484CEA"/>
    <w:pPr>
      <w:keepNext/>
      <w:keepLines/>
      <w:spacing w:before="40"/>
      <w:outlineLvl w:val="1"/>
    </w:pPr>
    <w:rPr>
      <w:rFonts w:asciiTheme="majorHAnsi" w:eastAsiaTheme="majorEastAsia" w:hAnsiTheme="majorHAnsi" w:cstheme="majorBidi"/>
      <w:b/>
      <w:color w:val="6992DC" w:themeColor="accent4" w:themeTint="99"/>
      <w:sz w:val="26"/>
      <w:szCs w:val="26"/>
    </w:rPr>
  </w:style>
  <w:style w:type="paragraph" w:styleId="Heading3">
    <w:name w:val="heading 3"/>
    <w:basedOn w:val="Normal"/>
    <w:next w:val="Normal"/>
    <w:link w:val="Heading3Char"/>
    <w:autoRedefine/>
    <w:uiPriority w:val="9"/>
    <w:unhideWhenUsed/>
    <w:qFormat/>
    <w:rsid w:val="006C7A3A"/>
    <w:pPr>
      <w:keepNext/>
      <w:keepLines/>
      <w:spacing w:before="40"/>
      <w:outlineLvl w:val="2"/>
    </w:pPr>
    <w:rPr>
      <w:rFonts w:asciiTheme="majorHAnsi" w:eastAsiaTheme="majorEastAsia" w:hAnsiTheme="majorHAnsi" w:cstheme="majorBidi"/>
      <w:b/>
      <w:color w:val="2754A5" w:themeColor="background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D9D"/>
    <w:pPr>
      <w:tabs>
        <w:tab w:val="center" w:pos="4513"/>
        <w:tab w:val="right" w:pos="9026"/>
      </w:tabs>
      <w:spacing w:line="240" w:lineRule="auto"/>
    </w:pPr>
  </w:style>
  <w:style w:type="character" w:customStyle="1" w:styleId="HeaderChar">
    <w:name w:val="Header Char"/>
    <w:basedOn w:val="DefaultParagraphFont"/>
    <w:link w:val="Header"/>
    <w:uiPriority w:val="99"/>
    <w:rsid w:val="00144D9D"/>
    <w:rPr>
      <w:color w:val="0D1956" w:themeColor="accent5"/>
      <w:sz w:val="20"/>
      <w:szCs w:val="22"/>
      <w:lang w:val="en-GB"/>
    </w:rPr>
  </w:style>
  <w:style w:type="paragraph" w:styleId="Footer">
    <w:name w:val="footer"/>
    <w:basedOn w:val="Normal"/>
    <w:link w:val="FooterChar"/>
    <w:uiPriority w:val="99"/>
    <w:unhideWhenUsed/>
    <w:rsid w:val="00144D9D"/>
    <w:pPr>
      <w:tabs>
        <w:tab w:val="center" w:pos="4513"/>
        <w:tab w:val="right" w:pos="9026"/>
      </w:tabs>
      <w:spacing w:line="240" w:lineRule="auto"/>
    </w:pPr>
  </w:style>
  <w:style w:type="character" w:customStyle="1" w:styleId="FooterChar">
    <w:name w:val="Footer Char"/>
    <w:basedOn w:val="DefaultParagraphFont"/>
    <w:link w:val="Footer"/>
    <w:uiPriority w:val="99"/>
    <w:rsid w:val="00144D9D"/>
    <w:rPr>
      <w:color w:val="0D1956" w:themeColor="accent5"/>
      <w:sz w:val="20"/>
      <w:szCs w:val="22"/>
      <w:lang w:val="en-GB"/>
    </w:rPr>
  </w:style>
  <w:style w:type="table" w:styleId="TableGrid">
    <w:name w:val="Table Grid"/>
    <w:basedOn w:val="TableNormal"/>
    <w:uiPriority w:val="39"/>
    <w:rsid w:val="009D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32E3"/>
    <w:rPr>
      <w:rFonts w:asciiTheme="majorHAnsi" w:eastAsiaTheme="majorEastAsia" w:hAnsiTheme="majorHAnsi" w:cstheme="majorBidi"/>
      <w:b/>
      <w:color w:val="0D1956" w:themeColor="accent5"/>
      <w:sz w:val="32"/>
      <w:lang w:val="en-GB"/>
    </w:rPr>
  </w:style>
  <w:style w:type="character" w:styleId="Hyperlink">
    <w:name w:val="Hyperlink"/>
    <w:basedOn w:val="DefaultParagraphFont"/>
    <w:uiPriority w:val="99"/>
    <w:unhideWhenUsed/>
    <w:rsid w:val="00095C3A"/>
    <w:rPr>
      <w:color w:val="EF8300" w:themeColor="hyperlink"/>
      <w:u w:val="single"/>
    </w:rPr>
  </w:style>
  <w:style w:type="character" w:styleId="UnresolvedMention">
    <w:name w:val="Unresolved Mention"/>
    <w:basedOn w:val="DefaultParagraphFont"/>
    <w:uiPriority w:val="99"/>
    <w:semiHidden/>
    <w:unhideWhenUsed/>
    <w:rsid w:val="00095C3A"/>
    <w:rPr>
      <w:color w:val="605E5C"/>
      <w:shd w:val="clear" w:color="auto" w:fill="E1DFDD"/>
    </w:rPr>
  </w:style>
  <w:style w:type="character" w:styleId="FollowedHyperlink">
    <w:name w:val="FollowedHyperlink"/>
    <w:basedOn w:val="DefaultParagraphFont"/>
    <w:uiPriority w:val="99"/>
    <w:semiHidden/>
    <w:unhideWhenUsed/>
    <w:rsid w:val="00095C3A"/>
    <w:rPr>
      <w:color w:val="CF481C" w:themeColor="followedHyperlink"/>
      <w:u w:val="single"/>
    </w:rPr>
  </w:style>
  <w:style w:type="character" w:styleId="PageNumber">
    <w:name w:val="page number"/>
    <w:basedOn w:val="DefaultParagraphFont"/>
    <w:uiPriority w:val="99"/>
    <w:semiHidden/>
    <w:unhideWhenUsed/>
    <w:rsid w:val="00095C3A"/>
  </w:style>
  <w:style w:type="character" w:customStyle="1" w:styleId="Heading2Char">
    <w:name w:val="Heading 2 Char"/>
    <w:basedOn w:val="DefaultParagraphFont"/>
    <w:link w:val="Heading2"/>
    <w:uiPriority w:val="9"/>
    <w:rsid w:val="00484CEA"/>
    <w:rPr>
      <w:rFonts w:asciiTheme="majorHAnsi" w:eastAsiaTheme="majorEastAsia" w:hAnsiTheme="majorHAnsi" w:cstheme="majorBidi"/>
      <w:b/>
      <w:color w:val="6992DC" w:themeColor="accent4" w:themeTint="99"/>
      <w:sz w:val="26"/>
      <w:szCs w:val="26"/>
      <w:lang w:val="en-GB"/>
    </w:rPr>
  </w:style>
  <w:style w:type="character" w:customStyle="1" w:styleId="Heading3Char">
    <w:name w:val="Heading 3 Char"/>
    <w:basedOn w:val="DefaultParagraphFont"/>
    <w:link w:val="Heading3"/>
    <w:uiPriority w:val="9"/>
    <w:rsid w:val="006C7A3A"/>
    <w:rPr>
      <w:rFonts w:asciiTheme="majorHAnsi" w:eastAsiaTheme="majorEastAsia" w:hAnsiTheme="majorHAnsi" w:cstheme="majorBidi"/>
      <w:b/>
      <w:color w:val="2754A5" w:themeColor="background2"/>
      <w:lang w:val="en-GB"/>
    </w:rPr>
  </w:style>
  <w:style w:type="paragraph" w:customStyle="1" w:styleId="Column-left-top">
    <w:name w:val="Column-left-top"/>
    <w:basedOn w:val="Normal"/>
    <w:autoRedefine/>
    <w:qFormat/>
    <w:rsid w:val="00F01C88"/>
    <w:pPr>
      <w:framePr w:hSpace="180" w:wrap="around" w:vAnchor="text" w:hAnchor="page" w:x="2897" w:y="142"/>
      <w:spacing w:after="40"/>
      <w:jc w:val="center"/>
    </w:pPr>
    <w:rPr>
      <w:b/>
      <w:sz w:val="24"/>
      <w:szCs w:val="24"/>
    </w:rPr>
  </w:style>
  <w:style w:type="paragraph" w:customStyle="1" w:styleId="ColumnTabletext">
    <w:name w:val="Column Table text"/>
    <w:basedOn w:val="Heading1"/>
    <w:autoRedefine/>
    <w:qFormat/>
    <w:rsid w:val="0074455E"/>
    <w:rPr>
      <w:sz w:val="24"/>
    </w:rPr>
  </w:style>
  <w:style w:type="paragraph" w:customStyle="1" w:styleId="Tableright">
    <w:name w:val="Table right"/>
    <w:basedOn w:val="ColumnTabletext"/>
    <w:autoRedefine/>
    <w:qFormat/>
    <w:rsid w:val="001764E5"/>
    <w:pPr>
      <w:spacing w:before="0" w:line="240" w:lineRule="auto"/>
      <w:jc w:val="right"/>
      <w:outlineLvl w:val="9"/>
    </w:pPr>
    <w:rPr>
      <w:bCs/>
      <w:sz w:val="20"/>
      <w:szCs w:val="20"/>
    </w:rPr>
  </w:style>
  <w:style w:type="table" w:styleId="GridTable1Light-Accent2">
    <w:name w:val="Grid Table 1 Light Accent 2"/>
    <w:basedOn w:val="TableNormal"/>
    <w:uiPriority w:val="46"/>
    <w:rsid w:val="00867DEB"/>
    <w:tblPr>
      <w:tblStyleRowBandSize w:val="1"/>
      <w:tblStyleColBandSize w:val="1"/>
      <w:tblBorders>
        <w:top w:val="single" w:sz="4" w:space="0" w:color="F1B5AB" w:themeColor="accent2" w:themeTint="66"/>
        <w:left w:val="single" w:sz="4" w:space="0" w:color="F1B5AB" w:themeColor="accent2" w:themeTint="66"/>
        <w:bottom w:val="single" w:sz="4" w:space="0" w:color="F1B5AB" w:themeColor="accent2" w:themeTint="66"/>
        <w:right w:val="single" w:sz="4" w:space="0" w:color="F1B5AB" w:themeColor="accent2" w:themeTint="66"/>
        <w:insideH w:val="single" w:sz="4" w:space="0" w:color="F1B5AB" w:themeColor="accent2" w:themeTint="66"/>
        <w:insideV w:val="single" w:sz="4" w:space="0" w:color="F1B5AB" w:themeColor="accent2" w:themeTint="66"/>
      </w:tblBorders>
    </w:tblPr>
    <w:tblStylePr w:type="firstRow">
      <w:rPr>
        <w:b/>
        <w:bCs/>
      </w:rPr>
      <w:tblPr/>
      <w:tcPr>
        <w:tcBorders>
          <w:bottom w:val="single" w:sz="12" w:space="0" w:color="EA9182" w:themeColor="accent2" w:themeTint="99"/>
        </w:tcBorders>
      </w:tcPr>
    </w:tblStylePr>
    <w:tblStylePr w:type="lastRow">
      <w:rPr>
        <w:b/>
        <w:bCs/>
      </w:rPr>
      <w:tblPr/>
      <w:tcPr>
        <w:tcBorders>
          <w:top w:val="double" w:sz="2" w:space="0" w:color="EA9182"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67DEB"/>
    <w:tblPr>
      <w:tblStyleRowBandSize w:val="1"/>
      <w:tblStyleColBandSize w:val="1"/>
      <w:tblBorders>
        <w:top w:val="single" w:sz="4" w:space="0" w:color="9BB6E8" w:themeColor="accent4" w:themeTint="66"/>
        <w:left w:val="single" w:sz="4" w:space="0" w:color="9BB6E8" w:themeColor="accent4" w:themeTint="66"/>
        <w:bottom w:val="single" w:sz="4" w:space="0" w:color="9BB6E8" w:themeColor="accent4" w:themeTint="66"/>
        <w:right w:val="single" w:sz="4" w:space="0" w:color="9BB6E8" w:themeColor="accent4" w:themeTint="66"/>
        <w:insideH w:val="single" w:sz="4" w:space="0" w:color="9BB6E8" w:themeColor="accent4" w:themeTint="66"/>
        <w:insideV w:val="single" w:sz="4" w:space="0" w:color="9BB6E8" w:themeColor="accent4" w:themeTint="66"/>
      </w:tblBorders>
    </w:tblPr>
    <w:tblStylePr w:type="firstRow">
      <w:rPr>
        <w:b/>
        <w:bCs/>
      </w:rPr>
      <w:tblPr/>
      <w:tcPr>
        <w:tcBorders>
          <w:bottom w:val="single" w:sz="12" w:space="0" w:color="6992DC" w:themeColor="accent4" w:themeTint="99"/>
        </w:tcBorders>
      </w:tcPr>
    </w:tblStylePr>
    <w:tblStylePr w:type="lastRow">
      <w:rPr>
        <w:b/>
        <w:bCs/>
      </w:rPr>
      <w:tblPr/>
      <w:tcPr>
        <w:tcBorders>
          <w:top w:val="double" w:sz="2" w:space="0" w:color="6992DC" w:themeColor="accent4" w:themeTint="99"/>
        </w:tcBorders>
      </w:tcPr>
    </w:tblStylePr>
    <w:tblStylePr w:type="firstCol">
      <w:rPr>
        <w:b/>
        <w:bCs/>
      </w:rPr>
    </w:tblStylePr>
    <w:tblStylePr w:type="lastCol">
      <w:rPr>
        <w:b/>
        <w:bCs/>
      </w:rPr>
    </w:tblStylePr>
  </w:style>
  <w:style w:type="paragraph" w:customStyle="1" w:styleId="Rowwithtitles-Agenda">
    <w:name w:val="Row with titles - Agenda"/>
    <w:basedOn w:val="ColumnTabletext"/>
    <w:qFormat/>
    <w:rsid w:val="002D32E3"/>
    <w:pPr>
      <w:jc w:val="center"/>
      <w:outlineLvl w:val="9"/>
    </w:pPr>
    <w:rPr>
      <w:bCs/>
      <w:color w:val="FFFFFF" w:themeColor="background1"/>
    </w:rPr>
  </w:style>
  <w:style w:type="paragraph" w:customStyle="1" w:styleId="Numberedlist">
    <w:name w:val="Numbered list"/>
    <w:basedOn w:val="ListNumber"/>
    <w:autoRedefine/>
    <w:qFormat/>
    <w:rsid w:val="00F15489"/>
    <w:pPr>
      <w:numPr>
        <w:numId w:val="0"/>
      </w:numPr>
      <w:spacing w:line="240" w:lineRule="auto"/>
      <w:jc w:val="right"/>
    </w:pPr>
  </w:style>
  <w:style w:type="paragraph" w:customStyle="1" w:styleId="Column-centerednormal">
    <w:name w:val="Column- centered normal"/>
    <w:basedOn w:val="Normal"/>
    <w:autoRedefine/>
    <w:qFormat/>
    <w:rsid w:val="00F767E6"/>
    <w:pPr>
      <w:jc w:val="center"/>
    </w:pPr>
  </w:style>
  <w:style w:type="paragraph" w:styleId="ListNumber">
    <w:name w:val="List Number"/>
    <w:basedOn w:val="Normal"/>
    <w:uiPriority w:val="99"/>
    <w:semiHidden/>
    <w:unhideWhenUsed/>
    <w:rsid w:val="00F767E6"/>
    <w:pPr>
      <w:numPr>
        <w:numId w:val="1"/>
      </w:numPr>
      <w:contextualSpacing/>
    </w:pPr>
  </w:style>
  <w:style w:type="paragraph" w:customStyle="1" w:styleId="Bulletlist">
    <w:name w:val="Bullet list"/>
    <w:basedOn w:val="ListBullet"/>
    <w:autoRedefine/>
    <w:qFormat/>
    <w:rsid w:val="00CA7226"/>
    <w:pPr>
      <w:numPr>
        <w:numId w:val="23"/>
      </w:numPr>
      <w:spacing w:line="240" w:lineRule="auto"/>
    </w:pPr>
    <w:rPr>
      <w:rFonts w:ascii="Calibri" w:hAnsi="Calibri"/>
    </w:rPr>
  </w:style>
  <w:style w:type="paragraph" w:customStyle="1" w:styleId="Style1">
    <w:name w:val="Style1"/>
    <w:basedOn w:val="ListBullet2"/>
    <w:qFormat/>
    <w:rsid w:val="00901AC5"/>
    <w:pPr>
      <w:numPr>
        <w:ilvl w:val="1"/>
        <w:numId w:val="3"/>
      </w:numPr>
      <w:ind w:left="360"/>
    </w:pPr>
  </w:style>
  <w:style w:type="paragraph" w:styleId="ListBullet">
    <w:name w:val="List Bullet"/>
    <w:basedOn w:val="Normal"/>
    <w:uiPriority w:val="99"/>
    <w:semiHidden/>
    <w:unhideWhenUsed/>
    <w:rsid w:val="00F767E6"/>
    <w:pPr>
      <w:numPr>
        <w:numId w:val="2"/>
      </w:numPr>
      <w:contextualSpacing/>
    </w:pPr>
  </w:style>
  <w:style w:type="paragraph" w:customStyle="1" w:styleId="Style11">
    <w:name w:val="Style11"/>
    <w:basedOn w:val="Bulletlist"/>
    <w:next w:val="Style1"/>
    <w:qFormat/>
    <w:rsid w:val="00901AC5"/>
    <w:pPr>
      <w:numPr>
        <w:numId w:val="0"/>
      </w:numPr>
      <w:ind w:left="644" w:hanging="360"/>
    </w:pPr>
  </w:style>
  <w:style w:type="paragraph" w:styleId="ListBullet2">
    <w:name w:val="List Bullet 2"/>
    <w:basedOn w:val="Normal"/>
    <w:uiPriority w:val="99"/>
    <w:semiHidden/>
    <w:unhideWhenUsed/>
    <w:rsid w:val="00901AC5"/>
    <w:pPr>
      <w:numPr>
        <w:numId w:val="6"/>
      </w:numPr>
      <w:contextualSpacing/>
    </w:pPr>
  </w:style>
  <w:style w:type="numbering" w:customStyle="1" w:styleId="BulletListLevels">
    <w:name w:val="Bullet List Levels"/>
    <w:uiPriority w:val="99"/>
    <w:rsid w:val="00CA7226"/>
    <w:pPr>
      <w:numPr>
        <w:numId w:val="8"/>
      </w:numPr>
    </w:pPr>
  </w:style>
  <w:style w:type="character" w:styleId="PlaceholderText">
    <w:name w:val="Placeholder Text"/>
    <w:basedOn w:val="DefaultParagraphFont"/>
    <w:uiPriority w:val="99"/>
    <w:semiHidden/>
    <w:rsid w:val="00154281"/>
    <w:rPr>
      <w:color w:val="808080"/>
    </w:rPr>
  </w:style>
  <w:style w:type="paragraph" w:styleId="ListParagraph">
    <w:name w:val="List Paragraph"/>
    <w:basedOn w:val="Normal"/>
    <w:uiPriority w:val="34"/>
    <w:qFormat/>
    <w:rsid w:val="00800990"/>
    <w:pPr>
      <w:spacing w:line="256" w:lineRule="auto"/>
      <w:ind w:left="720"/>
      <w:contextualSpacing/>
    </w:pPr>
    <w:rPr>
      <w:sz w:val="22"/>
    </w:rPr>
  </w:style>
  <w:style w:type="character" w:styleId="Strong">
    <w:name w:val="Strong"/>
    <w:basedOn w:val="DefaultParagraphFont"/>
    <w:uiPriority w:val="22"/>
    <w:qFormat/>
    <w:rsid w:val="00800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08914">
      <w:bodyDiv w:val="1"/>
      <w:marLeft w:val="0"/>
      <w:marRight w:val="0"/>
      <w:marTop w:val="0"/>
      <w:marBottom w:val="0"/>
      <w:divBdr>
        <w:top w:val="none" w:sz="0" w:space="0" w:color="auto"/>
        <w:left w:val="none" w:sz="0" w:space="0" w:color="auto"/>
        <w:bottom w:val="none" w:sz="0" w:space="0" w:color="auto"/>
        <w:right w:val="none" w:sz="0" w:space="0" w:color="auto"/>
      </w:divBdr>
    </w:div>
    <w:div w:id="1942060044">
      <w:bodyDiv w:val="1"/>
      <w:marLeft w:val="0"/>
      <w:marRight w:val="0"/>
      <w:marTop w:val="0"/>
      <w:marBottom w:val="0"/>
      <w:divBdr>
        <w:top w:val="none" w:sz="0" w:space="0" w:color="auto"/>
        <w:left w:val="none" w:sz="0" w:space="0" w:color="auto"/>
        <w:bottom w:val="none" w:sz="0" w:space="0" w:color="auto"/>
        <w:right w:val="none" w:sz="0" w:space="0" w:color="auto"/>
      </w:divBdr>
    </w:div>
    <w:div w:id="197567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lofrese@fooddrinkeurope.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fooddrinkeurope.eu/publishe.nsf/Redirect.xsp?refid=ENV_CIRCECON_009_23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oodDrink Europe">
      <a:dk1>
        <a:srgbClr val="004289"/>
      </a:dk1>
      <a:lt1>
        <a:srgbClr val="FFFFFF"/>
      </a:lt1>
      <a:dk2>
        <a:srgbClr val="B0B3B3"/>
      </a:dk2>
      <a:lt2>
        <a:srgbClr val="2754A5"/>
      </a:lt2>
      <a:accent1>
        <a:srgbClr val="E3981C"/>
      </a:accent1>
      <a:accent2>
        <a:srgbClr val="DD492F"/>
      </a:accent2>
      <a:accent3>
        <a:srgbClr val="7CB61C"/>
      </a:accent3>
      <a:accent4>
        <a:srgbClr val="2654A5"/>
      </a:accent4>
      <a:accent5>
        <a:srgbClr val="0D1956"/>
      </a:accent5>
      <a:accent6>
        <a:srgbClr val="000000"/>
      </a:accent6>
      <a:hlink>
        <a:srgbClr val="EF8300"/>
      </a:hlink>
      <a:folHlink>
        <a:srgbClr val="CF48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A8E0E-696E-E241-B16C-551A1C10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1259</Words>
  <Characters>6635</Characters>
  <Application>Microsoft Office Word</Application>
  <DocSecurity>0</DocSecurity>
  <Lines>163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Maryline Crooijmans</dc:creator>
  <cp:keywords/>
  <dc:description/>
  <cp:lastModifiedBy>AdminO365</cp:lastModifiedBy>
  <cp:revision>2</cp:revision>
  <cp:lastPrinted>2020-10-06T08:50:00Z</cp:lastPrinted>
  <dcterms:created xsi:type="dcterms:W3CDTF">2023-03-20T21:00:00Z</dcterms:created>
  <dcterms:modified xsi:type="dcterms:W3CDTF">2023-03-20T21:00:00Z</dcterms:modified>
</cp:coreProperties>
</file>