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F" w:rsidRPr="006320B2" w:rsidRDefault="006E716F" w:rsidP="006E716F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Plasty a britská environmentální výkonnost – zprávy z OECD</w:t>
      </w:r>
    </w:p>
    <w:p w:rsidR="006E716F" w:rsidRPr="000B02D9" w:rsidRDefault="006E716F" w:rsidP="006E716F">
      <w:pPr>
        <w:spacing w:after="0" w:line="240" w:lineRule="auto"/>
        <w:jc w:val="both"/>
        <w:rPr>
          <w:rFonts w:ascii="Arial" w:hAnsi="Arial" w:cs="Arial"/>
        </w:rPr>
      </w:pPr>
    </w:p>
    <w:p w:rsidR="006E716F" w:rsidRDefault="006E716F" w:rsidP="006E716F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57D4790" wp14:editId="222F2FF0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234440" cy="1651000"/>
            <wp:effectExtent l="19050" t="19050" r="22860" b="25400"/>
            <wp:wrapTight wrapText="bothSides">
              <wp:wrapPolygon edited="0">
                <wp:start x="-333" y="-249"/>
                <wp:lineTo x="-333" y="21683"/>
                <wp:lineTo x="21667" y="21683"/>
                <wp:lineTo x="21667" y="-249"/>
                <wp:lineTo x="-333" y="-24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651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34E">
        <w:rPr>
          <w:rFonts w:ascii="Arial" w:hAnsi="Arial" w:cs="Arial"/>
          <w:color w:val="000000"/>
          <w:spacing w:val="2"/>
        </w:rPr>
        <w:t>Výskyt plastů v životním prostředí roste. Jde o důsledek vědomé praxe (např. cca polovina kalů z</w:t>
      </w:r>
      <w:r>
        <w:rPr>
          <w:rFonts w:ascii="Arial" w:hAnsi="Arial" w:cs="Arial"/>
          <w:color w:val="000000"/>
          <w:spacing w:val="2"/>
        </w:rPr>
        <w:t> čistíren odpadních vod</w:t>
      </w:r>
      <w:r w:rsidRPr="0015234E">
        <w:rPr>
          <w:rFonts w:ascii="Arial" w:hAnsi="Arial" w:cs="Arial"/>
          <w:color w:val="000000"/>
          <w:spacing w:val="2"/>
        </w:rPr>
        <w:t xml:space="preserve"> v nejvyspělejších zemích se aplikuje na zemědělskou půdu jako zlepšovač půdy, i když jde o významný zdroj </w:t>
      </w:r>
      <w:proofErr w:type="spellStart"/>
      <w:r w:rsidRPr="0015234E">
        <w:rPr>
          <w:rFonts w:ascii="Arial" w:hAnsi="Arial" w:cs="Arial"/>
          <w:color w:val="000000"/>
          <w:spacing w:val="2"/>
        </w:rPr>
        <w:t>mikroplastů</w:t>
      </w:r>
      <w:proofErr w:type="spellEnd"/>
      <w:r w:rsidRPr="0015234E">
        <w:rPr>
          <w:rFonts w:ascii="Arial" w:hAnsi="Arial" w:cs="Arial"/>
          <w:color w:val="000000"/>
          <w:spacing w:val="2"/>
        </w:rPr>
        <w:t xml:space="preserve">), nechtěných úniků nebo i nelegálních aktivit (např. přidávání odpadu z výroby melaminu - látky pro výrobu umělých hmot – do hnojiv/krmiv/potravin). </w:t>
      </w:r>
      <w:proofErr w:type="spellStart"/>
      <w:r w:rsidRPr="0015234E">
        <w:rPr>
          <w:rFonts w:ascii="Arial" w:hAnsi="Arial" w:cs="Arial"/>
          <w:color w:val="000000"/>
          <w:spacing w:val="2"/>
        </w:rPr>
        <w:t>Mikroplasty</w:t>
      </w:r>
      <w:proofErr w:type="spellEnd"/>
      <w:r w:rsidRPr="0015234E">
        <w:rPr>
          <w:rFonts w:ascii="Arial" w:hAnsi="Arial" w:cs="Arial"/>
          <w:color w:val="000000"/>
          <w:spacing w:val="2"/>
        </w:rPr>
        <w:t xml:space="preserve"> již byly nalezeny v potravinách i nápojích, včetně piva, medu nebo kohoutkové vody. Výroba plastů a nakládání s nimi má rozsáhlé negativní dopady na ži</w:t>
      </w:r>
      <w:r>
        <w:rPr>
          <w:rFonts w:ascii="Arial" w:hAnsi="Arial" w:cs="Arial"/>
          <w:color w:val="000000"/>
          <w:spacing w:val="2"/>
        </w:rPr>
        <w:t>vot</w:t>
      </w:r>
      <w:r w:rsidRPr="0015234E">
        <w:rPr>
          <w:rFonts w:ascii="Arial" w:hAnsi="Arial" w:cs="Arial"/>
          <w:color w:val="000000"/>
          <w:spacing w:val="2"/>
        </w:rPr>
        <w:t xml:space="preserve">ní prostředí </w:t>
      </w:r>
      <w:r>
        <w:rPr>
          <w:rFonts w:ascii="Arial" w:hAnsi="Arial" w:cs="Arial"/>
          <w:color w:val="000000"/>
          <w:spacing w:val="2"/>
        </w:rPr>
        <w:t>(je zdrojem</w:t>
      </w:r>
      <w:r w:rsidRPr="006A638C">
        <w:rPr>
          <w:rFonts w:ascii="Arial" w:hAnsi="Arial" w:cs="Arial"/>
          <w:color w:val="000000"/>
          <w:spacing w:val="2"/>
        </w:rPr>
        <w:t xml:space="preserve"> cca 20 % emisí evropského chemického průmyslu) </w:t>
      </w:r>
      <w:r w:rsidRPr="0015234E">
        <w:rPr>
          <w:rFonts w:ascii="Arial" w:hAnsi="Arial" w:cs="Arial"/>
          <w:color w:val="000000"/>
          <w:spacing w:val="2"/>
        </w:rPr>
        <w:t xml:space="preserve">a lidské zdraví. Ani u </w:t>
      </w:r>
      <w:proofErr w:type="spellStart"/>
      <w:r w:rsidRPr="0015234E">
        <w:rPr>
          <w:rFonts w:ascii="Arial" w:hAnsi="Arial" w:cs="Arial"/>
          <w:color w:val="000000"/>
          <w:spacing w:val="2"/>
        </w:rPr>
        <w:t>bioplastů</w:t>
      </w:r>
      <w:proofErr w:type="spellEnd"/>
      <w:r w:rsidRPr="0015234E">
        <w:rPr>
          <w:rFonts w:ascii="Arial" w:hAnsi="Arial" w:cs="Arial"/>
          <w:color w:val="000000"/>
          <w:spacing w:val="2"/>
        </w:rPr>
        <w:t xml:space="preserve"> nejsou čisté environmentální dopady jednoznačné. Omezení nárůstu využívání plastů je proto naléhavě nutné. </w:t>
      </w:r>
      <w:proofErr w:type="spellStart"/>
      <w:r w:rsidRPr="0015234E">
        <w:rPr>
          <w:rFonts w:ascii="Arial" w:hAnsi="Arial" w:cs="Arial"/>
          <w:color w:val="000000"/>
          <w:spacing w:val="2"/>
        </w:rPr>
        <w:t>Mikroplasty</w:t>
      </w:r>
      <w:proofErr w:type="spellEnd"/>
      <w:r w:rsidRPr="0015234E">
        <w:rPr>
          <w:rFonts w:ascii="Arial" w:hAnsi="Arial" w:cs="Arial"/>
          <w:color w:val="000000"/>
          <w:spacing w:val="2"/>
        </w:rPr>
        <w:t xml:space="preserve"> byly v roce 2018 zařazeny mezi tzv. „</w:t>
      </w:r>
      <w:hyperlink r:id="rId5" w:history="1">
        <w:r w:rsidRPr="0015234E">
          <w:rPr>
            <w:rStyle w:val="Hypertextovodkaz"/>
            <w:rFonts w:ascii="Arial" w:hAnsi="Arial" w:cs="Arial"/>
            <w:spacing w:val="2"/>
          </w:rPr>
          <w:t>žhavá témata</w:t>
        </w:r>
      </w:hyperlink>
      <w:r w:rsidRPr="0015234E">
        <w:rPr>
          <w:rFonts w:ascii="Arial" w:hAnsi="Arial" w:cs="Arial"/>
          <w:color w:val="000000"/>
          <w:spacing w:val="2"/>
        </w:rPr>
        <w:t xml:space="preserve">“ Evropskou chemickou agenturou. Plán na </w:t>
      </w:r>
      <w:r>
        <w:rPr>
          <w:rFonts w:ascii="Arial" w:hAnsi="Arial" w:cs="Arial"/>
          <w:color w:val="000000"/>
          <w:spacing w:val="2"/>
        </w:rPr>
        <w:t xml:space="preserve">90% </w:t>
      </w:r>
      <w:r w:rsidRPr="0015234E">
        <w:rPr>
          <w:rFonts w:ascii="Arial" w:hAnsi="Arial" w:cs="Arial"/>
          <w:color w:val="000000"/>
          <w:spacing w:val="2"/>
        </w:rPr>
        <w:t xml:space="preserve">snížení </w:t>
      </w:r>
      <w:r>
        <w:rPr>
          <w:rFonts w:ascii="Arial" w:hAnsi="Arial" w:cs="Arial"/>
          <w:color w:val="000000"/>
          <w:spacing w:val="2"/>
        </w:rPr>
        <w:t xml:space="preserve">jejich uvolňování do prostředí </w:t>
      </w:r>
      <w:r w:rsidRPr="0015234E">
        <w:rPr>
          <w:rFonts w:ascii="Arial" w:hAnsi="Arial" w:cs="Arial"/>
          <w:color w:val="000000"/>
          <w:spacing w:val="2"/>
        </w:rPr>
        <w:t>má zastavit rost</w:t>
      </w:r>
      <w:r>
        <w:rPr>
          <w:rFonts w:ascii="Arial" w:hAnsi="Arial" w:cs="Arial"/>
          <w:color w:val="000000"/>
          <w:spacing w:val="2"/>
        </w:rPr>
        <w:t>oucí míru plastového znečištění</w:t>
      </w:r>
      <w:r w:rsidRPr="0015234E">
        <w:rPr>
          <w:rFonts w:ascii="Arial" w:hAnsi="Arial" w:cs="Arial"/>
          <w:color w:val="000000"/>
          <w:spacing w:val="2"/>
        </w:rPr>
        <w:t xml:space="preserve">. 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 xml:space="preserve">Pokud nebudou zavedeny přísnější a koordinovanější politiky, světové společenství nedosáhne </w:t>
      </w:r>
      <w:r>
        <w:rPr>
          <w:rFonts w:ascii="Arial" w:hAnsi="Arial" w:cs="Arial"/>
          <w:color w:val="000000"/>
          <w:spacing w:val="2"/>
        </w:rPr>
        <w:t>svého cíle snížit</w:t>
      </w:r>
      <w:r w:rsidRPr="0015234E">
        <w:rPr>
          <w:rFonts w:ascii="Arial" w:hAnsi="Arial" w:cs="Arial"/>
          <w:color w:val="000000"/>
          <w:spacing w:val="2"/>
        </w:rPr>
        <w:t xml:space="preserve"> plastové znečištění a bude čelit závažným 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>ekonomick</w:t>
      </w:r>
      <w:r w:rsidRPr="0015234E">
        <w:rPr>
          <w:rFonts w:ascii="Arial" w:hAnsi="Arial" w:cs="Arial"/>
          <w:color w:val="000000"/>
          <w:spacing w:val="2"/>
        </w:rPr>
        <w:t xml:space="preserve">ým, environmentálním a zdravotním 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>důsledk</w:t>
      </w:r>
      <w:r w:rsidRPr="0015234E">
        <w:rPr>
          <w:rFonts w:ascii="Arial" w:hAnsi="Arial" w:cs="Arial"/>
          <w:color w:val="000000"/>
          <w:spacing w:val="2"/>
        </w:rPr>
        <w:t>ům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 xml:space="preserve">. </w:t>
      </w:r>
      <w:proofErr w:type="spellStart"/>
      <w:r w:rsidRPr="0015234E">
        <w:rPr>
          <w:rFonts w:ascii="Arial" w:hAnsi="Arial" w:cs="Arial"/>
          <w:color w:val="000000"/>
          <w:spacing w:val="2"/>
        </w:rPr>
        <w:t>Scénářový</w:t>
      </w:r>
      <w:proofErr w:type="spellEnd"/>
      <w:r w:rsidRPr="0015234E">
        <w:rPr>
          <w:rFonts w:ascii="Arial" w:hAnsi="Arial" w:cs="Arial"/>
          <w:color w:val="000000"/>
          <w:spacing w:val="2"/>
        </w:rPr>
        <w:t xml:space="preserve"> globální 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 xml:space="preserve">výhled </w:t>
      </w:r>
      <w:r w:rsidRPr="0015234E">
        <w:rPr>
          <w:rFonts w:ascii="Arial" w:hAnsi="Arial" w:cs="Arial"/>
          <w:color w:val="000000"/>
          <w:spacing w:val="2"/>
        </w:rPr>
        <w:t xml:space="preserve">OECD 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>pro plasty</w:t>
      </w:r>
      <w:r w:rsidRPr="0015234E">
        <w:rPr>
          <w:rFonts w:ascii="Arial" w:hAnsi="Arial" w:cs="Arial"/>
          <w:color w:val="000000"/>
          <w:spacing w:val="2"/>
        </w:rPr>
        <w:t xml:space="preserve"> pomáhá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 xml:space="preserve"> pochopit rozsah výzvy k přechodu na udržitelnější a oběhové využívání plastů a potřebu </w:t>
      </w:r>
      <w:r w:rsidRPr="0015234E">
        <w:rPr>
          <w:rFonts w:ascii="Arial" w:hAnsi="Arial" w:cs="Arial"/>
          <w:color w:val="000000"/>
          <w:spacing w:val="2"/>
        </w:rPr>
        <w:t>dalších</w:t>
      </w:r>
      <w:r w:rsidRPr="0015234E">
        <w:rPr>
          <w:rFonts w:ascii="Arial" w:eastAsia="Times New Roman" w:hAnsi="Arial" w:cs="Arial"/>
          <w:color w:val="000000"/>
          <w:spacing w:val="2"/>
          <w:lang w:eastAsia="cs-CZ"/>
        </w:rPr>
        <w:t xml:space="preserve"> politických opatření</w:t>
      </w:r>
      <w:r w:rsidRPr="0015234E">
        <w:rPr>
          <w:rFonts w:ascii="Arial" w:hAnsi="Arial" w:cs="Arial"/>
          <w:color w:val="000000"/>
          <w:spacing w:val="2"/>
        </w:rPr>
        <w:t xml:space="preserve"> ve čtyřech oblastech (trh pro recyklované plasty, inovace, domácí politiky, mezinárodní spolupráce). Vědecké důkazy o možném dlouhodobém působení přípustných dávek, expozici a zdravotních rizicích se stále vyvíjejí. Po období, kdy se </w:t>
      </w:r>
      <w:r>
        <w:rPr>
          <w:rFonts w:ascii="Arial" w:hAnsi="Arial" w:cs="Arial"/>
          <w:color w:val="000000"/>
          <w:spacing w:val="2"/>
        </w:rPr>
        <w:t xml:space="preserve">např. </w:t>
      </w:r>
      <w:r w:rsidRPr="0015234E">
        <w:rPr>
          <w:rFonts w:ascii="Arial" w:hAnsi="Arial" w:cs="Arial"/>
          <w:color w:val="000000"/>
          <w:spacing w:val="2"/>
        </w:rPr>
        <w:t xml:space="preserve">melamin považoval za relativně netoxický a </w:t>
      </w:r>
      <w:r>
        <w:rPr>
          <w:rFonts w:ascii="Arial" w:hAnsi="Arial" w:cs="Arial"/>
          <w:color w:val="000000"/>
          <w:spacing w:val="2"/>
        </w:rPr>
        <w:t xml:space="preserve">kdy </w:t>
      </w:r>
      <w:r w:rsidRPr="0015234E">
        <w:rPr>
          <w:rFonts w:ascii="Arial" w:hAnsi="Arial" w:cs="Arial"/>
          <w:color w:val="000000"/>
          <w:spacing w:val="2"/>
        </w:rPr>
        <w:t xml:space="preserve">intoxikace u lidí nebyly známé, ukázaly na jeho nebezpečné synergické působení s jinými látkami až série úhynů domácích zvířat v USA (kontaminovaná krmiva) a následně </w:t>
      </w:r>
      <w:r>
        <w:rPr>
          <w:rFonts w:ascii="Arial" w:hAnsi="Arial" w:cs="Arial"/>
          <w:color w:val="000000"/>
          <w:spacing w:val="2"/>
        </w:rPr>
        <w:t>kauza</w:t>
      </w:r>
      <w:r w:rsidRPr="0015234E">
        <w:rPr>
          <w:rFonts w:ascii="Arial" w:hAnsi="Arial" w:cs="Arial"/>
          <w:color w:val="000000"/>
          <w:spacing w:val="2"/>
        </w:rPr>
        <w:t xml:space="preserve"> cca 300 tis. čínských kojenců a batolat, u nichž se objevily nerozpustné umělohmotné krystaly v ledvinách (kontaminovaná kojenecká výživa). Proto je namístě paralelní zavádění souborů obchodně-politických, sektorových i environmentálních opatření, která </w:t>
      </w:r>
      <w:r>
        <w:rPr>
          <w:rFonts w:ascii="Arial" w:hAnsi="Arial" w:cs="Arial"/>
          <w:color w:val="000000"/>
          <w:spacing w:val="2"/>
        </w:rPr>
        <w:t>povedou k efektivním řešením</w:t>
      </w:r>
      <w:r w:rsidRPr="00D00EFD">
        <w:rPr>
          <w:rFonts w:ascii="Arial" w:hAnsi="Arial" w:cs="Arial"/>
          <w:color w:val="000000"/>
          <w:spacing w:val="2"/>
        </w:rPr>
        <w:t xml:space="preserve"> systém</w:t>
      </w:r>
      <w:r>
        <w:rPr>
          <w:rFonts w:ascii="Arial" w:hAnsi="Arial" w:cs="Arial"/>
          <w:color w:val="000000"/>
          <w:spacing w:val="2"/>
        </w:rPr>
        <w:t>ů</w:t>
      </w:r>
      <w:r w:rsidRPr="00D00EFD">
        <w:rPr>
          <w:rFonts w:ascii="Arial" w:hAnsi="Arial" w:cs="Arial"/>
          <w:color w:val="000000"/>
          <w:spacing w:val="2"/>
        </w:rPr>
        <w:t xml:space="preserve"> odpadového hospodářství</w:t>
      </w:r>
      <w:r>
        <w:rPr>
          <w:rFonts w:ascii="Arial" w:hAnsi="Arial" w:cs="Arial"/>
          <w:color w:val="000000"/>
          <w:spacing w:val="2"/>
        </w:rPr>
        <w:t>, ke</w:t>
      </w:r>
      <w:r>
        <w:rPr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2"/>
        </w:rPr>
        <w:t>zpřísnění regulace globálního obchodu</w:t>
      </w:r>
      <w:r w:rsidRPr="0015234E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s plasty a jejich odpady </w:t>
      </w:r>
      <w:r w:rsidRPr="0015234E">
        <w:rPr>
          <w:rFonts w:ascii="Arial" w:hAnsi="Arial" w:cs="Arial"/>
          <w:color w:val="000000"/>
          <w:spacing w:val="2"/>
        </w:rPr>
        <w:t>motivovan</w:t>
      </w:r>
      <w:r>
        <w:rPr>
          <w:rFonts w:ascii="Arial" w:hAnsi="Arial" w:cs="Arial"/>
          <w:color w:val="000000"/>
          <w:spacing w:val="2"/>
        </w:rPr>
        <w:t>ého</w:t>
      </w:r>
      <w:r w:rsidRPr="0015234E">
        <w:rPr>
          <w:rFonts w:ascii="Arial" w:hAnsi="Arial" w:cs="Arial"/>
          <w:color w:val="000000"/>
          <w:spacing w:val="2"/>
        </w:rPr>
        <w:t xml:space="preserve"> rozdíly v environmentálních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15234E">
        <w:rPr>
          <w:rFonts w:ascii="Arial" w:hAnsi="Arial" w:cs="Arial"/>
          <w:color w:val="000000"/>
          <w:spacing w:val="2"/>
        </w:rPr>
        <w:t>předpisech a normách</w:t>
      </w:r>
      <w:r>
        <w:rPr>
          <w:rFonts w:ascii="Arial" w:hAnsi="Arial" w:cs="Arial"/>
          <w:color w:val="000000"/>
          <w:spacing w:val="2"/>
        </w:rPr>
        <w:t xml:space="preserve"> (novelizace Basilejské úmluvy platná od r. 2021)</w:t>
      </w:r>
      <w:r w:rsidRPr="0015234E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a k omezení všech</w:t>
      </w:r>
      <w:r w:rsidRPr="0015234E">
        <w:rPr>
          <w:rFonts w:ascii="Arial" w:hAnsi="Arial" w:cs="Arial"/>
          <w:color w:val="000000"/>
          <w:spacing w:val="2"/>
        </w:rPr>
        <w:t xml:space="preserve"> asymetri</w:t>
      </w:r>
      <w:r>
        <w:rPr>
          <w:rFonts w:ascii="Arial" w:hAnsi="Arial" w:cs="Arial"/>
          <w:color w:val="000000"/>
          <w:spacing w:val="2"/>
        </w:rPr>
        <w:t>í</w:t>
      </w:r>
      <w:r w:rsidRPr="0015234E">
        <w:rPr>
          <w:rFonts w:ascii="Arial" w:hAnsi="Arial" w:cs="Arial"/>
          <w:color w:val="000000"/>
          <w:spacing w:val="2"/>
        </w:rPr>
        <w:t>, jejichž následkem je sn</w:t>
      </w:r>
      <w:r>
        <w:rPr>
          <w:rFonts w:ascii="Arial" w:hAnsi="Arial" w:cs="Arial"/>
          <w:color w:val="000000"/>
          <w:spacing w:val="2"/>
        </w:rPr>
        <w:t>ižování</w:t>
      </w:r>
      <w:r w:rsidRPr="0015234E">
        <w:rPr>
          <w:rFonts w:ascii="Arial" w:hAnsi="Arial" w:cs="Arial"/>
          <w:color w:val="000000"/>
          <w:spacing w:val="2"/>
        </w:rPr>
        <w:t xml:space="preserve"> míry recyklace nebo </w:t>
      </w:r>
      <w:r>
        <w:rPr>
          <w:rFonts w:ascii="Arial" w:hAnsi="Arial" w:cs="Arial"/>
          <w:color w:val="000000"/>
          <w:spacing w:val="2"/>
        </w:rPr>
        <w:t>zvyšování</w:t>
      </w:r>
      <w:r w:rsidRPr="0015234E">
        <w:rPr>
          <w:rFonts w:ascii="Arial" w:hAnsi="Arial" w:cs="Arial"/>
          <w:color w:val="000000"/>
          <w:spacing w:val="2"/>
        </w:rPr>
        <w:t xml:space="preserve"> znečištění.</w:t>
      </w:r>
      <w:r>
        <w:rPr>
          <w:rFonts w:ascii="Arial" w:hAnsi="Arial" w:cs="Arial"/>
          <w:color w:val="000000"/>
          <w:spacing w:val="2"/>
        </w:rPr>
        <w:t xml:space="preserve"> Nová daň z vyrobených či dovezených plastových obalů ve Velké Británii od dubna 2022 je jedním z příkladů uvedených opatření, která dopadají i na české exportéry. </w:t>
      </w:r>
    </w:p>
    <w:p w:rsidR="006E716F" w:rsidRPr="00FA59E1" w:rsidRDefault="006E716F" w:rsidP="006E716F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6" w:history="1">
        <w:r w:rsidRPr="00FA59E1">
          <w:rPr>
            <w:rStyle w:val="Hypertextovodkaz"/>
            <w:rFonts w:ascii="Arial" w:hAnsi="Arial" w:cs="Arial"/>
            <w:sz w:val="20"/>
          </w:rPr>
          <w:t>https://www.oecd-ilibrary.org/environment/global-plastics-outlook_aa1edf33-en</w:t>
        </w:r>
      </w:hyperlink>
    </w:p>
    <w:p w:rsidR="006E716F" w:rsidRDefault="006E716F" w:rsidP="006E716F">
      <w:pPr>
        <w:spacing w:after="0" w:line="240" w:lineRule="auto"/>
        <w:jc w:val="both"/>
        <w:rPr>
          <w:rFonts w:ascii="Arial" w:hAnsi="Arial" w:cs="Arial"/>
        </w:rPr>
      </w:pPr>
    </w:p>
    <w:p w:rsidR="006E716F" w:rsidRPr="00E44408" w:rsidRDefault="006E716F" w:rsidP="006E716F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74ECEC0" wp14:editId="755E56F1">
            <wp:simplePos x="0" y="0"/>
            <wp:positionH relativeFrom="margin">
              <wp:posOffset>4613275</wp:posOffset>
            </wp:positionH>
            <wp:positionV relativeFrom="paragraph">
              <wp:posOffset>33655</wp:posOffset>
            </wp:positionV>
            <wp:extent cx="1123315" cy="1501140"/>
            <wp:effectExtent l="19050" t="19050" r="19685" b="22860"/>
            <wp:wrapTight wrapText="bothSides">
              <wp:wrapPolygon edited="0">
                <wp:start x="-366" y="-274"/>
                <wp:lineTo x="-366" y="21655"/>
                <wp:lineTo x="21612" y="21655"/>
                <wp:lineTo x="21612" y="-274"/>
                <wp:lineTo x="-366" y="-27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501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408">
        <w:rPr>
          <w:rFonts w:ascii="Arial" w:hAnsi="Arial" w:cs="Arial"/>
          <w:color w:val="000000"/>
          <w:spacing w:val="2"/>
        </w:rPr>
        <w:t xml:space="preserve">Velká Británie vyvíjí úsilí, aby bylo do roku 2050 dosaženo nulových čistých emisí skleníkových plynů, připravila se na změnu klimatu, zvrátila úbytek biologické rozmanitosti a zajistila oběhové hospodářství účinněji využívající zdroje. Klíčové bude posílení koordinace s regionálními vládami, ale i posílení soudržnosti mezi odvětvovými a environmentálními politikami. </w:t>
      </w:r>
      <w:r>
        <w:rPr>
          <w:rFonts w:ascii="Arial" w:hAnsi="Arial" w:cs="Arial"/>
          <w:color w:val="000000"/>
          <w:spacing w:val="2"/>
        </w:rPr>
        <w:t>T</w:t>
      </w:r>
      <w:r w:rsidRPr="00E44408">
        <w:rPr>
          <w:rFonts w:ascii="Arial" w:hAnsi="Arial" w:cs="Arial"/>
          <w:color w:val="000000"/>
          <w:spacing w:val="2"/>
        </w:rPr>
        <w:t xml:space="preserve">řetí přezkum výkonnosti </w:t>
      </w:r>
      <w:r>
        <w:rPr>
          <w:rFonts w:ascii="Arial" w:hAnsi="Arial" w:cs="Arial"/>
          <w:color w:val="000000"/>
          <w:spacing w:val="2"/>
        </w:rPr>
        <w:t>Velké Británie</w:t>
      </w:r>
      <w:r w:rsidRPr="00E44408">
        <w:rPr>
          <w:rFonts w:ascii="Arial" w:hAnsi="Arial" w:cs="Arial"/>
          <w:color w:val="000000"/>
          <w:spacing w:val="2"/>
        </w:rPr>
        <w:t xml:space="preserve"> v oblasti životního prostředí</w:t>
      </w:r>
      <w:r>
        <w:rPr>
          <w:rFonts w:ascii="Arial" w:hAnsi="Arial" w:cs="Arial"/>
          <w:color w:val="000000"/>
          <w:spacing w:val="2"/>
        </w:rPr>
        <w:t xml:space="preserve"> h</w:t>
      </w:r>
      <w:r w:rsidRPr="00E44408">
        <w:rPr>
          <w:rFonts w:ascii="Arial" w:hAnsi="Arial" w:cs="Arial"/>
          <w:color w:val="000000"/>
          <w:spacing w:val="2"/>
        </w:rPr>
        <w:t xml:space="preserve">odnotí pokrok směrem k zelenému růstu, přičemž zvláštní kapitola se zaměřuje na odpady, nakládání s materiály a oběhové hospodářství. Společná zemědělská politika </w:t>
      </w:r>
      <w:r>
        <w:rPr>
          <w:rFonts w:ascii="Arial" w:hAnsi="Arial" w:cs="Arial"/>
          <w:color w:val="000000"/>
          <w:spacing w:val="2"/>
        </w:rPr>
        <w:t>EU</w:t>
      </w:r>
      <w:r w:rsidRPr="00E44408">
        <w:rPr>
          <w:rFonts w:ascii="Arial" w:hAnsi="Arial" w:cs="Arial"/>
          <w:color w:val="000000"/>
          <w:spacing w:val="2"/>
        </w:rPr>
        <w:t xml:space="preserve"> definovala podporu </w:t>
      </w:r>
      <w:r>
        <w:rPr>
          <w:rFonts w:ascii="Arial" w:hAnsi="Arial" w:cs="Arial"/>
          <w:color w:val="000000"/>
          <w:spacing w:val="2"/>
        </w:rPr>
        <w:t xml:space="preserve">místního </w:t>
      </w:r>
      <w:r w:rsidRPr="00E44408">
        <w:rPr>
          <w:rFonts w:ascii="Arial" w:hAnsi="Arial" w:cs="Arial"/>
          <w:color w:val="000000"/>
          <w:spacing w:val="2"/>
        </w:rPr>
        <w:t xml:space="preserve">zemědělství </w:t>
      </w:r>
      <w:r>
        <w:rPr>
          <w:rFonts w:ascii="Arial" w:hAnsi="Arial" w:cs="Arial"/>
          <w:color w:val="000000"/>
          <w:spacing w:val="2"/>
        </w:rPr>
        <w:t xml:space="preserve">až do </w:t>
      </w:r>
      <w:proofErr w:type="spellStart"/>
      <w:r>
        <w:rPr>
          <w:rFonts w:ascii="Arial" w:hAnsi="Arial" w:cs="Arial"/>
          <w:color w:val="000000"/>
          <w:spacing w:val="2"/>
        </w:rPr>
        <w:t>brexitu</w:t>
      </w:r>
      <w:proofErr w:type="spellEnd"/>
      <w:r w:rsidRPr="00E44408">
        <w:rPr>
          <w:rFonts w:ascii="Arial" w:hAnsi="Arial" w:cs="Arial"/>
          <w:color w:val="000000"/>
          <w:spacing w:val="2"/>
        </w:rPr>
        <w:t xml:space="preserve">. V letech 2018-20 se </w:t>
      </w:r>
      <w:r>
        <w:rPr>
          <w:rFonts w:ascii="Arial" w:hAnsi="Arial" w:cs="Arial"/>
          <w:color w:val="000000"/>
          <w:spacing w:val="2"/>
        </w:rPr>
        <w:t xml:space="preserve">zde </w:t>
      </w:r>
      <w:r w:rsidRPr="00E44408">
        <w:rPr>
          <w:rFonts w:ascii="Arial" w:hAnsi="Arial" w:cs="Arial"/>
          <w:color w:val="000000"/>
          <w:spacing w:val="2"/>
        </w:rPr>
        <w:t>podpora zemědělců blížila průměru EU-27</w:t>
      </w:r>
      <w:r>
        <w:rPr>
          <w:rFonts w:ascii="Arial" w:hAnsi="Arial" w:cs="Arial"/>
          <w:color w:val="000000"/>
          <w:spacing w:val="2"/>
        </w:rPr>
        <w:t xml:space="preserve">, ale např. v roce 2020 </w:t>
      </w:r>
      <w:r w:rsidRPr="00E44408">
        <w:rPr>
          <w:rFonts w:ascii="Arial" w:hAnsi="Arial" w:cs="Arial"/>
          <w:color w:val="000000"/>
          <w:spacing w:val="2"/>
        </w:rPr>
        <w:t>platby do zemědělství svázané s produkcí a vytvářející tlaky na životní prostředí, včetně využívání daňových slev na pohonné hmoty, tvoř</w:t>
      </w:r>
      <w:r>
        <w:rPr>
          <w:rFonts w:ascii="Arial" w:hAnsi="Arial" w:cs="Arial"/>
          <w:color w:val="000000"/>
          <w:spacing w:val="2"/>
        </w:rPr>
        <w:t>ily</w:t>
      </w:r>
      <w:r w:rsidRPr="00E44408">
        <w:rPr>
          <w:rFonts w:ascii="Arial" w:hAnsi="Arial" w:cs="Arial"/>
          <w:color w:val="000000"/>
          <w:spacing w:val="2"/>
        </w:rPr>
        <w:t xml:space="preserve"> čtyřnásobek zemědělské podpory na ochranu životního prostředí v rámci Programu rozvoje venkova. Nový zákon </w:t>
      </w:r>
      <w:r>
        <w:rPr>
          <w:rFonts w:ascii="Arial" w:hAnsi="Arial" w:cs="Arial"/>
          <w:color w:val="000000"/>
          <w:spacing w:val="2"/>
        </w:rPr>
        <w:t xml:space="preserve">má </w:t>
      </w:r>
      <w:r w:rsidRPr="00E44408">
        <w:rPr>
          <w:rFonts w:ascii="Arial" w:hAnsi="Arial" w:cs="Arial"/>
          <w:color w:val="000000"/>
          <w:spacing w:val="2"/>
        </w:rPr>
        <w:t xml:space="preserve">většinu plateb </w:t>
      </w:r>
      <w:r>
        <w:rPr>
          <w:rFonts w:ascii="Arial" w:hAnsi="Arial" w:cs="Arial"/>
          <w:color w:val="000000"/>
          <w:spacing w:val="2"/>
        </w:rPr>
        <w:t>p</w:t>
      </w:r>
      <w:r w:rsidRPr="00E44408">
        <w:rPr>
          <w:rFonts w:ascii="Arial" w:hAnsi="Arial" w:cs="Arial"/>
          <w:color w:val="000000"/>
          <w:spacing w:val="2"/>
        </w:rPr>
        <w:t xml:space="preserve">ostupně nahradit platbami za veřejné statky. </w:t>
      </w:r>
    </w:p>
    <w:p w:rsidR="006E716F" w:rsidRPr="00E44408" w:rsidRDefault="006E716F" w:rsidP="006E716F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8" w:history="1">
        <w:r w:rsidRPr="00E44408">
          <w:rPr>
            <w:rStyle w:val="Hypertextovodkaz"/>
            <w:rFonts w:ascii="Arial" w:hAnsi="Arial" w:cs="Arial"/>
            <w:sz w:val="20"/>
          </w:rPr>
          <w:t>https://www.oecd-ilibrary.org/environment/oecd-environmental-performance-reviews-united-kingdom-2022_b6a2be87-en</w:t>
        </w:r>
      </w:hyperlink>
    </w:p>
    <w:p w:rsidR="006E716F" w:rsidRDefault="006E716F" w:rsidP="006E716F">
      <w:pPr>
        <w:spacing w:after="0" w:line="240" w:lineRule="auto"/>
        <w:jc w:val="both"/>
        <w:rPr>
          <w:rFonts w:ascii="Arial" w:hAnsi="Arial" w:cs="Arial"/>
        </w:rPr>
      </w:pPr>
    </w:p>
    <w:p w:rsidR="006E716F" w:rsidRPr="003F7CAF" w:rsidRDefault="006E716F" w:rsidP="006E7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:rsidR="006E716F" w:rsidRPr="003F7CAF" w:rsidRDefault="006E716F" w:rsidP="006E7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 xml:space="preserve">Odbor zahraničně obchodní spolupráce, </w:t>
      </w:r>
      <w:proofErr w:type="spellStart"/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MZe</w:t>
      </w:r>
      <w:proofErr w:type="spellEnd"/>
    </w:p>
    <w:p w:rsidR="00BD593A" w:rsidRPr="006E716F" w:rsidRDefault="006E716F" w:rsidP="006E7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sectPr w:rsidR="00BD593A" w:rsidRPr="006E716F" w:rsidSect="004F7E14">
      <w:head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73" w:rsidRDefault="00626690">
    <w:pPr>
      <w:pStyle w:val="Zhlav"/>
    </w:pPr>
    <w:r>
      <w:tab/>
    </w:r>
    <w:r>
      <w:tab/>
    </w:r>
    <w:r>
      <w:t>11</w:t>
    </w:r>
    <w:r>
      <w:t xml:space="preserve">. </w:t>
    </w:r>
    <w:r>
      <w:t>8</w:t>
    </w:r>
    <w:r>
      <w:t>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6F"/>
    <w:rsid w:val="006E716F"/>
    <w:rsid w:val="00B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2143"/>
  <w15:chartTrackingRefBased/>
  <w15:docId w15:val="{3F1D70B3-8561-440A-B935-756F41C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1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-ilibrary.org/environment/oecd-environmental-performance-reviews-united-kingdom-2022_b6a2be87-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ecd-ilibrary.org/environment/global-plastics-outlook_aa1edf33-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ha.europa.eu/hot-topics/microplastic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2022-08-11T13:33:00Z</dcterms:created>
  <dcterms:modified xsi:type="dcterms:W3CDTF">2022-08-11T13:33:00Z</dcterms:modified>
</cp:coreProperties>
</file>