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A5420D" w14:textId="77777777" w:rsidR="00B90DD2" w:rsidRPr="006927FE" w:rsidRDefault="00B90DD2" w:rsidP="00B90DD2">
      <w:pPr>
        <w:keepNext/>
        <w:autoSpaceDE w:val="0"/>
        <w:autoSpaceDN w:val="0"/>
        <w:spacing w:after="0"/>
        <w:jc w:val="both"/>
        <w:outlineLvl w:val="0"/>
        <w:rPr>
          <w:rFonts w:asciiTheme="minorHAnsi" w:eastAsia="Times New Roman" w:hAnsiTheme="minorHAnsi" w:cstheme="minorHAnsi"/>
          <w:b/>
          <w:bCs/>
          <w:sz w:val="28"/>
          <w:szCs w:val="28"/>
          <w:u w:val="single"/>
        </w:rPr>
      </w:pPr>
      <w:r w:rsidRPr="006927FE">
        <w:rPr>
          <w:rFonts w:asciiTheme="minorHAnsi" w:eastAsia="Times New Roman" w:hAnsiTheme="minorHAnsi" w:cstheme="minorHAnsi"/>
          <w:b/>
          <w:bCs/>
          <w:sz w:val="28"/>
          <w:szCs w:val="28"/>
          <w:u w:val="single"/>
        </w:rPr>
        <w:t>Potravinářská komora České republiky</w:t>
      </w:r>
    </w:p>
    <w:p w14:paraId="00E3932A" w14:textId="77777777" w:rsidR="00B90DD2" w:rsidRPr="006927FE" w:rsidRDefault="00B90DD2" w:rsidP="00B90DD2">
      <w:pPr>
        <w:spacing w:after="0"/>
        <w:jc w:val="both"/>
        <w:rPr>
          <w:rFonts w:asciiTheme="minorHAnsi" w:eastAsia="Times New Roman" w:hAnsiTheme="minorHAnsi" w:cstheme="minorHAnsi"/>
          <w:szCs w:val="24"/>
        </w:rPr>
      </w:pPr>
    </w:p>
    <w:p w14:paraId="35916CB4" w14:textId="77777777" w:rsidR="00B90DD2" w:rsidRPr="006927FE" w:rsidRDefault="00B90DD2" w:rsidP="00B90DD2">
      <w:pPr>
        <w:spacing w:after="0"/>
        <w:jc w:val="both"/>
        <w:rPr>
          <w:rFonts w:asciiTheme="minorHAnsi" w:eastAsia="Times New Roman" w:hAnsiTheme="minorHAnsi" w:cstheme="minorHAnsi"/>
          <w:szCs w:val="24"/>
        </w:rPr>
      </w:pPr>
      <w:r w:rsidRPr="006927FE">
        <w:rPr>
          <w:rFonts w:asciiTheme="minorHAnsi" w:eastAsia="Times New Roman" w:hAnsiTheme="minorHAnsi" w:cstheme="minorHAnsi"/>
          <w:szCs w:val="24"/>
        </w:rPr>
        <w:t xml:space="preserve">Název pracovního </w:t>
      </w:r>
      <w:proofErr w:type="gramStart"/>
      <w:r w:rsidRPr="006927FE">
        <w:rPr>
          <w:rFonts w:asciiTheme="minorHAnsi" w:eastAsia="Times New Roman" w:hAnsiTheme="minorHAnsi" w:cstheme="minorHAnsi"/>
          <w:szCs w:val="24"/>
        </w:rPr>
        <w:t xml:space="preserve">orgánu:   </w:t>
      </w:r>
      <w:proofErr w:type="gramEnd"/>
      <w:r w:rsidRPr="006927FE">
        <w:rPr>
          <w:rFonts w:asciiTheme="minorHAnsi" w:eastAsia="Times New Roman" w:hAnsiTheme="minorHAnsi" w:cstheme="minorHAnsi"/>
          <w:szCs w:val="24"/>
        </w:rPr>
        <w:t xml:space="preserve">      </w:t>
      </w:r>
      <w:r w:rsidRPr="006927FE">
        <w:rPr>
          <w:rFonts w:asciiTheme="minorHAnsi" w:eastAsia="Times New Roman" w:hAnsiTheme="minorHAnsi" w:cstheme="minorHAnsi"/>
          <w:szCs w:val="24"/>
        </w:rPr>
        <w:tab/>
        <w:t xml:space="preserve">  </w:t>
      </w:r>
      <w:r w:rsidRPr="006927FE">
        <w:rPr>
          <w:rFonts w:asciiTheme="minorHAnsi" w:eastAsia="Times New Roman" w:hAnsiTheme="minorHAnsi" w:cstheme="minorHAnsi"/>
          <w:b/>
          <w:szCs w:val="24"/>
        </w:rPr>
        <w:t>Food Drink Europe</w:t>
      </w:r>
    </w:p>
    <w:p w14:paraId="270402F2" w14:textId="77777777" w:rsidR="00B90DD2" w:rsidRPr="006927FE" w:rsidRDefault="00B90DD2" w:rsidP="00B90DD2">
      <w:pPr>
        <w:spacing w:after="0"/>
        <w:jc w:val="both"/>
        <w:rPr>
          <w:rFonts w:asciiTheme="minorHAnsi" w:eastAsia="Times New Roman" w:hAnsiTheme="minorHAnsi" w:cstheme="minorHAnsi"/>
          <w:szCs w:val="24"/>
        </w:rPr>
      </w:pPr>
    </w:p>
    <w:p w14:paraId="5FF1BCC7" w14:textId="77777777" w:rsidR="00B90DD2" w:rsidRPr="006927FE" w:rsidRDefault="00B90DD2" w:rsidP="00B90DD2">
      <w:pPr>
        <w:spacing w:after="0"/>
        <w:jc w:val="center"/>
        <w:rPr>
          <w:rFonts w:asciiTheme="minorHAnsi" w:eastAsia="Times New Roman" w:hAnsiTheme="minorHAnsi" w:cstheme="minorHAnsi"/>
          <w:szCs w:val="24"/>
        </w:rPr>
      </w:pPr>
      <w:r w:rsidRPr="006927FE">
        <w:rPr>
          <w:rFonts w:asciiTheme="minorHAnsi" w:eastAsia="Times New Roman" w:hAnsiTheme="minorHAnsi" w:cstheme="minorHAnsi"/>
          <w:szCs w:val="24"/>
        </w:rPr>
        <w:t>Zpráva o výsledku jednání</w:t>
      </w:r>
    </w:p>
    <w:p w14:paraId="57E40757" w14:textId="2B3D288A" w:rsidR="00B90DD2" w:rsidRPr="006927FE" w:rsidRDefault="00B90DD2" w:rsidP="00B90DD2">
      <w:pPr>
        <w:spacing w:after="0"/>
        <w:jc w:val="center"/>
        <w:rPr>
          <w:rFonts w:asciiTheme="minorHAnsi" w:hAnsiTheme="minorHAnsi" w:cstheme="minorHAnsi"/>
          <w:b/>
          <w:bCs/>
          <w:i/>
          <w:iCs/>
          <w:szCs w:val="24"/>
        </w:rPr>
      </w:pPr>
      <w:r>
        <w:rPr>
          <w:rFonts w:asciiTheme="minorHAnsi" w:hAnsiTheme="minorHAnsi" w:cstheme="minorHAnsi"/>
          <w:b/>
          <w:bCs/>
          <w:i/>
          <w:iCs/>
          <w:szCs w:val="24"/>
        </w:rPr>
        <w:t>FSFS – Pracovní rámec pro udržitelné potravinové systémy</w:t>
      </w:r>
    </w:p>
    <w:p w14:paraId="61FA87C5" w14:textId="77777777" w:rsidR="00B90DD2" w:rsidRPr="006927FE" w:rsidRDefault="00B90DD2" w:rsidP="00B90DD2">
      <w:pPr>
        <w:spacing w:after="0"/>
        <w:jc w:val="center"/>
        <w:rPr>
          <w:rFonts w:asciiTheme="minorHAnsi" w:eastAsia="Times New Roman" w:hAnsiTheme="minorHAnsi" w:cstheme="minorHAnsi"/>
          <w:bCs/>
          <w:szCs w:val="24"/>
        </w:rPr>
      </w:pPr>
    </w:p>
    <w:p w14:paraId="6337715F" w14:textId="050A36B1" w:rsidR="00B90DD2" w:rsidRPr="006927FE" w:rsidRDefault="00B90DD2" w:rsidP="00B90DD2">
      <w:pPr>
        <w:spacing w:after="0"/>
        <w:jc w:val="both"/>
        <w:rPr>
          <w:rFonts w:asciiTheme="minorHAnsi" w:eastAsia="Times New Roman" w:hAnsiTheme="minorHAnsi" w:cstheme="minorHAnsi"/>
          <w:bCs/>
          <w:szCs w:val="24"/>
        </w:rPr>
      </w:pPr>
      <w:r w:rsidRPr="006927FE">
        <w:rPr>
          <w:rFonts w:asciiTheme="minorHAnsi" w:eastAsia="Times New Roman" w:hAnsiTheme="minorHAnsi" w:cstheme="minorHAnsi"/>
          <w:bCs/>
          <w:szCs w:val="24"/>
        </w:rPr>
        <w:t>Datum, čas a místo zasedání: 0</w:t>
      </w:r>
      <w:r>
        <w:rPr>
          <w:rFonts w:asciiTheme="minorHAnsi" w:eastAsia="Times New Roman" w:hAnsiTheme="minorHAnsi" w:cstheme="minorHAnsi"/>
          <w:bCs/>
          <w:szCs w:val="24"/>
        </w:rPr>
        <w:t>2</w:t>
      </w:r>
      <w:r w:rsidRPr="006927FE">
        <w:rPr>
          <w:rFonts w:asciiTheme="minorHAnsi" w:eastAsia="Times New Roman" w:hAnsiTheme="minorHAnsi" w:cstheme="minorHAnsi"/>
          <w:bCs/>
          <w:szCs w:val="24"/>
        </w:rPr>
        <w:t>/0</w:t>
      </w:r>
      <w:r>
        <w:rPr>
          <w:rFonts w:asciiTheme="minorHAnsi" w:eastAsia="Times New Roman" w:hAnsiTheme="minorHAnsi" w:cstheme="minorHAnsi"/>
          <w:bCs/>
          <w:szCs w:val="24"/>
        </w:rPr>
        <w:t>3</w:t>
      </w:r>
      <w:r w:rsidRPr="006927FE">
        <w:rPr>
          <w:rFonts w:asciiTheme="minorHAnsi" w:eastAsia="Times New Roman" w:hAnsiTheme="minorHAnsi" w:cstheme="minorHAnsi"/>
          <w:bCs/>
          <w:szCs w:val="24"/>
        </w:rPr>
        <w:t>/2023, začátek v 14:</w:t>
      </w:r>
      <w:r>
        <w:rPr>
          <w:rFonts w:asciiTheme="minorHAnsi" w:eastAsia="Times New Roman" w:hAnsiTheme="minorHAnsi" w:cstheme="minorHAnsi"/>
          <w:bCs/>
          <w:szCs w:val="24"/>
        </w:rPr>
        <w:t>3</w:t>
      </w:r>
      <w:r w:rsidRPr="006927FE">
        <w:rPr>
          <w:rFonts w:asciiTheme="minorHAnsi" w:eastAsia="Times New Roman" w:hAnsiTheme="minorHAnsi" w:cstheme="minorHAnsi"/>
          <w:bCs/>
          <w:szCs w:val="24"/>
        </w:rPr>
        <w:t>0 h do 1</w:t>
      </w:r>
      <w:r>
        <w:rPr>
          <w:rFonts w:asciiTheme="minorHAnsi" w:eastAsia="Times New Roman" w:hAnsiTheme="minorHAnsi" w:cstheme="minorHAnsi"/>
          <w:bCs/>
          <w:szCs w:val="24"/>
        </w:rPr>
        <w:t>7</w:t>
      </w:r>
      <w:r w:rsidRPr="006927FE">
        <w:rPr>
          <w:rFonts w:asciiTheme="minorHAnsi" w:eastAsia="Times New Roman" w:hAnsiTheme="minorHAnsi" w:cstheme="minorHAnsi"/>
          <w:bCs/>
          <w:szCs w:val="24"/>
        </w:rPr>
        <w:t>:</w:t>
      </w:r>
      <w:r>
        <w:rPr>
          <w:rFonts w:asciiTheme="minorHAnsi" w:eastAsia="Times New Roman" w:hAnsiTheme="minorHAnsi" w:cstheme="minorHAnsi"/>
          <w:bCs/>
          <w:szCs w:val="24"/>
        </w:rPr>
        <w:t>0</w:t>
      </w:r>
      <w:r w:rsidRPr="006927FE">
        <w:rPr>
          <w:rFonts w:asciiTheme="minorHAnsi" w:eastAsia="Times New Roman" w:hAnsiTheme="minorHAnsi" w:cstheme="minorHAnsi"/>
          <w:bCs/>
          <w:szCs w:val="24"/>
        </w:rPr>
        <w:t>0 h</w:t>
      </w:r>
    </w:p>
    <w:p w14:paraId="61053D6D" w14:textId="5B5237BD" w:rsidR="00B90DD2" w:rsidRPr="006927FE" w:rsidRDefault="00B90DD2" w:rsidP="00B90DD2">
      <w:pPr>
        <w:spacing w:after="0"/>
        <w:jc w:val="both"/>
        <w:rPr>
          <w:rFonts w:asciiTheme="minorHAnsi" w:eastAsia="Times New Roman" w:hAnsiTheme="minorHAnsi" w:cstheme="minorHAnsi"/>
          <w:szCs w:val="24"/>
        </w:rPr>
      </w:pPr>
      <w:r w:rsidRPr="006927FE">
        <w:rPr>
          <w:rFonts w:asciiTheme="minorHAnsi" w:eastAsia="Times New Roman" w:hAnsiTheme="minorHAnsi" w:cstheme="minorHAnsi"/>
          <w:szCs w:val="24"/>
        </w:rPr>
        <w:t>Zapsal</w:t>
      </w:r>
      <w:r>
        <w:rPr>
          <w:rFonts w:asciiTheme="minorHAnsi" w:eastAsia="Times New Roman" w:hAnsiTheme="minorHAnsi" w:cstheme="minorHAnsi"/>
          <w:szCs w:val="24"/>
        </w:rPr>
        <w:t>a</w:t>
      </w:r>
      <w:r w:rsidRPr="006927FE">
        <w:rPr>
          <w:rFonts w:asciiTheme="minorHAnsi" w:eastAsia="Times New Roman" w:hAnsiTheme="minorHAnsi" w:cstheme="minorHAnsi"/>
          <w:szCs w:val="24"/>
        </w:rPr>
        <w:t xml:space="preserve">: </w:t>
      </w:r>
      <w:r>
        <w:rPr>
          <w:rFonts w:asciiTheme="minorHAnsi" w:eastAsia="Times New Roman" w:hAnsiTheme="minorHAnsi" w:cstheme="minorHAnsi"/>
          <w:szCs w:val="24"/>
        </w:rPr>
        <w:t xml:space="preserve">Adéla Paďourková </w:t>
      </w:r>
    </w:p>
    <w:p w14:paraId="2112585D" w14:textId="77777777" w:rsidR="00B90DD2" w:rsidRPr="006927FE" w:rsidRDefault="00B90DD2" w:rsidP="00B90DD2">
      <w:pPr>
        <w:spacing w:after="0"/>
        <w:jc w:val="both"/>
        <w:rPr>
          <w:rFonts w:asciiTheme="minorHAnsi" w:eastAsia="Times New Roman" w:hAnsiTheme="minorHAnsi" w:cstheme="minorHAnsi"/>
          <w:szCs w:val="24"/>
        </w:rPr>
      </w:pPr>
      <w:r w:rsidRPr="006927FE">
        <w:rPr>
          <w:rFonts w:asciiTheme="minorHAnsi" w:eastAsia="Times New Roman" w:hAnsiTheme="minorHAnsi" w:cstheme="minorHAnsi"/>
          <w:szCs w:val="24"/>
        </w:rPr>
        <w:tab/>
      </w:r>
      <w:r w:rsidRPr="006927FE">
        <w:rPr>
          <w:rFonts w:asciiTheme="minorHAnsi" w:eastAsia="Times New Roman" w:hAnsiTheme="minorHAnsi" w:cstheme="minorHAnsi"/>
          <w:szCs w:val="24"/>
        </w:rPr>
        <w:tab/>
        <w:t xml:space="preserve"> </w:t>
      </w:r>
      <w:r w:rsidRPr="006927FE">
        <w:rPr>
          <w:rFonts w:asciiTheme="minorHAnsi" w:eastAsia="Times New Roman" w:hAnsiTheme="minorHAnsi" w:cstheme="minorHAnsi"/>
          <w:szCs w:val="24"/>
        </w:rPr>
        <w:tab/>
        <w:t xml:space="preserve"> </w:t>
      </w:r>
      <w:r w:rsidRPr="006927FE">
        <w:rPr>
          <w:rFonts w:asciiTheme="minorHAnsi" w:eastAsia="Times New Roman" w:hAnsiTheme="minorHAnsi" w:cstheme="minorHAnsi"/>
          <w:szCs w:val="24"/>
        </w:rPr>
        <w:tab/>
      </w:r>
      <w:r w:rsidRPr="006927FE">
        <w:rPr>
          <w:rFonts w:asciiTheme="minorHAnsi" w:eastAsia="Times New Roman" w:hAnsiTheme="minorHAnsi" w:cstheme="minorHAnsi"/>
          <w:szCs w:val="24"/>
        </w:rPr>
        <w:tab/>
      </w:r>
      <w:r w:rsidRPr="006927FE">
        <w:rPr>
          <w:rFonts w:asciiTheme="minorHAnsi" w:eastAsia="Times New Roman" w:hAnsiTheme="minorHAnsi" w:cstheme="minorHAnsi"/>
          <w:szCs w:val="24"/>
        </w:rPr>
        <w:tab/>
      </w:r>
      <w:r w:rsidRPr="006927FE">
        <w:rPr>
          <w:rFonts w:asciiTheme="minorHAnsi" w:eastAsia="Times New Roman" w:hAnsiTheme="minorHAnsi" w:cstheme="minorHAnsi"/>
          <w:szCs w:val="24"/>
        </w:rPr>
        <w:tab/>
      </w:r>
      <w:r w:rsidRPr="006927FE">
        <w:rPr>
          <w:rFonts w:asciiTheme="minorHAnsi" w:eastAsia="Times New Roman" w:hAnsiTheme="minorHAnsi" w:cstheme="minorHAnsi"/>
          <w:szCs w:val="24"/>
        </w:rPr>
        <w:tab/>
        <w:t xml:space="preserve">       </w:t>
      </w:r>
    </w:p>
    <w:p w14:paraId="57D4B27D" w14:textId="77777777" w:rsidR="00B90DD2" w:rsidRPr="006927FE" w:rsidRDefault="00B90DD2" w:rsidP="00B90DD2">
      <w:pPr>
        <w:jc w:val="both"/>
        <w:rPr>
          <w:rFonts w:asciiTheme="minorHAnsi" w:hAnsiTheme="minorHAnsi" w:cstheme="minorHAnsi"/>
          <w:b/>
          <w:szCs w:val="24"/>
        </w:rPr>
      </w:pPr>
    </w:p>
    <w:p w14:paraId="15D042EC" w14:textId="77777777" w:rsidR="00B90DD2" w:rsidRPr="006927FE" w:rsidRDefault="00B90DD2" w:rsidP="00B90DD2">
      <w:pPr>
        <w:jc w:val="both"/>
        <w:rPr>
          <w:rFonts w:asciiTheme="minorHAnsi" w:hAnsiTheme="minorHAnsi" w:cstheme="minorHAnsi"/>
          <w:b/>
          <w:szCs w:val="24"/>
        </w:rPr>
      </w:pPr>
      <w:r w:rsidRPr="006927FE">
        <w:rPr>
          <w:rFonts w:asciiTheme="minorHAnsi" w:hAnsiTheme="minorHAnsi" w:cstheme="minorHAnsi"/>
          <w:b/>
          <w:szCs w:val="24"/>
        </w:rPr>
        <w:t xml:space="preserve">Program jednání: </w:t>
      </w:r>
    </w:p>
    <w:p w14:paraId="71A42595" w14:textId="26CBC0FA" w:rsidR="00B90DD2" w:rsidRDefault="00B90DD2" w:rsidP="00B90DD2">
      <w:pPr>
        <w:spacing w:before="240" w:after="0"/>
        <w:jc w:val="both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 xml:space="preserve">Bod 1. Uvítání, antimonopolní prohlášení, přijetí agendy </w:t>
      </w:r>
    </w:p>
    <w:p w14:paraId="71B7100F" w14:textId="76059F8E" w:rsidR="00B90DD2" w:rsidRDefault="00B90DD2" w:rsidP="00B90DD2">
      <w:pPr>
        <w:spacing w:before="240" w:after="0"/>
        <w:jc w:val="both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 xml:space="preserve">Bod 2. Náplň činnosti pracovní skupiny pro FSFS – Pracovní rámec pro udržitelné potravinové systémy </w:t>
      </w:r>
    </w:p>
    <w:p w14:paraId="50C6FFD9" w14:textId="78A12B2F" w:rsidR="00B90DD2" w:rsidRDefault="00B90DD2" w:rsidP="00B90DD2">
      <w:pPr>
        <w:spacing w:before="240" w:after="0"/>
        <w:jc w:val="both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 xml:space="preserve">Bod 3. Informace o jednání FDE se zástupci Evropské komise – DG SANTE </w:t>
      </w:r>
    </w:p>
    <w:p w14:paraId="5A02B298" w14:textId="01561722" w:rsidR="00B90DD2" w:rsidRDefault="00B90DD2" w:rsidP="00B90DD2">
      <w:pPr>
        <w:spacing w:before="240" w:after="0"/>
        <w:jc w:val="both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 xml:space="preserve">Bod 4. Práce na legislativě k FSFS – aktuální stav &amp; další kroky </w:t>
      </w:r>
    </w:p>
    <w:p w14:paraId="5EC22254" w14:textId="2E655550" w:rsidR="00B90DD2" w:rsidRDefault="00B90DD2" w:rsidP="00B90DD2">
      <w:pPr>
        <w:spacing w:before="240" w:after="0"/>
        <w:jc w:val="both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 xml:space="preserve">Bod 5. Pozice FDE a plán zapojení se do vyjednávání </w:t>
      </w:r>
    </w:p>
    <w:p w14:paraId="0086BA14" w14:textId="34EEAD00" w:rsidR="00B90DD2" w:rsidRPr="006927FE" w:rsidRDefault="00B90DD2" w:rsidP="00B90DD2">
      <w:pPr>
        <w:spacing w:before="240" w:after="0"/>
        <w:jc w:val="both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 xml:space="preserve">Bod 6. Různé </w:t>
      </w:r>
    </w:p>
    <w:p w14:paraId="4142BAC4" w14:textId="77777777" w:rsidR="00B90DD2" w:rsidRPr="006927FE" w:rsidRDefault="00B90DD2" w:rsidP="00B90DD2">
      <w:pPr>
        <w:spacing w:after="0"/>
        <w:jc w:val="both"/>
        <w:rPr>
          <w:rFonts w:asciiTheme="minorHAnsi" w:hAnsiTheme="minorHAnsi" w:cstheme="minorHAnsi"/>
          <w:szCs w:val="24"/>
        </w:rPr>
      </w:pPr>
    </w:p>
    <w:p w14:paraId="3803D1F0" w14:textId="77777777" w:rsidR="00B90DD2" w:rsidRPr="006927FE" w:rsidRDefault="00B90DD2" w:rsidP="00B90DD2">
      <w:pPr>
        <w:pBdr>
          <w:bottom w:val="single" w:sz="6" w:space="1" w:color="auto"/>
        </w:pBdr>
        <w:spacing w:after="0"/>
        <w:jc w:val="both"/>
        <w:rPr>
          <w:rFonts w:asciiTheme="minorHAnsi" w:hAnsiTheme="minorHAnsi" w:cstheme="minorHAnsi"/>
          <w:szCs w:val="24"/>
        </w:rPr>
      </w:pPr>
    </w:p>
    <w:p w14:paraId="0599AAC6" w14:textId="77777777" w:rsidR="00B90DD2" w:rsidRPr="006927FE" w:rsidRDefault="00B90DD2" w:rsidP="00B90DD2">
      <w:pPr>
        <w:spacing w:after="0"/>
        <w:jc w:val="both"/>
        <w:rPr>
          <w:rFonts w:asciiTheme="minorHAnsi" w:hAnsiTheme="minorHAnsi" w:cstheme="minorHAnsi"/>
          <w:szCs w:val="24"/>
        </w:rPr>
      </w:pPr>
    </w:p>
    <w:p w14:paraId="73392573" w14:textId="77777777" w:rsidR="00B90DD2" w:rsidRPr="006927FE" w:rsidRDefault="00B90DD2" w:rsidP="00B90DD2">
      <w:pPr>
        <w:spacing w:after="0"/>
        <w:jc w:val="both"/>
        <w:rPr>
          <w:rFonts w:asciiTheme="minorHAnsi" w:hAnsiTheme="minorHAnsi" w:cstheme="minorHAnsi"/>
          <w:szCs w:val="24"/>
        </w:rPr>
      </w:pPr>
    </w:p>
    <w:p w14:paraId="725E9D77" w14:textId="77777777" w:rsidR="00B90DD2" w:rsidRPr="006927FE" w:rsidRDefault="00B90DD2" w:rsidP="00B90DD2">
      <w:pPr>
        <w:spacing w:after="0"/>
        <w:jc w:val="both"/>
        <w:rPr>
          <w:rFonts w:asciiTheme="minorHAnsi" w:hAnsiTheme="minorHAnsi" w:cstheme="minorHAnsi"/>
          <w:szCs w:val="24"/>
        </w:rPr>
      </w:pPr>
    </w:p>
    <w:p w14:paraId="32CBE5A1" w14:textId="77777777" w:rsidR="00B90DD2" w:rsidRPr="006927FE" w:rsidRDefault="00B90DD2" w:rsidP="00B90DD2">
      <w:pPr>
        <w:jc w:val="both"/>
        <w:rPr>
          <w:rFonts w:asciiTheme="minorHAnsi" w:hAnsiTheme="minorHAnsi" w:cstheme="minorHAnsi"/>
          <w:b/>
          <w:bCs/>
          <w:szCs w:val="24"/>
        </w:rPr>
      </w:pPr>
      <w:r w:rsidRPr="006927FE">
        <w:rPr>
          <w:rFonts w:asciiTheme="minorHAnsi" w:hAnsiTheme="minorHAnsi" w:cstheme="minorHAnsi"/>
          <w:b/>
          <w:bCs/>
          <w:szCs w:val="24"/>
        </w:rPr>
        <w:t xml:space="preserve">K jednotlivým bodům programu: </w:t>
      </w:r>
    </w:p>
    <w:p w14:paraId="7BF338DE" w14:textId="2D7E3FED" w:rsidR="00B90DD2" w:rsidRDefault="00B90DD2" w:rsidP="00B90DD2">
      <w:pPr>
        <w:shd w:val="clear" w:color="auto" w:fill="FFFFFF"/>
        <w:spacing w:after="0" w:line="276" w:lineRule="atLeast"/>
        <w:jc w:val="both"/>
        <w:rPr>
          <w:rFonts w:asciiTheme="minorHAnsi" w:eastAsia="Times New Roman" w:hAnsiTheme="minorHAnsi" w:cstheme="minorHAnsi"/>
          <w:color w:val="000000"/>
          <w:szCs w:val="24"/>
        </w:rPr>
      </w:pPr>
    </w:p>
    <w:p w14:paraId="131F97CF" w14:textId="03385E29" w:rsidR="00B90DD2" w:rsidRPr="00FF599D" w:rsidRDefault="00B90DD2" w:rsidP="00B90DD2">
      <w:pPr>
        <w:spacing w:before="240" w:after="0"/>
        <w:jc w:val="both"/>
        <w:rPr>
          <w:rFonts w:asciiTheme="minorHAnsi" w:hAnsiTheme="minorHAnsi" w:cstheme="minorHAnsi"/>
          <w:b/>
          <w:bCs/>
          <w:szCs w:val="24"/>
        </w:rPr>
      </w:pPr>
      <w:r w:rsidRPr="00FF599D">
        <w:rPr>
          <w:rFonts w:asciiTheme="minorHAnsi" w:hAnsiTheme="minorHAnsi" w:cstheme="minorHAnsi"/>
          <w:b/>
          <w:bCs/>
          <w:szCs w:val="24"/>
        </w:rPr>
        <w:t xml:space="preserve">Bod 1. Uvítání, antimonopolní prohlášení, přijetí agendy </w:t>
      </w:r>
    </w:p>
    <w:p w14:paraId="2481027E" w14:textId="7713CE90" w:rsidR="00B90DD2" w:rsidRDefault="00B90DD2" w:rsidP="00B90DD2">
      <w:pPr>
        <w:spacing w:before="240" w:after="0"/>
        <w:jc w:val="both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 xml:space="preserve">Proběhlo. </w:t>
      </w:r>
    </w:p>
    <w:p w14:paraId="4DE863EC" w14:textId="77777777" w:rsidR="00B90DD2" w:rsidRDefault="00B90DD2" w:rsidP="00B90DD2">
      <w:pPr>
        <w:spacing w:before="240" w:after="0"/>
        <w:jc w:val="both"/>
        <w:rPr>
          <w:rFonts w:asciiTheme="minorHAnsi" w:hAnsiTheme="minorHAnsi" w:cstheme="minorHAnsi"/>
          <w:szCs w:val="24"/>
        </w:rPr>
      </w:pPr>
    </w:p>
    <w:p w14:paraId="3E0F9300" w14:textId="6C70A831" w:rsidR="00B90DD2" w:rsidRPr="00FF599D" w:rsidRDefault="00B90DD2" w:rsidP="00B90DD2">
      <w:pPr>
        <w:spacing w:before="240" w:after="0"/>
        <w:jc w:val="both"/>
        <w:rPr>
          <w:rFonts w:asciiTheme="minorHAnsi" w:hAnsiTheme="minorHAnsi" w:cstheme="minorHAnsi"/>
          <w:b/>
          <w:bCs/>
          <w:szCs w:val="24"/>
        </w:rPr>
      </w:pPr>
      <w:r w:rsidRPr="00FF599D">
        <w:rPr>
          <w:rFonts w:asciiTheme="minorHAnsi" w:hAnsiTheme="minorHAnsi" w:cstheme="minorHAnsi"/>
          <w:b/>
          <w:bCs/>
          <w:szCs w:val="24"/>
        </w:rPr>
        <w:t xml:space="preserve">Bod 2. Náplň činnosti pracovní skupiny pro FSFS – Pracovní rámec pro udržitelné potravinové systémy </w:t>
      </w:r>
    </w:p>
    <w:p w14:paraId="38F158D0" w14:textId="2ABC2198" w:rsidR="00B90DD2" w:rsidRDefault="00B90DD2" w:rsidP="00B90DD2">
      <w:pPr>
        <w:spacing w:before="240" w:after="0"/>
        <w:jc w:val="both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lastRenderedPageBreak/>
        <w:t xml:space="preserve">Sekretariát FDE připomněl nedávné změny v uspořádání struktury FDE, pracovní skupina pro Udržitelné potravinové systémy (FSFS) by se měla dotýkat poměrně širokého spektra témat včetně potravinového zabezpečení, zdraví a spotřebitelů, životního prostředí a udržitelnosti a ekonomických témat: </w:t>
      </w:r>
    </w:p>
    <w:p w14:paraId="0E618D34" w14:textId="67A12503" w:rsidR="00B90DD2" w:rsidRDefault="00B90DD2" w:rsidP="00B90DD2">
      <w:pPr>
        <w:spacing w:before="240" w:after="0"/>
        <w:jc w:val="both"/>
        <w:rPr>
          <w:rFonts w:asciiTheme="minorHAnsi" w:hAnsiTheme="minorHAnsi" w:cstheme="minorHAnsi"/>
          <w:szCs w:val="24"/>
        </w:rPr>
      </w:pPr>
      <w:r>
        <w:rPr>
          <w:noProof/>
        </w:rPr>
        <w:drawing>
          <wp:inline distT="0" distB="0" distL="0" distR="0" wp14:anchorId="3EBF5B16" wp14:editId="1634189E">
            <wp:extent cx="5753100" cy="3204923"/>
            <wp:effectExtent l="0" t="0" r="0" b="0"/>
            <wp:docPr id="1" name="Obrázek 1" descr="Obsah obrázku text, monitor, snímek obrazovky, interiér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 descr="Obsah obrázku text, monitor, snímek obrazovky, interiér&#10;&#10;Popis byl vytvořen automaticky"/>
                    <pic:cNvPicPr/>
                  </pic:nvPicPr>
                  <pic:blipFill rotWithShape="1">
                    <a:blip r:embed="rId7"/>
                    <a:srcRect l="21164" t="27514" r="20899" b="15108"/>
                    <a:stretch/>
                  </pic:blipFill>
                  <pic:spPr bwMode="auto">
                    <a:xfrm>
                      <a:off x="0" y="0"/>
                      <a:ext cx="5769211" cy="32138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15C619" w14:textId="01E3068C" w:rsidR="00B90DD2" w:rsidRDefault="00B90DD2" w:rsidP="00B90DD2">
      <w:pPr>
        <w:spacing w:before="240" w:after="0"/>
        <w:jc w:val="both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 xml:space="preserve">Vzhledem k objemu předpokládané práce byla založena pracovní skupina pro Udržitelné potravinové systémy – FSFS, která </w:t>
      </w:r>
      <w:r w:rsidR="00A82CA7">
        <w:rPr>
          <w:rFonts w:asciiTheme="minorHAnsi" w:hAnsiTheme="minorHAnsi" w:cstheme="minorHAnsi"/>
          <w:szCs w:val="24"/>
        </w:rPr>
        <w:t xml:space="preserve">by měla být zastřešující pracovní skupinou pro FSFS. </w:t>
      </w:r>
    </w:p>
    <w:p w14:paraId="7D7EEA58" w14:textId="70567A2E" w:rsidR="00A82CA7" w:rsidRDefault="00A82CA7" w:rsidP="00B90DD2">
      <w:pPr>
        <w:spacing w:before="240" w:after="0"/>
        <w:jc w:val="both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 xml:space="preserve">Sekretariát požádal členské organizace, aby identifikovaly maximálně dva experty za každou organizaci, aby byla práce ve skupině realizovatelná, proveditelná. Zatím není jasné, které z výše identifikovaných pracovních skupin budou do prací nové pracovní skupiny k FSFS zapojeny více a které méně, zatím je jasné, že hlavní vyjednávací mandát ohledně označování udržitelné produkce potravin bude mít na starosti pracovní skupina INCO (Informace poskytované spotřebitelům). </w:t>
      </w:r>
    </w:p>
    <w:p w14:paraId="409A3CFC" w14:textId="77777777" w:rsidR="00A82CA7" w:rsidRDefault="00A82CA7" w:rsidP="00B90DD2">
      <w:pPr>
        <w:spacing w:before="240" w:after="0"/>
        <w:jc w:val="both"/>
        <w:rPr>
          <w:rFonts w:asciiTheme="minorHAnsi" w:hAnsiTheme="minorHAnsi" w:cstheme="minorHAnsi"/>
          <w:szCs w:val="24"/>
        </w:rPr>
      </w:pPr>
    </w:p>
    <w:p w14:paraId="54BA7BA4" w14:textId="77777777" w:rsidR="008623E8" w:rsidRPr="00FF599D" w:rsidRDefault="008623E8" w:rsidP="008623E8">
      <w:pPr>
        <w:spacing w:before="240" w:after="0"/>
        <w:jc w:val="both"/>
        <w:rPr>
          <w:rFonts w:asciiTheme="minorHAnsi" w:hAnsiTheme="minorHAnsi" w:cstheme="minorHAnsi"/>
          <w:b/>
          <w:bCs/>
          <w:szCs w:val="24"/>
        </w:rPr>
      </w:pPr>
      <w:r>
        <w:rPr>
          <w:rFonts w:asciiTheme="minorHAnsi" w:hAnsiTheme="minorHAnsi" w:cstheme="minorHAnsi"/>
          <w:b/>
          <w:bCs/>
          <w:szCs w:val="24"/>
        </w:rPr>
        <w:t xml:space="preserve">POZN.: BODY 3 A 4 BYLY PROHOZENY. </w:t>
      </w:r>
    </w:p>
    <w:p w14:paraId="71E2BC7D" w14:textId="77777777" w:rsidR="008623E8" w:rsidRDefault="008623E8" w:rsidP="00B90DD2">
      <w:pPr>
        <w:spacing w:before="240" w:after="0"/>
        <w:jc w:val="both"/>
        <w:rPr>
          <w:rFonts w:asciiTheme="minorHAnsi" w:hAnsiTheme="minorHAnsi" w:cstheme="minorHAnsi"/>
          <w:szCs w:val="24"/>
        </w:rPr>
      </w:pPr>
    </w:p>
    <w:p w14:paraId="6482FC99" w14:textId="77777777" w:rsidR="00D405CB" w:rsidRPr="00FF599D" w:rsidRDefault="00D405CB" w:rsidP="00D405CB">
      <w:pPr>
        <w:spacing w:before="240" w:after="0"/>
        <w:jc w:val="both"/>
        <w:rPr>
          <w:rFonts w:asciiTheme="minorHAnsi" w:hAnsiTheme="minorHAnsi" w:cstheme="minorHAnsi"/>
          <w:b/>
          <w:bCs/>
          <w:szCs w:val="24"/>
        </w:rPr>
      </w:pPr>
      <w:r w:rsidRPr="00FF599D">
        <w:rPr>
          <w:rFonts w:asciiTheme="minorHAnsi" w:hAnsiTheme="minorHAnsi" w:cstheme="minorHAnsi"/>
          <w:b/>
          <w:bCs/>
          <w:szCs w:val="24"/>
        </w:rPr>
        <w:t xml:space="preserve">Bod 4. Práce na legislativě k FSFS – aktuální stav &amp; další kroky </w:t>
      </w:r>
    </w:p>
    <w:p w14:paraId="10215FFA" w14:textId="77777777" w:rsidR="00D405CB" w:rsidRDefault="00D405CB" w:rsidP="00D405CB">
      <w:pPr>
        <w:spacing w:before="240" w:after="0"/>
        <w:jc w:val="both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 xml:space="preserve">Cílem připravovaného pracovního rámce pro SFS by mělo být usnadnění přesunu k udržitelným potravinovým systémům v EU, rámec by měl být postaven na několika kapitolách: </w:t>
      </w:r>
    </w:p>
    <w:p w14:paraId="6B6BA247" w14:textId="77777777" w:rsidR="00D405CB" w:rsidRDefault="00D405CB" w:rsidP="00D405CB">
      <w:pPr>
        <w:pStyle w:val="Odstavecseseznamem"/>
        <w:numPr>
          <w:ilvl w:val="0"/>
          <w:numId w:val="10"/>
        </w:numPr>
        <w:spacing w:before="240" w:after="0"/>
        <w:jc w:val="both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lastRenderedPageBreak/>
        <w:t>Definice (definice udržitelnosti, zdravé a udržitelné výživy, udržitelných potravinových systémů)</w:t>
      </w:r>
    </w:p>
    <w:p w14:paraId="1B3D814B" w14:textId="77777777" w:rsidR="00D405CB" w:rsidRDefault="00D405CB" w:rsidP="00D405CB">
      <w:pPr>
        <w:pStyle w:val="Odstavecseseznamem"/>
        <w:numPr>
          <w:ilvl w:val="0"/>
          <w:numId w:val="10"/>
        </w:numPr>
        <w:spacing w:before="240" w:after="0"/>
        <w:jc w:val="both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 xml:space="preserve">Cíle legislativního rámce </w:t>
      </w:r>
    </w:p>
    <w:p w14:paraId="2195EBB2" w14:textId="77777777" w:rsidR="00D405CB" w:rsidRDefault="00D405CB" w:rsidP="00D405CB">
      <w:pPr>
        <w:pStyle w:val="Odstavecseseznamem"/>
        <w:numPr>
          <w:ilvl w:val="0"/>
          <w:numId w:val="10"/>
        </w:numPr>
        <w:spacing w:before="240" w:after="0"/>
        <w:jc w:val="both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 xml:space="preserve">Obecné principy </w:t>
      </w:r>
    </w:p>
    <w:p w14:paraId="0F7FD027" w14:textId="77777777" w:rsidR="00D405CB" w:rsidRDefault="00D405CB" w:rsidP="00D405CB">
      <w:pPr>
        <w:pStyle w:val="Odstavecseseznamem"/>
        <w:numPr>
          <w:ilvl w:val="0"/>
          <w:numId w:val="10"/>
        </w:numPr>
        <w:spacing w:before="240" w:after="0"/>
        <w:jc w:val="both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 xml:space="preserve">Řízení </w:t>
      </w:r>
    </w:p>
    <w:p w14:paraId="35611C65" w14:textId="77777777" w:rsidR="00D405CB" w:rsidRDefault="00D405CB" w:rsidP="00D405CB">
      <w:pPr>
        <w:pStyle w:val="Odstavecseseznamem"/>
        <w:numPr>
          <w:ilvl w:val="0"/>
          <w:numId w:val="10"/>
        </w:numPr>
        <w:spacing w:before="240" w:after="0"/>
        <w:jc w:val="both"/>
        <w:rPr>
          <w:rFonts w:asciiTheme="minorHAnsi" w:hAnsiTheme="minorHAnsi" w:cstheme="minorHAnsi"/>
          <w:szCs w:val="24"/>
        </w:rPr>
      </w:pPr>
      <w:r w:rsidRPr="00A82CA7">
        <w:rPr>
          <w:rFonts w:asciiTheme="minorHAnsi" w:hAnsiTheme="minorHAnsi" w:cstheme="minorHAnsi"/>
          <w:szCs w:val="24"/>
        </w:rPr>
        <w:t>Ustanovení o potravinovém prostředí</w:t>
      </w:r>
    </w:p>
    <w:p w14:paraId="698B1951" w14:textId="77777777" w:rsidR="00D405CB" w:rsidRDefault="00D405CB" w:rsidP="00D405CB">
      <w:pPr>
        <w:pStyle w:val="Odstavecseseznamem"/>
        <w:numPr>
          <w:ilvl w:val="0"/>
          <w:numId w:val="10"/>
        </w:numPr>
        <w:spacing w:before="240" w:after="0"/>
        <w:jc w:val="both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>„</w:t>
      </w:r>
      <w:proofErr w:type="spellStart"/>
      <w:r>
        <w:rPr>
          <w:rFonts w:asciiTheme="minorHAnsi" w:hAnsiTheme="minorHAnsi" w:cstheme="minorHAnsi"/>
          <w:szCs w:val="24"/>
        </w:rPr>
        <w:t>Push</w:t>
      </w:r>
      <w:proofErr w:type="spellEnd"/>
      <w:r>
        <w:rPr>
          <w:rFonts w:asciiTheme="minorHAnsi" w:hAnsiTheme="minorHAnsi" w:cstheme="minorHAnsi"/>
          <w:szCs w:val="24"/>
        </w:rPr>
        <w:t xml:space="preserve">“ opatření (povinné minimální požadavky na udržitelnost </w:t>
      </w:r>
    </w:p>
    <w:p w14:paraId="18573556" w14:textId="77777777" w:rsidR="00D405CB" w:rsidRDefault="00D405CB" w:rsidP="00D405CB">
      <w:pPr>
        <w:pStyle w:val="Odstavecseseznamem"/>
        <w:numPr>
          <w:ilvl w:val="0"/>
          <w:numId w:val="10"/>
        </w:numPr>
        <w:spacing w:before="240" w:after="0"/>
        <w:jc w:val="both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>„</w:t>
      </w:r>
      <w:proofErr w:type="spellStart"/>
      <w:r>
        <w:rPr>
          <w:rFonts w:asciiTheme="minorHAnsi" w:hAnsiTheme="minorHAnsi" w:cstheme="minorHAnsi"/>
          <w:szCs w:val="24"/>
        </w:rPr>
        <w:t>Pull</w:t>
      </w:r>
      <w:proofErr w:type="spellEnd"/>
      <w:r>
        <w:rPr>
          <w:rFonts w:asciiTheme="minorHAnsi" w:hAnsiTheme="minorHAnsi" w:cstheme="minorHAnsi"/>
          <w:szCs w:val="24"/>
        </w:rPr>
        <w:t>“ opatření (veřejné zakázky, označování udržitelné produkce</w:t>
      </w:r>
    </w:p>
    <w:p w14:paraId="64A5CFD9" w14:textId="77777777" w:rsidR="00D405CB" w:rsidRDefault="00D405CB" w:rsidP="00D405CB">
      <w:pPr>
        <w:pStyle w:val="Odstavecseseznamem"/>
        <w:numPr>
          <w:ilvl w:val="0"/>
          <w:numId w:val="10"/>
        </w:numPr>
        <w:spacing w:before="240" w:after="0"/>
        <w:jc w:val="both"/>
        <w:rPr>
          <w:rFonts w:asciiTheme="minorHAnsi" w:hAnsiTheme="minorHAnsi" w:cstheme="minorHAnsi"/>
          <w:szCs w:val="24"/>
        </w:rPr>
      </w:pPr>
      <w:r w:rsidRPr="00A82CA7">
        <w:rPr>
          <w:rFonts w:asciiTheme="minorHAnsi" w:hAnsiTheme="minorHAnsi" w:cstheme="minorHAnsi"/>
          <w:szCs w:val="24"/>
        </w:rPr>
        <w:t>Vymáhání pravidel</w:t>
      </w:r>
    </w:p>
    <w:p w14:paraId="4823AD18" w14:textId="77777777" w:rsidR="00D405CB" w:rsidRPr="00A82CA7" w:rsidRDefault="00D405CB" w:rsidP="00D405CB">
      <w:pPr>
        <w:pStyle w:val="Odstavecseseznamem"/>
        <w:spacing w:before="240" w:after="0"/>
        <w:jc w:val="both"/>
        <w:rPr>
          <w:rFonts w:asciiTheme="minorHAnsi" w:hAnsiTheme="minorHAnsi" w:cstheme="minorHAnsi"/>
          <w:szCs w:val="24"/>
        </w:rPr>
      </w:pPr>
    </w:p>
    <w:p w14:paraId="1BB455D3" w14:textId="77777777" w:rsidR="00D405CB" w:rsidRDefault="00D405CB" w:rsidP="00D405CB">
      <w:pPr>
        <w:spacing w:before="240" w:after="0"/>
        <w:jc w:val="both"/>
        <w:rPr>
          <w:rFonts w:asciiTheme="minorHAnsi" w:hAnsiTheme="minorHAnsi" w:cstheme="minorHAnsi"/>
          <w:szCs w:val="24"/>
        </w:rPr>
      </w:pPr>
      <w:r>
        <w:rPr>
          <w:noProof/>
        </w:rPr>
        <w:drawing>
          <wp:inline distT="0" distB="0" distL="0" distR="0" wp14:anchorId="1F487BEC" wp14:editId="3AC6CD9F">
            <wp:extent cx="6294755" cy="3375473"/>
            <wp:effectExtent l="0" t="0" r="0" b="0"/>
            <wp:docPr id="3" name="Obrázek 3" descr="Obsah obrázku text, monitor, snímek obrazovky, obrazovk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3" descr="Obsah obrázku text, monitor, snímek obrazovky, obrazovka&#10;&#10;Popis byl vytvořen automaticky"/>
                    <pic:cNvPicPr/>
                  </pic:nvPicPr>
                  <pic:blipFill rotWithShape="1">
                    <a:blip r:embed="rId8"/>
                    <a:srcRect l="24342" t="31040" r="26323" b="21928"/>
                    <a:stretch/>
                  </pic:blipFill>
                  <pic:spPr bwMode="auto">
                    <a:xfrm>
                      <a:off x="0" y="0"/>
                      <a:ext cx="6301801" cy="33792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4D4CE7" w14:textId="77777777" w:rsidR="00D405CB" w:rsidRDefault="00D405CB" w:rsidP="00D405CB">
      <w:pPr>
        <w:spacing w:before="240" w:after="0"/>
        <w:jc w:val="both"/>
        <w:rPr>
          <w:rFonts w:asciiTheme="minorHAnsi" w:hAnsiTheme="minorHAnsi" w:cstheme="minorHAnsi"/>
          <w:szCs w:val="24"/>
        </w:rPr>
      </w:pPr>
    </w:p>
    <w:p w14:paraId="608C1E2C" w14:textId="77777777" w:rsidR="00D405CB" w:rsidRPr="00E90D2E" w:rsidRDefault="00D405CB" w:rsidP="00D405CB">
      <w:pPr>
        <w:spacing w:before="240" w:after="0"/>
        <w:jc w:val="both"/>
        <w:rPr>
          <w:rFonts w:asciiTheme="minorHAnsi" w:hAnsiTheme="minorHAnsi" w:cstheme="minorHAnsi"/>
          <w:szCs w:val="24"/>
        </w:rPr>
      </w:pPr>
      <w:r w:rsidRPr="00E90D2E">
        <w:rPr>
          <w:rFonts w:asciiTheme="minorHAnsi" w:hAnsiTheme="minorHAnsi" w:cstheme="minorHAnsi"/>
          <w:szCs w:val="24"/>
        </w:rPr>
        <w:t>Stran „</w:t>
      </w:r>
      <w:proofErr w:type="spellStart"/>
      <w:r w:rsidRPr="00E90D2E">
        <w:rPr>
          <w:rFonts w:asciiTheme="minorHAnsi" w:hAnsiTheme="minorHAnsi" w:cstheme="minorHAnsi"/>
          <w:szCs w:val="24"/>
        </w:rPr>
        <w:t>push</w:t>
      </w:r>
      <w:proofErr w:type="spellEnd"/>
      <w:r w:rsidRPr="00E90D2E">
        <w:rPr>
          <w:rFonts w:asciiTheme="minorHAnsi" w:hAnsiTheme="minorHAnsi" w:cstheme="minorHAnsi"/>
          <w:szCs w:val="24"/>
        </w:rPr>
        <w:t>“ opatření Evropská komise zmiňuje pět možných scénářů – zachování současného stavu, dobrovolný přístup k minimálním požadavkům, nastavení zodpovědnosti pro zúčastněné operátory skrze pravidla náležité péče (preferováno), implementace principu „</w:t>
      </w:r>
      <w:r>
        <w:rPr>
          <w:rFonts w:asciiTheme="minorHAnsi" w:hAnsiTheme="minorHAnsi" w:cstheme="minorHAnsi"/>
          <w:szCs w:val="24"/>
        </w:rPr>
        <w:t>významně nepoškozovat</w:t>
      </w:r>
      <w:r w:rsidRPr="00E90D2E">
        <w:rPr>
          <w:rFonts w:asciiTheme="minorHAnsi" w:hAnsiTheme="minorHAnsi" w:cstheme="minorHAnsi"/>
          <w:szCs w:val="24"/>
        </w:rPr>
        <w:t xml:space="preserve">“ (do not </w:t>
      </w:r>
      <w:proofErr w:type="spellStart"/>
      <w:r w:rsidRPr="00E90D2E">
        <w:rPr>
          <w:rFonts w:asciiTheme="minorHAnsi" w:hAnsiTheme="minorHAnsi" w:cstheme="minorHAnsi"/>
          <w:szCs w:val="24"/>
        </w:rPr>
        <w:t>harm</w:t>
      </w:r>
      <w:proofErr w:type="spellEnd"/>
      <w:r w:rsidRPr="00E90D2E">
        <w:rPr>
          <w:rFonts w:asciiTheme="minorHAnsi" w:hAnsiTheme="minorHAnsi" w:cstheme="minorHAnsi"/>
          <w:szCs w:val="24"/>
        </w:rPr>
        <w:t>) (rovněž preferováno) a kombinaci vyjmenovaných možností (viz grafické znázornění níže).</w:t>
      </w:r>
    </w:p>
    <w:p w14:paraId="7A6E5952" w14:textId="77777777" w:rsidR="00D405CB" w:rsidRDefault="00D405CB" w:rsidP="00D405CB">
      <w:pPr>
        <w:spacing w:before="240" w:after="0"/>
        <w:jc w:val="both"/>
        <w:rPr>
          <w:rFonts w:asciiTheme="minorHAnsi" w:hAnsiTheme="minorHAnsi" w:cstheme="minorHAnsi"/>
          <w:szCs w:val="24"/>
        </w:rPr>
      </w:pPr>
    </w:p>
    <w:p w14:paraId="766588BC" w14:textId="77777777" w:rsidR="00D405CB" w:rsidRDefault="00D405CB" w:rsidP="00D405CB">
      <w:pPr>
        <w:spacing w:before="240" w:after="0"/>
        <w:jc w:val="both"/>
        <w:rPr>
          <w:rFonts w:asciiTheme="minorHAnsi" w:hAnsiTheme="minorHAnsi" w:cstheme="minorHAnsi"/>
          <w:szCs w:val="24"/>
        </w:rPr>
      </w:pPr>
      <w:r>
        <w:rPr>
          <w:noProof/>
        </w:rPr>
        <w:lastRenderedPageBreak/>
        <w:drawing>
          <wp:inline distT="0" distB="0" distL="0" distR="0" wp14:anchorId="77CB3223" wp14:editId="494F5FB3">
            <wp:extent cx="5966460" cy="2792521"/>
            <wp:effectExtent l="0" t="0" r="0" b="8255"/>
            <wp:docPr id="4" name="Obrázek 4" descr="Obsah obrázku text, monitor, snímek obrazovky, obrazovk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4" descr="Obsah obrázku text, monitor, snímek obrazovky, obrazovka&#10;&#10;Popis byl vytvořen automaticky"/>
                    <pic:cNvPicPr/>
                  </pic:nvPicPr>
                  <pic:blipFill rotWithShape="1">
                    <a:blip r:embed="rId9"/>
                    <a:srcRect l="21164" t="30100" r="20899" b="21693"/>
                    <a:stretch/>
                  </pic:blipFill>
                  <pic:spPr bwMode="auto">
                    <a:xfrm>
                      <a:off x="0" y="0"/>
                      <a:ext cx="5980254" cy="27989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3B8E82" w14:textId="77777777" w:rsidR="00D405CB" w:rsidRDefault="00D405CB" w:rsidP="00D405CB">
      <w:pPr>
        <w:spacing w:before="240" w:after="0"/>
        <w:jc w:val="both"/>
        <w:rPr>
          <w:rFonts w:asciiTheme="minorHAnsi" w:hAnsiTheme="minorHAnsi" w:cstheme="minorHAnsi"/>
          <w:szCs w:val="24"/>
        </w:rPr>
      </w:pPr>
    </w:p>
    <w:p w14:paraId="77D6CE97" w14:textId="77777777" w:rsidR="00D405CB" w:rsidRDefault="00D405CB" w:rsidP="00D405CB">
      <w:pPr>
        <w:spacing w:before="240" w:after="0"/>
        <w:jc w:val="both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 xml:space="preserve">Sekretariát uvedl, že Evropská komise už před několika měsíci zahájila práce na návrhu nového pracovního rámce pro SFS, první návrh by měl být dokončen ještě v průběhu měsíce března, kdy by měl jít návrh do interní konzultace Evropské komise. Pracovní verze legislativního návrhu už unikla do evropských zemědělsko-potravinářských médií (Politico), jedná se ale o pracovní verzi, která se od výsledné verze může významně lišit. Legislativní návrh by měl být zveřejněn oficiálně v září 2023. </w:t>
      </w:r>
    </w:p>
    <w:p w14:paraId="21B9807D" w14:textId="77777777" w:rsidR="00D405CB" w:rsidRDefault="00D405CB" w:rsidP="00B90DD2">
      <w:pPr>
        <w:spacing w:before="240" w:after="0"/>
        <w:jc w:val="both"/>
        <w:rPr>
          <w:rFonts w:asciiTheme="minorHAnsi" w:hAnsiTheme="minorHAnsi" w:cstheme="minorHAnsi"/>
          <w:szCs w:val="24"/>
        </w:rPr>
      </w:pPr>
    </w:p>
    <w:p w14:paraId="768746AE" w14:textId="4CFA6756" w:rsidR="00B90DD2" w:rsidRDefault="00B90DD2" w:rsidP="00B90DD2">
      <w:pPr>
        <w:spacing w:before="240" w:after="0"/>
        <w:jc w:val="both"/>
        <w:rPr>
          <w:rFonts w:asciiTheme="minorHAnsi" w:hAnsiTheme="minorHAnsi" w:cstheme="minorHAnsi"/>
          <w:b/>
          <w:bCs/>
          <w:szCs w:val="24"/>
        </w:rPr>
      </w:pPr>
      <w:r w:rsidRPr="00FF599D">
        <w:rPr>
          <w:rFonts w:asciiTheme="minorHAnsi" w:hAnsiTheme="minorHAnsi" w:cstheme="minorHAnsi"/>
          <w:b/>
          <w:bCs/>
          <w:szCs w:val="24"/>
        </w:rPr>
        <w:t xml:space="preserve">Bod 3. Informace o jednání FDE se zástupci Evropské komise – DG SANTE </w:t>
      </w:r>
    </w:p>
    <w:p w14:paraId="0474C2D7" w14:textId="19E245DC" w:rsidR="00FF599D" w:rsidRDefault="00C97CDC" w:rsidP="00B90DD2">
      <w:pPr>
        <w:spacing w:before="240" w:after="0"/>
        <w:jc w:val="both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 xml:space="preserve">Sekretariát FDE se dne 13/02/2023 setkal se zástupci DG SANTE k projednání aktuálního stavu prací na SFS. </w:t>
      </w:r>
      <w:r w:rsidR="00DE7778">
        <w:rPr>
          <w:rFonts w:asciiTheme="minorHAnsi" w:hAnsiTheme="minorHAnsi" w:cstheme="minorHAnsi"/>
          <w:szCs w:val="24"/>
        </w:rPr>
        <w:t xml:space="preserve">Kapitoly týkající se obecných principů byly stále v přípravě, Evropská komise neposkytla Sekretariátu detailnější informace. Ohledně cílů Komise potvrdila zájem </w:t>
      </w:r>
      <w:r w:rsidR="00D92C38">
        <w:rPr>
          <w:rFonts w:asciiTheme="minorHAnsi" w:hAnsiTheme="minorHAnsi" w:cstheme="minorHAnsi"/>
          <w:szCs w:val="24"/>
        </w:rPr>
        <w:t>nastavit cíle s ohledem na environmentální, sociální a ekonomické aspekty. Ohledně definic Evropská komise uvedla</w:t>
      </w:r>
      <w:r w:rsidR="00BA2E36">
        <w:rPr>
          <w:rFonts w:asciiTheme="minorHAnsi" w:hAnsiTheme="minorHAnsi" w:cstheme="minorHAnsi"/>
          <w:szCs w:val="24"/>
        </w:rPr>
        <w:t xml:space="preserve">, že s největší pravděpodobností použije </w:t>
      </w:r>
      <w:r w:rsidR="008B44CA">
        <w:rPr>
          <w:rFonts w:asciiTheme="minorHAnsi" w:hAnsiTheme="minorHAnsi" w:cstheme="minorHAnsi"/>
          <w:szCs w:val="24"/>
        </w:rPr>
        <w:t>nebo bude vycházet z definic, které zpracovalo FAO nebo SAPEA. Ohledně minimálních kritérií (</w:t>
      </w:r>
      <w:proofErr w:type="spellStart"/>
      <w:r w:rsidR="008B44CA">
        <w:rPr>
          <w:rFonts w:asciiTheme="minorHAnsi" w:hAnsiTheme="minorHAnsi" w:cstheme="minorHAnsi"/>
          <w:szCs w:val="24"/>
        </w:rPr>
        <w:t>push</w:t>
      </w:r>
      <w:proofErr w:type="spellEnd"/>
      <w:r w:rsidR="008B44CA">
        <w:rPr>
          <w:rFonts w:asciiTheme="minorHAnsi" w:hAnsiTheme="minorHAnsi" w:cstheme="minorHAnsi"/>
          <w:szCs w:val="24"/>
        </w:rPr>
        <w:t xml:space="preserve"> opatření) Evropská komise uvedla, že pokud by se přiklonila k možnosti </w:t>
      </w:r>
      <w:r w:rsidR="000B1B91">
        <w:rPr>
          <w:rFonts w:asciiTheme="minorHAnsi" w:hAnsiTheme="minorHAnsi" w:cstheme="minorHAnsi"/>
          <w:szCs w:val="24"/>
        </w:rPr>
        <w:t xml:space="preserve">4, tedy </w:t>
      </w:r>
      <w:r w:rsidR="007C6868">
        <w:rPr>
          <w:rFonts w:asciiTheme="minorHAnsi" w:hAnsiTheme="minorHAnsi" w:cstheme="minorHAnsi"/>
          <w:szCs w:val="24"/>
        </w:rPr>
        <w:t>implementaci principu „nezpůsobovat významnou škodu“</w:t>
      </w:r>
      <w:r w:rsidR="009A6F66">
        <w:rPr>
          <w:rFonts w:asciiTheme="minorHAnsi" w:hAnsiTheme="minorHAnsi" w:cstheme="minorHAnsi"/>
          <w:szCs w:val="24"/>
        </w:rPr>
        <w:t>, pak b</w:t>
      </w:r>
      <w:r w:rsidR="009B7E35">
        <w:rPr>
          <w:rFonts w:asciiTheme="minorHAnsi" w:hAnsiTheme="minorHAnsi" w:cstheme="minorHAnsi"/>
          <w:szCs w:val="24"/>
        </w:rPr>
        <w:t>y se obecné požadavky nastavovaly skrze pracovní rámec SFS přím</w:t>
      </w:r>
      <w:r w:rsidR="009A6F66">
        <w:rPr>
          <w:rFonts w:asciiTheme="minorHAnsi" w:hAnsiTheme="minorHAnsi" w:cstheme="minorHAnsi"/>
          <w:szCs w:val="24"/>
        </w:rPr>
        <w:t xml:space="preserve">o </w:t>
      </w:r>
      <w:r w:rsidR="009B7E35">
        <w:rPr>
          <w:rFonts w:asciiTheme="minorHAnsi" w:hAnsiTheme="minorHAnsi" w:cstheme="minorHAnsi"/>
          <w:szCs w:val="24"/>
        </w:rPr>
        <w:t>(</w:t>
      </w:r>
      <w:r w:rsidR="00DB3CF3">
        <w:rPr>
          <w:rFonts w:asciiTheme="minorHAnsi" w:hAnsiTheme="minorHAnsi" w:cstheme="minorHAnsi"/>
          <w:szCs w:val="24"/>
        </w:rPr>
        <w:t>definice principu „nezpůsobovat významnou škodu“)</w:t>
      </w:r>
      <w:r w:rsidR="009A6F66">
        <w:rPr>
          <w:rFonts w:asciiTheme="minorHAnsi" w:hAnsiTheme="minorHAnsi" w:cstheme="minorHAnsi"/>
          <w:szCs w:val="24"/>
        </w:rPr>
        <w:t xml:space="preserve"> a praktická implementace by se definovala a nastavovala skrze delegované akty. Stejně tak by skrze delegované akty měla být nastavována pravidla pro </w:t>
      </w:r>
      <w:r w:rsidR="00954699">
        <w:rPr>
          <w:rFonts w:asciiTheme="minorHAnsi" w:hAnsiTheme="minorHAnsi" w:cstheme="minorHAnsi"/>
          <w:szCs w:val="24"/>
        </w:rPr>
        <w:t xml:space="preserve">analýzu udržitelnosti. Není zatím jisté, zda Evropská komise plánuje zahrnout definici </w:t>
      </w:r>
      <w:r w:rsidR="004E485C">
        <w:rPr>
          <w:rFonts w:asciiTheme="minorHAnsi" w:hAnsiTheme="minorHAnsi" w:cstheme="minorHAnsi"/>
          <w:szCs w:val="24"/>
        </w:rPr>
        <w:t xml:space="preserve">„analýzy udržitelnosti“ i do hlavního rámce pro SFS. Stran ustanovení o potravinovém prostředí Evropská komise pravděpodobně vyzve v rámci SFS členské státy k tomu, aby zpracovaly a přijaly národní strategické plány pro udržitelná potravinová prostředí. Stran </w:t>
      </w:r>
      <w:r w:rsidR="009B4073">
        <w:rPr>
          <w:rFonts w:asciiTheme="minorHAnsi" w:hAnsiTheme="minorHAnsi" w:cstheme="minorHAnsi"/>
          <w:szCs w:val="24"/>
        </w:rPr>
        <w:t xml:space="preserve">označování udržitelné produkce – pracovní rámec SFS by měl definovat hlavní </w:t>
      </w:r>
      <w:r w:rsidR="009B4073">
        <w:rPr>
          <w:rFonts w:asciiTheme="minorHAnsi" w:hAnsiTheme="minorHAnsi" w:cstheme="minorHAnsi"/>
          <w:szCs w:val="24"/>
        </w:rPr>
        <w:lastRenderedPageBreak/>
        <w:t>aspekty označování, tedy zda se bude jednat o nástroj dobrovolný nebo povinný</w:t>
      </w:r>
      <w:r w:rsidR="00C02E4C">
        <w:rPr>
          <w:rFonts w:asciiTheme="minorHAnsi" w:hAnsiTheme="minorHAnsi" w:cstheme="minorHAnsi"/>
          <w:szCs w:val="24"/>
        </w:rPr>
        <w:t xml:space="preserve">, a typ značky – tedy zda by se mělo jednat o například certifikaci v rámci jedné kategorie („nejlepší v kategorii“), nebo </w:t>
      </w:r>
      <w:r w:rsidR="00740CBC">
        <w:rPr>
          <w:rFonts w:asciiTheme="minorHAnsi" w:hAnsiTheme="minorHAnsi" w:cstheme="minorHAnsi"/>
          <w:szCs w:val="24"/>
        </w:rPr>
        <w:t xml:space="preserve">zda by se jedna pravidla certifikace měla vztahovat na všechny produkty. </w:t>
      </w:r>
      <w:r w:rsidR="00B21866">
        <w:rPr>
          <w:rFonts w:asciiTheme="minorHAnsi" w:hAnsiTheme="minorHAnsi" w:cstheme="minorHAnsi"/>
          <w:szCs w:val="24"/>
        </w:rPr>
        <w:t>Sekretariát uvedl, že by označování mělo zohledňovat zelená tvrzení, značení welfare zvířat, environmentální značení,</w:t>
      </w:r>
      <w:r w:rsidR="006D708C">
        <w:rPr>
          <w:rFonts w:asciiTheme="minorHAnsi" w:hAnsiTheme="minorHAnsi" w:cstheme="minorHAnsi"/>
          <w:szCs w:val="24"/>
        </w:rPr>
        <w:t xml:space="preserve"> </w:t>
      </w:r>
      <w:r w:rsidR="001A6D9D">
        <w:rPr>
          <w:rFonts w:asciiTheme="minorHAnsi" w:hAnsiTheme="minorHAnsi" w:cstheme="minorHAnsi"/>
          <w:szCs w:val="24"/>
        </w:rPr>
        <w:t xml:space="preserve">FOPNL a další. </w:t>
      </w:r>
      <w:r w:rsidR="00740CBC">
        <w:rPr>
          <w:rFonts w:asciiTheme="minorHAnsi" w:hAnsiTheme="minorHAnsi" w:cstheme="minorHAnsi"/>
          <w:szCs w:val="24"/>
        </w:rPr>
        <w:t xml:space="preserve">Ohledně řízení Komise </w:t>
      </w:r>
      <w:r w:rsidR="008623E8">
        <w:rPr>
          <w:rFonts w:asciiTheme="minorHAnsi" w:hAnsiTheme="minorHAnsi" w:cstheme="minorHAnsi"/>
          <w:szCs w:val="24"/>
        </w:rPr>
        <w:t>zvažuje, že by pravidla řízení měla být definována v národních plánech pro udržitelná potravinová prostředí</w:t>
      </w:r>
      <w:r w:rsidR="00AE177E">
        <w:rPr>
          <w:rFonts w:asciiTheme="minorHAnsi" w:hAnsiTheme="minorHAnsi" w:cstheme="minorHAnsi"/>
          <w:szCs w:val="24"/>
        </w:rPr>
        <w:t>, zajistit by měla takzvaný „</w:t>
      </w:r>
      <w:proofErr w:type="spellStart"/>
      <w:r w:rsidR="00AE177E">
        <w:rPr>
          <w:rFonts w:asciiTheme="minorHAnsi" w:hAnsiTheme="minorHAnsi" w:cstheme="minorHAnsi"/>
          <w:szCs w:val="24"/>
        </w:rPr>
        <w:t>favourable</w:t>
      </w:r>
      <w:proofErr w:type="spellEnd"/>
      <w:r w:rsidR="00AE177E">
        <w:rPr>
          <w:rFonts w:asciiTheme="minorHAnsi" w:hAnsiTheme="minorHAnsi" w:cstheme="minorHAnsi"/>
          <w:szCs w:val="24"/>
        </w:rPr>
        <w:t xml:space="preserve"> food environment“, tedy „příznivé potravinové prostředí“. </w:t>
      </w:r>
    </w:p>
    <w:p w14:paraId="3407E68B" w14:textId="02A559B9" w:rsidR="00B3182A" w:rsidRDefault="00B3182A" w:rsidP="00B90DD2">
      <w:pPr>
        <w:spacing w:before="240" w:after="0"/>
        <w:jc w:val="both"/>
        <w:rPr>
          <w:rFonts w:asciiTheme="minorHAnsi" w:hAnsiTheme="minorHAnsi" w:cstheme="minorHAnsi"/>
          <w:szCs w:val="24"/>
        </w:rPr>
      </w:pPr>
      <w:r w:rsidRPr="00373796">
        <w:rPr>
          <w:rFonts w:asciiTheme="minorHAnsi" w:hAnsiTheme="minorHAnsi" w:cstheme="minorHAnsi"/>
          <w:szCs w:val="24"/>
          <w:u w:val="single"/>
        </w:rPr>
        <w:t>DISKUSE</w:t>
      </w:r>
      <w:r>
        <w:rPr>
          <w:rFonts w:asciiTheme="minorHAnsi" w:hAnsiTheme="minorHAnsi" w:cstheme="minorHAnsi"/>
          <w:szCs w:val="24"/>
        </w:rPr>
        <w:t xml:space="preserve">: </w:t>
      </w:r>
    </w:p>
    <w:p w14:paraId="053855D5" w14:textId="6961523E" w:rsidR="00B3182A" w:rsidRDefault="00B3182A" w:rsidP="00B90DD2">
      <w:pPr>
        <w:spacing w:before="240" w:after="0"/>
        <w:jc w:val="both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 xml:space="preserve">PEPSICO – zástupkyně vznesla dotaz, co je to </w:t>
      </w:r>
      <w:r w:rsidR="00256F24">
        <w:rPr>
          <w:rFonts w:asciiTheme="minorHAnsi" w:hAnsiTheme="minorHAnsi" w:cstheme="minorHAnsi"/>
          <w:szCs w:val="24"/>
        </w:rPr>
        <w:t>„</w:t>
      </w:r>
      <w:proofErr w:type="spellStart"/>
      <w:r w:rsidR="00256F24">
        <w:rPr>
          <w:rFonts w:asciiTheme="minorHAnsi" w:hAnsiTheme="minorHAnsi" w:cstheme="minorHAnsi"/>
          <w:szCs w:val="24"/>
        </w:rPr>
        <w:t>favourable</w:t>
      </w:r>
      <w:proofErr w:type="spellEnd"/>
      <w:r w:rsidR="00256F24">
        <w:rPr>
          <w:rFonts w:asciiTheme="minorHAnsi" w:hAnsiTheme="minorHAnsi" w:cstheme="minorHAnsi"/>
          <w:szCs w:val="24"/>
        </w:rPr>
        <w:t xml:space="preserve"> food environment“</w:t>
      </w:r>
      <w:r w:rsidR="00C64C93">
        <w:rPr>
          <w:rFonts w:asciiTheme="minorHAnsi" w:hAnsiTheme="minorHAnsi" w:cstheme="minorHAnsi"/>
          <w:szCs w:val="24"/>
        </w:rPr>
        <w:t xml:space="preserve"> (</w:t>
      </w:r>
      <w:r w:rsidR="00C64C93" w:rsidRPr="00C64C93">
        <w:rPr>
          <w:rFonts w:asciiTheme="minorHAnsi" w:hAnsiTheme="minorHAnsi" w:cstheme="minorHAnsi"/>
          <w:szCs w:val="24"/>
        </w:rPr>
        <w:t>příznivé potravinové prostředí</w:t>
      </w:r>
      <w:r w:rsidR="00C64C93">
        <w:rPr>
          <w:rFonts w:asciiTheme="minorHAnsi" w:hAnsiTheme="minorHAnsi" w:cstheme="minorHAnsi"/>
          <w:szCs w:val="24"/>
        </w:rPr>
        <w:t>)</w:t>
      </w:r>
      <w:r w:rsidR="00256F24">
        <w:rPr>
          <w:rFonts w:asciiTheme="minorHAnsi" w:hAnsiTheme="minorHAnsi" w:cstheme="minorHAnsi"/>
          <w:szCs w:val="24"/>
        </w:rPr>
        <w:t xml:space="preserve"> – podle ní se jedná o vše, co je okolo spotřebitele, vše, co ho ovlivňuje k nákupu potravin a ke zpracování potravin. Součástí </w:t>
      </w:r>
      <w:r w:rsidR="0013319A">
        <w:rPr>
          <w:rFonts w:asciiTheme="minorHAnsi" w:hAnsiTheme="minorHAnsi" w:cstheme="minorHAnsi"/>
          <w:szCs w:val="24"/>
        </w:rPr>
        <w:t>„</w:t>
      </w:r>
      <w:proofErr w:type="spellStart"/>
      <w:r w:rsidR="0013319A">
        <w:rPr>
          <w:rFonts w:asciiTheme="minorHAnsi" w:hAnsiTheme="minorHAnsi" w:cstheme="minorHAnsi"/>
          <w:szCs w:val="24"/>
        </w:rPr>
        <w:t>favourable</w:t>
      </w:r>
      <w:proofErr w:type="spellEnd"/>
      <w:r w:rsidR="0013319A">
        <w:rPr>
          <w:rFonts w:asciiTheme="minorHAnsi" w:hAnsiTheme="minorHAnsi" w:cstheme="minorHAnsi"/>
          <w:szCs w:val="24"/>
        </w:rPr>
        <w:t xml:space="preserve"> food environment“ by mohlo být ale i to, zda spotřebitel ví / neví/ považuje nějakou potravinu za zdravou nebo nezdravou, za udržitelnou nebo neudržitelnou. </w:t>
      </w:r>
    </w:p>
    <w:p w14:paraId="4CCFDA37" w14:textId="08540E7F" w:rsidR="008C69FB" w:rsidRDefault="008C69FB" w:rsidP="00B90DD2">
      <w:pPr>
        <w:spacing w:before="240" w:after="0"/>
        <w:jc w:val="both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 xml:space="preserve">Švédsko </w:t>
      </w:r>
      <w:r w:rsidR="00154161">
        <w:rPr>
          <w:rFonts w:asciiTheme="minorHAnsi" w:hAnsiTheme="minorHAnsi" w:cstheme="minorHAnsi"/>
          <w:szCs w:val="24"/>
        </w:rPr>
        <w:t>–</w:t>
      </w:r>
      <w:r>
        <w:rPr>
          <w:rFonts w:asciiTheme="minorHAnsi" w:hAnsiTheme="minorHAnsi" w:cstheme="minorHAnsi"/>
          <w:szCs w:val="24"/>
        </w:rPr>
        <w:t xml:space="preserve"> </w:t>
      </w:r>
      <w:r w:rsidR="00154161">
        <w:rPr>
          <w:rFonts w:asciiTheme="minorHAnsi" w:hAnsiTheme="minorHAnsi" w:cstheme="minorHAnsi"/>
          <w:szCs w:val="24"/>
        </w:rPr>
        <w:t>zástupce uvedl, že by se do „</w:t>
      </w:r>
      <w:proofErr w:type="spellStart"/>
      <w:r w:rsidR="00154161">
        <w:rPr>
          <w:rFonts w:asciiTheme="minorHAnsi" w:hAnsiTheme="minorHAnsi" w:cstheme="minorHAnsi"/>
          <w:szCs w:val="24"/>
        </w:rPr>
        <w:t>favourable</w:t>
      </w:r>
      <w:proofErr w:type="spellEnd"/>
      <w:r w:rsidR="00154161">
        <w:rPr>
          <w:rFonts w:asciiTheme="minorHAnsi" w:hAnsiTheme="minorHAnsi" w:cstheme="minorHAnsi"/>
          <w:szCs w:val="24"/>
        </w:rPr>
        <w:t xml:space="preserve"> food environment“ mohla promítnout i problematika zdanění „nezdravých a neudržitelných“ potravin. </w:t>
      </w:r>
      <w:r w:rsidR="00B26AA7">
        <w:rPr>
          <w:rFonts w:asciiTheme="minorHAnsi" w:hAnsiTheme="minorHAnsi" w:cstheme="minorHAnsi"/>
          <w:szCs w:val="24"/>
        </w:rPr>
        <w:t xml:space="preserve">Zdůraznil, že pak už by se jednalo o </w:t>
      </w:r>
      <w:proofErr w:type="spellStart"/>
      <w:r w:rsidR="00B26AA7">
        <w:rPr>
          <w:rFonts w:asciiTheme="minorHAnsi" w:hAnsiTheme="minorHAnsi" w:cstheme="minorHAnsi"/>
          <w:szCs w:val="24"/>
        </w:rPr>
        <w:t>nudging</w:t>
      </w:r>
      <w:proofErr w:type="spellEnd"/>
      <w:r w:rsidR="00B26AA7">
        <w:rPr>
          <w:rFonts w:asciiTheme="minorHAnsi" w:hAnsiTheme="minorHAnsi" w:cstheme="minorHAnsi"/>
          <w:szCs w:val="24"/>
        </w:rPr>
        <w:t xml:space="preserve">, </w:t>
      </w:r>
      <w:r w:rsidR="00EB1E22">
        <w:rPr>
          <w:rFonts w:asciiTheme="minorHAnsi" w:hAnsiTheme="minorHAnsi" w:cstheme="minorHAnsi"/>
          <w:szCs w:val="24"/>
        </w:rPr>
        <w:t xml:space="preserve">který hraničí s manipulací spotřebiteli bez jejich uvědomování si situace. </w:t>
      </w:r>
      <w:r w:rsidR="00154161">
        <w:rPr>
          <w:rFonts w:asciiTheme="minorHAnsi" w:hAnsiTheme="minorHAnsi" w:cstheme="minorHAnsi"/>
          <w:szCs w:val="24"/>
        </w:rPr>
        <w:t xml:space="preserve">Zástupce vznesl dotaz, </w:t>
      </w:r>
      <w:r w:rsidR="00805293">
        <w:rPr>
          <w:rFonts w:asciiTheme="minorHAnsi" w:hAnsiTheme="minorHAnsi" w:cstheme="minorHAnsi"/>
          <w:szCs w:val="24"/>
        </w:rPr>
        <w:t xml:space="preserve">jak by měly být posuzovány národní plány v oblasti potravinového prostředí </w:t>
      </w:r>
      <w:r w:rsidR="00111557">
        <w:rPr>
          <w:rFonts w:asciiTheme="minorHAnsi" w:hAnsiTheme="minorHAnsi" w:cstheme="minorHAnsi"/>
          <w:szCs w:val="24"/>
        </w:rPr>
        <w:t>–</w:t>
      </w:r>
      <w:r w:rsidR="00805293">
        <w:rPr>
          <w:rFonts w:asciiTheme="minorHAnsi" w:hAnsiTheme="minorHAnsi" w:cstheme="minorHAnsi"/>
          <w:szCs w:val="24"/>
        </w:rPr>
        <w:t xml:space="preserve"> </w:t>
      </w:r>
      <w:r w:rsidR="00111557">
        <w:rPr>
          <w:rFonts w:asciiTheme="minorHAnsi" w:hAnsiTheme="minorHAnsi" w:cstheme="minorHAnsi"/>
          <w:szCs w:val="24"/>
        </w:rPr>
        <w:t xml:space="preserve">budou notifikovány Komisi, nebo budou muset být schvalovány Komisí? </w:t>
      </w:r>
    </w:p>
    <w:p w14:paraId="20CBF371" w14:textId="3A104B66" w:rsidR="00111557" w:rsidRDefault="00111557" w:rsidP="00B90DD2">
      <w:pPr>
        <w:spacing w:before="240" w:after="0"/>
        <w:jc w:val="both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 xml:space="preserve">Sekretariát – uvedl, že v otázce </w:t>
      </w:r>
      <w:r w:rsidR="0065369F">
        <w:rPr>
          <w:rFonts w:asciiTheme="minorHAnsi" w:hAnsiTheme="minorHAnsi" w:cstheme="minorHAnsi"/>
          <w:szCs w:val="24"/>
        </w:rPr>
        <w:t xml:space="preserve">národních plánů se domnívá, že by se mohlo jednat o </w:t>
      </w:r>
      <w:r w:rsidR="00833342">
        <w:rPr>
          <w:rFonts w:asciiTheme="minorHAnsi" w:hAnsiTheme="minorHAnsi" w:cstheme="minorHAnsi"/>
          <w:szCs w:val="24"/>
        </w:rPr>
        <w:t xml:space="preserve">podobnou situaci, jako je nyní u národních strategických plánů SZP – tedy předložení Komisi a následně schválení plánu ze strany Komise. Sekretariát ale zdůraznil, že si u odpovědí na tyto otázky není jistý a pouze odhaduje. </w:t>
      </w:r>
      <w:r w:rsidR="00ED1EB4">
        <w:rPr>
          <w:rFonts w:asciiTheme="minorHAnsi" w:hAnsiTheme="minorHAnsi" w:cstheme="minorHAnsi"/>
          <w:szCs w:val="24"/>
        </w:rPr>
        <w:t>Sekretariát upozornil, že většina detailních p</w:t>
      </w:r>
      <w:r w:rsidR="006F0370">
        <w:rPr>
          <w:rFonts w:asciiTheme="minorHAnsi" w:hAnsiTheme="minorHAnsi" w:cstheme="minorHAnsi"/>
          <w:szCs w:val="24"/>
        </w:rPr>
        <w:t xml:space="preserve">ravidel bude předkládána ve formě delegovaných aktů. </w:t>
      </w:r>
    </w:p>
    <w:p w14:paraId="2CA48190" w14:textId="77777777" w:rsidR="00E90D2E" w:rsidRPr="00A82CA7" w:rsidRDefault="00E90D2E" w:rsidP="00A82CA7">
      <w:pPr>
        <w:spacing w:before="240" w:after="0"/>
        <w:jc w:val="both"/>
        <w:rPr>
          <w:rFonts w:asciiTheme="minorHAnsi" w:hAnsiTheme="minorHAnsi" w:cstheme="minorHAnsi"/>
          <w:szCs w:val="24"/>
        </w:rPr>
      </w:pPr>
    </w:p>
    <w:p w14:paraId="6DC27427" w14:textId="77777777" w:rsidR="00B90DD2" w:rsidRPr="00F86380" w:rsidRDefault="00B90DD2" w:rsidP="00B90DD2">
      <w:pPr>
        <w:spacing w:before="240" w:after="0"/>
        <w:jc w:val="both"/>
        <w:rPr>
          <w:rFonts w:asciiTheme="minorHAnsi" w:hAnsiTheme="minorHAnsi" w:cstheme="minorHAnsi"/>
          <w:b/>
          <w:bCs/>
          <w:szCs w:val="24"/>
        </w:rPr>
      </w:pPr>
      <w:r w:rsidRPr="00F86380">
        <w:rPr>
          <w:rFonts w:asciiTheme="minorHAnsi" w:hAnsiTheme="minorHAnsi" w:cstheme="minorHAnsi"/>
          <w:b/>
          <w:bCs/>
          <w:szCs w:val="24"/>
        </w:rPr>
        <w:t xml:space="preserve">Bod 5. Pozice FDE a plán zapojení se do vyjednávání </w:t>
      </w:r>
    </w:p>
    <w:p w14:paraId="61010786" w14:textId="3A10CCA6" w:rsidR="009804AE" w:rsidRDefault="009804AE" w:rsidP="00B90DD2">
      <w:pPr>
        <w:spacing w:before="240" w:after="0"/>
        <w:jc w:val="both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 xml:space="preserve">Sekretariát FDE zpracoval prvotní srovnání pozic Evropské komise a FDE k některým z hlavních aspektů připravovaného právního rámce pro udržitelné potravinové systémy. </w:t>
      </w:r>
      <w:r w:rsidR="00C245DE">
        <w:rPr>
          <w:rFonts w:asciiTheme="minorHAnsi" w:hAnsiTheme="minorHAnsi" w:cstheme="minorHAnsi"/>
          <w:szCs w:val="24"/>
        </w:rPr>
        <w:t xml:space="preserve">Přestože specializovaná pracovní skupina FDE pro SFS byla založena teprve nově, FDE na problematice SFS pracuje od roku 2021. Stanoviska k některým aspektům FSFS proto má připravené, Sekretariát ale zdůraznil, že veškeré pozice bude nutné projednat více do detailu a případně přeformulovat. </w:t>
      </w:r>
    </w:p>
    <w:p w14:paraId="78609A0B" w14:textId="197FEDF6" w:rsidR="00C218C0" w:rsidRDefault="00374AB3" w:rsidP="00B90DD2">
      <w:pPr>
        <w:spacing w:before="240" w:after="0"/>
        <w:jc w:val="both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>Cíle: Evropská komise se plánuje zaměřit na „opera</w:t>
      </w:r>
      <w:r w:rsidR="00C47300">
        <w:rPr>
          <w:rFonts w:asciiTheme="minorHAnsi" w:hAnsiTheme="minorHAnsi" w:cstheme="minorHAnsi"/>
          <w:szCs w:val="24"/>
        </w:rPr>
        <w:t>ční cíle</w:t>
      </w:r>
      <w:r>
        <w:rPr>
          <w:rFonts w:asciiTheme="minorHAnsi" w:hAnsiTheme="minorHAnsi" w:cstheme="minorHAnsi"/>
          <w:szCs w:val="24"/>
        </w:rPr>
        <w:t>“, FoodDrinkEurope na „</w:t>
      </w:r>
      <w:r w:rsidR="00C47300">
        <w:rPr>
          <w:rFonts w:asciiTheme="minorHAnsi" w:hAnsiTheme="minorHAnsi" w:cstheme="minorHAnsi"/>
          <w:szCs w:val="24"/>
        </w:rPr>
        <w:t>operační a procesní cíle</w:t>
      </w:r>
      <w:r w:rsidR="003D1CDE">
        <w:rPr>
          <w:rFonts w:asciiTheme="minorHAnsi" w:hAnsiTheme="minorHAnsi" w:cstheme="minorHAnsi"/>
          <w:szCs w:val="24"/>
        </w:rPr>
        <w:t xml:space="preserve">“. </w:t>
      </w:r>
    </w:p>
    <w:p w14:paraId="19AB92D0" w14:textId="315B3428" w:rsidR="003D1CDE" w:rsidRDefault="003D1CDE" w:rsidP="00B90DD2">
      <w:pPr>
        <w:spacing w:before="240" w:after="0"/>
        <w:jc w:val="both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lastRenderedPageBreak/>
        <w:t xml:space="preserve">Definice: Evropská komise plánuje vyvinout vlastní definice založené na exitujících definicích, například z FAO nebo ze SAPEA. FoodDrinkEurope zaujal stanovisko, ve kterém podporuje </w:t>
      </w:r>
      <w:r w:rsidR="00F03B20">
        <w:rPr>
          <w:rFonts w:asciiTheme="minorHAnsi" w:hAnsiTheme="minorHAnsi" w:cstheme="minorHAnsi"/>
          <w:szCs w:val="24"/>
        </w:rPr>
        <w:t xml:space="preserve">definice FAO pro „udržitelné potravinové systémy“ a pro „udržitelnou výživu“. </w:t>
      </w:r>
    </w:p>
    <w:p w14:paraId="6F226201" w14:textId="4CF1216F" w:rsidR="00F86380" w:rsidRDefault="00F03B20" w:rsidP="00B90DD2">
      <w:pPr>
        <w:spacing w:before="240" w:after="0"/>
        <w:jc w:val="both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 xml:space="preserve">Obecné principy: Evropská komise zvažuje zahrnutí řady principů – princip předběžné opatrnosti, princip transparentnosti, princip „významně neškodit“, princip „znečišťovatel platí“ a další. </w:t>
      </w:r>
      <w:r w:rsidR="009B1F04">
        <w:rPr>
          <w:rFonts w:asciiTheme="minorHAnsi" w:hAnsiTheme="minorHAnsi" w:cstheme="minorHAnsi"/>
          <w:szCs w:val="24"/>
        </w:rPr>
        <w:t xml:space="preserve">FoodDrinkEurope k tomuto bodu zatím nemá podrobnější </w:t>
      </w:r>
      <w:r w:rsidR="00965303">
        <w:rPr>
          <w:rFonts w:asciiTheme="minorHAnsi" w:hAnsiTheme="minorHAnsi" w:cstheme="minorHAnsi"/>
          <w:szCs w:val="24"/>
        </w:rPr>
        <w:t xml:space="preserve">stanovisko, to bude třeba vyjednat v rámci jednání pracovní skupiny. </w:t>
      </w:r>
      <w:r w:rsidR="00ED1725">
        <w:rPr>
          <w:rFonts w:asciiTheme="minorHAnsi" w:hAnsiTheme="minorHAnsi" w:cstheme="minorHAnsi"/>
          <w:szCs w:val="24"/>
        </w:rPr>
        <w:t xml:space="preserve">Na základě podnětů, které byly zaslány </w:t>
      </w:r>
      <w:r w:rsidR="00112D40">
        <w:rPr>
          <w:rFonts w:asciiTheme="minorHAnsi" w:hAnsiTheme="minorHAnsi" w:cstheme="minorHAnsi"/>
          <w:szCs w:val="24"/>
        </w:rPr>
        <w:t>do veřejné konzultace, bylo definováno mnoho principů, které by FDE měl ve svých jednáních protřídit a prioritizovat (</w:t>
      </w:r>
      <w:r w:rsidR="009A1B0B">
        <w:rPr>
          <w:rFonts w:asciiTheme="minorHAnsi" w:hAnsiTheme="minorHAnsi" w:cstheme="minorHAnsi"/>
          <w:szCs w:val="24"/>
        </w:rPr>
        <w:t xml:space="preserve">princip udržitelnosti postavené na všech třech pilířích, princip založený na vědeckých základech, zajištění právní jistoty pro byznysové operátory, zajištění silného jednotného trhu </w:t>
      </w:r>
      <w:r w:rsidR="00F86380">
        <w:rPr>
          <w:rFonts w:asciiTheme="minorHAnsi" w:hAnsiTheme="minorHAnsi" w:cstheme="minorHAnsi"/>
          <w:szCs w:val="24"/>
        </w:rPr>
        <w:t>EU pro potraviny</w:t>
      </w:r>
    </w:p>
    <w:p w14:paraId="4746B490" w14:textId="5273D223" w:rsidR="00A97369" w:rsidRDefault="00965303" w:rsidP="00B90DD2">
      <w:pPr>
        <w:spacing w:before="240" w:after="0"/>
        <w:jc w:val="both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 xml:space="preserve">Řízení – Evropská komise navrhne, aby členské státy zpracovaly </w:t>
      </w:r>
      <w:r w:rsidR="00F86380">
        <w:rPr>
          <w:rFonts w:asciiTheme="minorHAnsi" w:hAnsiTheme="minorHAnsi" w:cstheme="minorHAnsi"/>
          <w:szCs w:val="24"/>
        </w:rPr>
        <w:t xml:space="preserve">národní plány pro </w:t>
      </w:r>
      <w:r w:rsidR="00F86380" w:rsidRPr="00C64C93">
        <w:rPr>
          <w:rFonts w:asciiTheme="minorHAnsi" w:hAnsiTheme="minorHAnsi" w:cstheme="minorHAnsi"/>
          <w:szCs w:val="24"/>
        </w:rPr>
        <w:t>příznivé potravinové prostředí</w:t>
      </w:r>
      <w:r w:rsidR="00F86380">
        <w:rPr>
          <w:rFonts w:asciiTheme="minorHAnsi" w:hAnsiTheme="minorHAnsi" w:cstheme="minorHAnsi"/>
          <w:szCs w:val="24"/>
        </w:rPr>
        <w:t xml:space="preserve">, FoodDrinkEurope se ale obává toho, že by tento požadavek mohl vést k fragmentaci </w:t>
      </w:r>
      <w:r w:rsidR="009804AE">
        <w:rPr>
          <w:rFonts w:asciiTheme="minorHAnsi" w:hAnsiTheme="minorHAnsi" w:cstheme="minorHAnsi"/>
          <w:szCs w:val="24"/>
        </w:rPr>
        <w:t xml:space="preserve">jednotného trhu. </w:t>
      </w:r>
    </w:p>
    <w:p w14:paraId="60FCDB53" w14:textId="686D9510" w:rsidR="00A43B36" w:rsidRDefault="00A43B36" w:rsidP="00B90DD2">
      <w:pPr>
        <w:spacing w:before="240" w:after="0"/>
        <w:jc w:val="both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>Minimální požadavky udržitelnosti</w:t>
      </w:r>
      <w:r w:rsidR="000952E7">
        <w:rPr>
          <w:rFonts w:asciiTheme="minorHAnsi" w:hAnsiTheme="minorHAnsi" w:cstheme="minorHAnsi"/>
          <w:szCs w:val="24"/>
        </w:rPr>
        <w:t xml:space="preserve"> – Evropská komise preferuje kombinaci možností 2 a 4 – tedy </w:t>
      </w:r>
      <w:r w:rsidR="00304D36" w:rsidRPr="00304D36">
        <w:rPr>
          <w:rFonts w:asciiTheme="minorHAnsi" w:hAnsiTheme="minorHAnsi" w:cstheme="minorHAnsi"/>
          <w:szCs w:val="24"/>
        </w:rPr>
        <w:t xml:space="preserve">soubor zastřešujících zásad + minimální požadavky založené na zásadě "významně nepoškodit" (postupný přístup s kritérii pro stanovení priorit v jednotlivých odvětvích). </w:t>
      </w:r>
      <w:r w:rsidR="000952E7">
        <w:rPr>
          <w:rFonts w:asciiTheme="minorHAnsi" w:hAnsiTheme="minorHAnsi" w:cstheme="minorHAnsi"/>
          <w:szCs w:val="24"/>
        </w:rPr>
        <w:t xml:space="preserve">Podle Evropské komise </w:t>
      </w:r>
      <w:r w:rsidR="005E0718">
        <w:rPr>
          <w:rFonts w:asciiTheme="minorHAnsi" w:hAnsiTheme="minorHAnsi" w:cstheme="minorHAnsi"/>
          <w:szCs w:val="24"/>
        </w:rPr>
        <w:t xml:space="preserve">by měly být detailní požadavky nastavovány skrze delegované akty. FoodDrinkEurope zdůrazňuje, že by měla být přijata pouze </w:t>
      </w:r>
      <w:r w:rsidR="009B2CB0">
        <w:rPr>
          <w:rFonts w:asciiTheme="minorHAnsi" w:hAnsiTheme="minorHAnsi" w:cstheme="minorHAnsi"/>
          <w:szCs w:val="24"/>
        </w:rPr>
        <w:t xml:space="preserve">obecná kritéria v rámci minimálních požadavků na udržitelnost, neměl by být zaujímán sektorový přístup nastavování minimálních požadavků udržitelnosti pro jednotlivé sektory. </w:t>
      </w:r>
    </w:p>
    <w:p w14:paraId="49ADAE9E" w14:textId="4D6F68D7" w:rsidR="00417924" w:rsidRDefault="00417924" w:rsidP="00B90DD2">
      <w:pPr>
        <w:spacing w:before="240" w:after="0"/>
        <w:jc w:val="both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>Označování udržitelné produkce – u tohoto „</w:t>
      </w:r>
      <w:proofErr w:type="spellStart"/>
      <w:r>
        <w:rPr>
          <w:rFonts w:asciiTheme="minorHAnsi" w:hAnsiTheme="minorHAnsi" w:cstheme="minorHAnsi"/>
          <w:szCs w:val="24"/>
        </w:rPr>
        <w:t>pull</w:t>
      </w:r>
      <w:proofErr w:type="spellEnd"/>
      <w:r>
        <w:rPr>
          <w:rFonts w:asciiTheme="minorHAnsi" w:hAnsiTheme="minorHAnsi" w:cstheme="minorHAnsi"/>
          <w:szCs w:val="24"/>
        </w:rPr>
        <w:t>“ opatření Evropská komise preferuje možnost</w:t>
      </w:r>
      <w:r w:rsidR="00DC7C66">
        <w:rPr>
          <w:rFonts w:asciiTheme="minorHAnsi" w:hAnsiTheme="minorHAnsi" w:cstheme="minorHAnsi"/>
          <w:szCs w:val="24"/>
        </w:rPr>
        <w:t>, podle které by byla nastavována pravidla pro označování udržitelné produkce pouze pro produkty, které jsou specifické vyšší</w:t>
      </w:r>
      <w:r w:rsidR="00BB10BF">
        <w:rPr>
          <w:rFonts w:asciiTheme="minorHAnsi" w:hAnsiTheme="minorHAnsi" w:cstheme="minorHAnsi"/>
          <w:szCs w:val="24"/>
        </w:rPr>
        <w:t xml:space="preserve"> úrovní udržitelnosti, tedy ne plošně pro všechny produkty.</w:t>
      </w:r>
      <w:r w:rsidR="004D25FA">
        <w:rPr>
          <w:rFonts w:asciiTheme="minorHAnsi" w:hAnsiTheme="minorHAnsi" w:cstheme="minorHAnsi"/>
          <w:szCs w:val="24"/>
        </w:rPr>
        <w:t xml:space="preserve"> Vyjasněno zatím není, zda se Komise přikloní k povinnému nebo dobrovolnému systému, a jaký typ značky navrhne. Označování udržitelné produkce by podle Komise mělo zahrnovat jak FOPNL, tak environmentální značení, zelená tvrzení i </w:t>
      </w:r>
      <w:r w:rsidR="00650858">
        <w:rPr>
          <w:rFonts w:asciiTheme="minorHAnsi" w:hAnsiTheme="minorHAnsi" w:cstheme="minorHAnsi"/>
          <w:szCs w:val="24"/>
        </w:rPr>
        <w:t xml:space="preserve">značení welfare zvířat. FoodDrinkEurope podporuje zavedení vertikálních značení, obecnějších, spíše než integrovaných konkrétnějších. </w:t>
      </w:r>
    </w:p>
    <w:p w14:paraId="199C6311" w14:textId="79846201" w:rsidR="008D2146" w:rsidRDefault="00CB146F" w:rsidP="00B90DD2">
      <w:pPr>
        <w:spacing w:before="240" w:after="0"/>
        <w:jc w:val="both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>Veřejné zakázky – u tohoto „</w:t>
      </w:r>
      <w:proofErr w:type="spellStart"/>
      <w:r>
        <w:rPr>
          <w:rFonts w:asciiTheme="minorHAnsi" w:hAnsiTheme="minorHAnsi" w:cstheme="minorHAnsi"/>
          <w:szCs w:val="24"/>
        </w:rPr>
        <w:t>pull</w:t>
      </w:r>
      <w:proofErr w:type="spellEnd"/>
      <w:r>
        <w:rPr>
          <w:rFonts w:asciiTheme="minorHAnsi" w:hAnsiTheme="minorHAnsi" w:cstheme="minorHAnsi"/>
          <w:szCs w:val="24"/>
        </w:rPr>
        <w:t xml:space="preserve">“ opatření Evropská komise preferuje možnost, podle které by se nastavily obecné požadavky </w:t>
      </w:r>
      <w:r w:rsidR="002A60C6">
        <w:rPr>
          <w:rFonts w:asciiTheme="minorHAnsi" w:hAnsiTheme="minorHAnsi" w:cstheme="minorHAnsi"/>
          <w:szCs w:val="24"/>
        </w:rPr>
        <w:t>v rámci rámce SFS, povinná kritéria by měla být definována skrze delegované akty později. FoodDrinkEurope v tomto bodě odmítá povinnost</w:t>
      </w:r>
      <w:r w:rsidR="003C164F">
        <w:rPr>
          <w:rFonts w:asciiTheme="minorHAnsi" w:hAnsiTheme="minorHAnsi" w:cstheme="minorHAnsi"/>
          <w:szCs w:val="24"/>
        </w:rPr>
        <w:t xml:space="preserve"> u implementace tohoto opatření, mělo by se jednat </w:t>
      </w:r>
      <w:r w:rsidR="008D2146">
        <w:rPr>
          <w:rFonts w:asciiTheme="minorHAnsi" w:hAnsiTheme="minorHAnsi" w:cstheme="minorHAnsi"/>
          <w:szCs w:val="24"/>
        </w:rPr>
        <w:t xml:space="preserve">pouze o opatření dobrovolné. </w:t>
      </w:r>
    </w:p>
    <w:p w14:paraId="54293A28" w14:textId="14DAC740" w:rsidR="0005319E" w:rsidRPr="00526FF6" w:rsidRDefault="0005319E" w:rsidP="00B90DD2">
      <w:pPr>
        <w:spacing w:before="240" w:after="0"/>
        <w:jc w:val="both"/>
        <w:rPr>
          <w:rFonts w:asciiTheme="minorHAnsi" w:hAnsiTheme="minorHAnsi" w:cstheme="minorHAnsi"/>
          <w:b/>
          <w:bCs/>
          <w:i/>
          <w:iCs/>
          <w:szCs w:val="24"/>
        </w:rPr>
      </w:pPr>
      <w:r w:rsidRPr="00526FF6">
        <w:rPr>
          <w:rFonts w:asciiTheme="minorHAnsi" w:hAnsiTheme="minorHAnsi" w:cstheme="minorHAnsi"/>
          <w:b/>
          <w:bCs/>
          <w:i/>
          <w:iCs/>
          <w:szCs w:val="24"/>
        </w:rPr>
        <w:t xml:space="preserve">Sekretariát poté shrnul hlavní stanoviska a plán obhajoby těchto stanovisek v rámci FoodDrinkEurope: </w:t>
      </w:r>
    </w:p>
    <w:p w14:paraId="20A3BE96" w14:textId="5F480155" w:rsidR="0005319E" w:rsidRPr="00526FF6" w:rsidRDefault="0005319E" w:rsidP="00B90DD2">
      <w:pPr>
        <w:spacing w:before="240" w:after="0"/>
        <w:jc w:val="both"/>
        <w:rPr>
          <w:rFonts w:asciiTheme="minorHAnsi" w:hAnsiTheme="minorHAnsi" w:cstheme="minorHAnsi"/>
          <w:b/>
          <w:bCs/>
          <w:i/>
          <w:iCs/>
          <w:szCs w:val="24"/>
        </w:rPr>
      </w:pPr>
      <w:r w:rsidRPr="00526FF6">
        <w:rPr>
          <w:rFonts w:asciiTheme="minorHAnsi" w:hAnsiTheme="minorHAnsi" w:cstheme="minorHAnsi"/>
          <w:b/>
          <w:bCs/>
          <w:i/>
          <w:iCs/>
          <w:szCs w:val="24"/>
        </w:rPr>
        <w:t>Hlavní stanoviska</w:t>
      </w:r>
    </w:p>
    <w:p w14:paraId="776246FC" w14:textId="3B746814" w:rsidR="0005319E" w:rsidRPr="00221235" w:rsidRDefault="00C60885" w:rsidP="0005319E">
      <w:pPr>
        <w:pStyle w:val="Odstavecseseznamem"/>
        <w:numPr>
          <w:ilvl w:val="0"/>
          <w:numId w:val="11"/>
        </w:numPr>
        <w:spacing w:before="240" w:after="0"/>
        <w:jc w:val="both"/>
        <w:rPr>
          <w:rFonts w:asciiTheme="minorHAnsi" w:hAnsiTheme="minorHAnsi" w:cstheme="minorHAnsi"/>
          <w:szCs w:val="24"/>
        </w:rPr>
      </w:pPr>
      <w:r w:rsidRPr="004914E7">
        <w:rPr>
          <w:rFonts w:ascii="Calibri" w:hAnsi="Calibri" w:cs="Calibri"/>
          <w:szCs w:val="24"/>
        </w:rPr>
        <w:lastRenderedPageBreak/>
        <w:t>Systém FSFS by měl být založen na systémovém přístupu a měl by se týkat celého dodavatelského řetězce, přičemž všichni účastníci potravinového řetězce by měli nést společnou odpovědnost</w:t>
      </w:r>
    </w:p>
    <w:p w14:paraId="34E8AE89" w14:textId="436C4499" w:rsidR="00221235" w:rsidRPr="00385B04" w:rsidRDefault="00385B04" w:rsidP="0005319E">
      <w:pPr>
        <w:pStyle w:val="Odstavecseseznamem"/>
        <w:numPr>
          <w:ilvl w:val="0"/>
          <w:numId w:val="11"/>
        </w:numPr>
        <w:spacing w:before="240" w:after="0"/>
        <w:jc w:val="both"/>
        <w:rPr>
          <w:rFonts w:asciiTheme="minorHAnsi" w:hAnsiTheme="minorHAnsi" w:cstheme="minorHAnsi"/>
          <w:szCs w:val="24"/>
        </w:rPr>
      </w:pPr>
      <w:r w:rsidRPr="004914E7">
        <w:rPr>
          <w:rFonts w:ascii="Calibri" w:hAnsi="Calibri" w:cs="Calibri"/>
          <w:szCs w:val="24"/>
        </w:rPr>
        <w:t>Měla by zajistit soudržnost politik na všech úrovních v rámci strategie EU "</w:t>
      </w:r>
      <w:r>
        <w:rPr>
          <w:rFonts w:ascii="Calibri" w:hAnsi="Calibri" w:cs="Calibri"/>
          <w:szCs w:val="24"/>
        </w:rPr>
        <w:t>Farm to Fork</w:t>
      </w:r>
      <w:r w:rsidRPr="004914E7">
        <w:rPr>
          <w:rFonts w:ascii="Calibri" w:hAnsi="Calibri" w:cs="Calibri"/>
          <w:szCs w:val="24"/>
        </w:rPr>
        <w:t>" a dalších právních předpisů EU týkajících se potravin</w:t>
      </w:r>
    </w:p>
    <w:p w14:paraId="5F3AE2A8" w14:textId="1E70E0FC" w:rsidR="00385B04" w:rsidRPr="008C4209" w:rsidRDefault="008C4209" w:rsidP="0005319E">
      <w:pPr>
        <w:pStyle w:val="Odstavecseseznamem"/>
        <w:numPr>
          <w:ilvl w:val="0"/>
          <w:numId w:val="11"/>
        </w:numPr>
        <w:spacing w:before="240" w:after="0"/>
        <w:jc w:val="both"/>
        <w:rPr>
          <w:rFonts w:asciiTheme="minorHAnsi" w:hAnsiTheme="minorHAnsi" w:cstheme="minorHAnsi"/>
          <w:szCs w:val="24"/>
        </w:rPr>
      </w:pPr>
      <w:r w:rsidRPr="004914E7">
        <w:rPr>
          <w:rFonts w:ascii="Calibri" w:hAnsi="Calibri" w:cs="Calibri"/>
          <w:szCs w:val="24"/>
        </w:rPr>
        <w:t>Požadavky na udržitelnost by měly být jasné, vědecky podložené, harmonizované na úrovni EU a přiměřené sledovaným cílům</w:t>
      </w:r>
    </w:p>
    <w:p w14:paraId="419E0BC3" w14:textId="78D2E472" w:rsidR="008C4209" w:rsidRPr="00526FF6" w:rsidRDefault="00526FF6" w:rsidP="0005319E">
      <w:pPr>
        <w:pStyle w:val="Odstavecseseznamem"/>
        <w:numPr>
          <w:ilvl w:val="0"/>
          <w:numId w:val="11"/>
        </w:numPr>
        <w:spacing w:before="240" w:after="0"/>
        <w:jc w:val="both"/>
        <w:rPr>
          <w:rFonts w:asciiTheme="minorHAnsi" w:hAnsiTheme="minorHAnsi" w:cstheme="minorHAnsi"/>
          <w:szCs w:val="24"/>
        </w:rPr>
      </w:pPr>
      <w:r w:rsidRPr="004914E7">
        <w:rPr>
          <w:rFonts w:ascii="Calibri" w:hAnsi="Calibri" w:cs="Calibri"/>
          <w:szCs w:val="24"/>
        </w:rPr>
        <w:t>Přechod k udržitelnějším potravinovým systémům by měl probíhat postupně a v přiměřených přechodných obdobích, přičemž nikdo nesmí zůstat pozadu</w:t>
      </w:r>
    </w:p>
    <w:p w14:paraId="01C83663" w14:textId="2E85E833" w:rsidR="00526FF6" w:rsidRPr="00942AFA" w:rsidRDefault="00526FF6" w:rsidP="00526FF6">
      <w:pPr>
        <w:spacing w:before="240" w:after="0"/>
        <w:jc w:val="both"/>
        <w:rPr>
          <w:rFonts w:asciiTheme="minorHAnsi" w:hAnsiTheme="minorHAnsi" w:cstheme="minorHAnsi"/>
          <w:b/>
          <w:bCs/>
          <w:i/>
          <w:iCs/>
          <w:szCs w:val="24"/>
        </w:rPr>
      </w:pPr>
      <w:r w:rsidRPr="00942AFA">
        <w:rPr>
          <w:rFonts w:asciiTheme="minorHAnsi" w:hAnsiTheme="minorHAnsi" w:cstheme="minorHAnsi"/>
          <w:b/>
          <w:bCs/>
          <w:i/>
          <w:iCs/>
          <w:szCs w:val="24"/>
        </w:rPr>
        <w:t>Plán obhajoby</w:t>
      </w:r>
    </w:p>
    <w:p w14:paraId="75F9C958" w14:textId="0793FB22" w:rsidR="00526FF6" w:rsidRDefault="008215CC" w:rsidP="00526FF6">
      <w:pPr>
        <w:pStyle w:val="Odstavecseseznamem"/>
        <w:numPr>
          <w:ilvl w:val="0"/>
          <w:numId w:val="12"/>
        </w:numPr>
        <w:spacing w:before="240" w:after="0"/>
        <w:jc w:val="both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 xml:space="preserve">FDE se bude nadále účastnit relevantních jednání a případných konzultací </w:t>
      </w:r>
    </w:p>
    <w:p w14:paraId="0D4D084E" w14:textId="229E230E" w:rsidR="008215CC" w:rsidRDefault="00580D45" w:rsidP="00526FF6">
      <w:pPr>
        <w:pStyle w:val="Odstavecseseznamem"/>
        <w:numPr>
          <w:ilvl w:val="0"/>
          <w:numId w:val="12"/>
        </w:numPr>
        <w:spacing w:before="240" w:after="0"/>
        <w:jc w:val="both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 xml:space="preserve">FDE bude jednat se zástupci FG SANTE a dalších relevantních ředitelství Komise </w:t>
      </w:r>
    </w:p>
    <w:p w14:paraId="2E7189FA" w14:textId="177769B7" w:rsidR="00580D45" w:rsidRPr="00526FF6" w:rsidRDefault="00580D45" w:rsidP="00526FF6">
      <w:pPr>
        <w:pStyle w:val="Odstavecseseznamem"/>
        <w:numPr>
          <w:ilvl w:val="0"/>
          <w:numId w:val="12"/>
        </w:numPr>
        <w:spacing w:before="240" w:after="0"/>
        <w:jc w:val="both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>Podle dostupných informací by Evropská komise mohla v průběhu března nebo dubna konzultovat, prostřednictvím poradní skupiny</w:t>
      </w:r>
      <w:r w:rsidR="00364E6A">
        <w:rPr>
          <w:rFonts w:asciiTheme="minorHAnsi" w:hAnsiTheme="minorHAnsi" w:cstheme="minorHAnsi"/>
          <w:szCs w:val="24"/>
        </w:rPr>
        <w:t xml:space="preserve"> pro udržitelné potravinové systémy, zásady budoucího systémy FSFS se zúčastněnými stranami </w:t>
      </w:r>
      <w:r w:rsidR="00D827A1">
        <w:rPr>
          <w:rFonts w:asciiTheme="minorHAnsi" w:hAnsiTheme="minorHAnsi" w:cstheme="minorHAnsi"/>
          <w:szCs w:val="24"/>
        </w:rPr>
        <w:t>–</w:t>
      </w:r>
      <w:r w:rsidR="00364E6A">
        <w:rPr>
          <w:rFonts w:asciiTheme="minorHAnsi" w:hAnsiTheme="minorHAnsi" w:cstheme="minorHAnsi"/>
          <w:szCs w:val="24"/>
        </w:rPr>
        <w:t xml:space="preserve"> </w:t>
      </w:r>
      <w:r w:rsidR="00D827A1">
        <w:rPr>
          <w:rFonts w:asciiTheme="minorHAnsi" w:hAnsiTheme="minorHAnsi" w:cstheme="minorHAnsi"/>
          <w:szCs w:val="24"/>
        </w:rPr>
        <w:t>FDE se zúčastní</w:t>
      </w:r>
    </w:p>
    <w:p w14:paraId="29531CA9" w14:textId="2FFF158D" w:rsidR="00902551" w:rsidRDefault="00902551" w:rsidP="00B90DD2">
      <w:pPr>
        <w:spacing w:before="240" w:after="0"/>
        <w:jc w:val="both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 xml:space="preserve">Sekretariát uvedl, že </w:t>
      </w:r>
      <w:r w:rsidR="00266CB0">
        <w:rPr>
          <w:rFonts w:asciiTheme="minorHAnsi" w:hAnsiTheme="minorHAnsi" w:cstheme="minorHAnsi"/>
          <w:szCs w:val="24"/>
        </w:rPr>
        <w:t xml:space="preserve">zanalyzuje uniklou verzi pracovního rámce Evropské komise k SFS, a stejně tak poté i </w:t>
      </w:r>
      <w:r w:rsidR="00846807">
        <w:rPr>
          <w:rFonts w:asciiTheme="minorHAnsi" w:hAnsiTheme="minorHAnsi" w:cstheme="minorHAnsi"/>
          <w:szCs w:val="24"/>
        </w:rPr>
        <w:t xml:space="preserve">oficiální verze návrhu, v návaznosti na to budou realizována jednání dotčených pracovních skupin a skupiny pro SFS, dosavadní pozice FDE bude na těchto jednáních revidována a v případě potřeby upravena. </w:t>
      </w:r>
      <w:r w:rsidR="00B90A14">
        <w:rPr>
          <w:rFonts w:asciiTheme="minorHAnsi" w:hAnsiTheme="minorHAnsi" w:cstheme="minorHAnsi"/>
          <w:szCs w:val="24"/>
        </w:rPr>
        <w:t xml:space="preserve">Sekretariát upozorni, že Evropská komise pravděpodobně nebude zpracovávat posouzení dopadů pro jednotlivé delegované akty. </w:t>
      </w:r>
    </w:p>
    <w:p w14:paraId="7145721D" w14:textId="4FB29EFD" w:rsidR="007A307F" w:rsidRDefault="00490916" w:rsidP="00B90DD2">
      <w:pPr>
        <w:spacing w:before="240" w:after="0"/>
        <w:jc w:val="both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 xml:space="preserve">Členské organizace kritizovaly zejména záměr Evropské komise </w:t>
      </w:r>
      <w:r w:rsidR="00D6656B">
        <w:rPr>
          <w:rFonts w:asciiTheme="minorHAnsi" w:hAnsiTheme="minorHAnsi" w:cstheme="minorHAnsi"/>
          <w:szCs w:val="24"/>
        </w:rPr>
        <w:t>předkládat kritické detaily formou delegovaných aktů</w:t>
      </w:r>
      <w:r w:rsidR="00732827">
        <w:rPr>
          <w:rFonts w:asciiTheme="minorHAnsi" w:hAnsiTheme="minorHAnsi" w:cstheme="minorHAnsi"/>
          <w:szCs w:val="24"/>
        </w:rPr>
        <w:t xml:space="preserve">. Je to jako dát Evropské komisi bianco šek a doufat, že to dopadne dobře. Zástupci rovněž kritizovali neochotu Komise řádně posuzovat </w:t>
      </w:r>
      <w:r w:rsidR="008E0711">
        <w:rPr>
          <w:rFonts w:asciiTheme="minorHAnsi" w:hAnsiTheme="minorHAnsi" w:cstheme="minorHAnsi"/>
          <w:szCs w:val="24"/>
        </w:rPr>
        <w:t xml:space="preserve">dopady jednotlivých delegovaných aktů, zvlášť, pokud by tyto akty obsahovaly obsáhlé technické a pro reálný život velmi konkrétní požadavky. </w:t>
      </w:r>
    </w:p>
    <w:p w14:paraId="6356C9BC" w14:textId="59EFB856" w:rsidR="00A43B36" w:rsidRPr="00A43B36" w:rsidRDefault="002D3FF7" w:rsidP="00B90DD2">
      <w:pPr>
        <w:spacing w:before="240" w:after="0"/>
        <w:jc w:val="both"/>
      </w:pPr>
      <w:r>
        <w:rPr>
          <w:rFonts w:asciiTheme="minorHAnsi" w:hAnsiTheme="minorHAnsi" w:cstheme="minorHAnsi"/>
          <w:szCs w:val="24"/>
        </w:rPr>
        <w:t xml:space="preserve">Vyjednávání budou pokračovat. </w:t>
      </w:r>
    </w:p>
    <w:p w14:paraId="5B1F8166" w14:textId="77777777" w:rsidR="00A97369" w:rsidRDefault="00A97369" w:rsidP="00B90DD2">
      <w:pPr>
        <w:spacing w:before="240" w:after="0"/>
        <w:jc w:val="both"/>
        <w:rPr>
          <w:rFonts w:asciiTheme="minorHAnsi" w:hAnsiTheme="minorHAnsi" w:cstheme="minorHAnsi"/>
          <w:szCs w:val="24"/>
        </w:rPr>
      </w:pPr>
    </w:p>
    <w:p w14:paraId="57EEE79D" w14:textId="77777777" w:rsidR="00B90DD2" w:rsidRPr="002D3FF7" w:rsidRDefault="00B90DD2" w:rsidP="00B90DD2">
      <w:pPr>
        <w:spacing w:before="240" w:after="0"/>
        <w:jc w:val="both"/>
        <w:rPr>
          <w:rFonts w:asciiTheme="minorHAnsi" w:hAnsiTheme="minorHAnsi" w:cstheme="minorHAnsi"/>
          <w:b/>
          <w:bCs/>
          <w:szCs w:val="24"/>
        </w:rPr>
      </w:pPr>
      <w:r w:rsidRPr="002D3FF7">
        <w:rPr>
          <w:rFonts w:asciiTheme="minorHAnsi" w:hAnsiTheme="minorHAnsi" w:cstheme="minorHAnsi"/>
          <w:b/>
          <w:bCs/>
          <w:szCs w:val="24"/>
        </w:rPr>
        <w:t xml:space="preserve">Bod 6. Různé </w:t>
      </w:r>
    </w:p>
    <w:p w14:paraId="5F6725BC" w14:textId="77777777" w:rsidR="00B90DD2" w:rsidRPr="006927FE" w:rsidRDefault="00B90DD2" w:rsidP="00B90DD2">
      <w:pPr>
        <w:shd w:val="clear" w:color="auto" w:fill="FFFFFF"/>
        <w:spacing w:after="0" w:line="276" w:lineRule="atLeast"/>
        <w:jc w:val="both"/>
        <w:rPr>
          <w:rFonts w:asciiTheme="minorHAnsi" w:eastAsia="Times New Roman" w:hAnsiTheme="minorHAnsi" w:cstheme="minorHAnsi"/>
          <w:color w:val="000000"/>
          <w:szCs w:val="24"/>
        </w:rPr>
      </w:pPr>
    </w:p>
    <w:p w14:paraId="3CD99B81" w14:textId="4DD47624" w:rsidR="00B90DD2" w:rsidRPr="0007262D" w:rsidRDefault="002D3FF7" w:rsidP="00B90DD2">
      <w:pPr>
        <w:shd w:val="clear" w:color="auto" w:fill="FFFFFF"/>
        <w:spacing w:after="0" w:line="276" w:lineRule="atLeast"/>
        <w:jc w:val="both"/>
        <w:rPr>
          <w:rFonts w:asciiTheme="minorHAnsi" w:eastAsia="Times New Roman" w:hAnsiTheme="minorHAnsi" w:cstheme="minorHAnsi"/>
          <w:color w:val="000000"/>
          <w:szCs w:val="24"/>
        </w:rPr>
      </w:pPr>
      <w:r>
        <w:rPr>
          <w:rFonts w:asciiTheme="minorHAnsi" w:eastAsia="Times New Roman" w:hAnsiTheme="minorHAnsi" w:cstheme="minorHAnsi"/>
          <w:color w:val="000000"/>
          <w:szCs w:val="24"/>
        </w:rPr>
        <w:t>Žádný další</w:t>
      </w:r>
      <w:r w:rsidR="00942AFA">
        <w:rPr>
          <w:rFonts w:asciiTheme="minorHAnsi" w:eastAsia="Times New Roman" w:hAnsiTheme="minorHAnsi" w:cstheme="minorHAnsi"/>
          <w:color w:val="000000"/>
          <w:szCs w:val="24"/>
        </w:rPr>
        <w:t xml:space="preserve"> </w:t>
      </w:r>
      <w:r>
        <w:rPr>
          <w:rFonts w:asciiTheme="minorHAnsi" w:eastAsia="Times New Roman" w:hAnsiTheme="minorHAnsi" w:cstheme="minorHAnsi"/>
          <w:color w:val="000000"/>
          <w:szCs w:val="24"/>
        </w:rPr>
        <w:t xml:space="preserve">bod nebyl projednán. </w:t>
      </w:r>
    </w:p>
    <w:sectPr w:rsidR="00B90DD2" w:rsidRPr="0007262D"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A91AC8" w14:textId="77777777" w:rsidR="009F5594" w:rsidRDefault="009F5594" w:rsidP="004F76D7">
      <w:pPr>
        <w:spacing w:after="0" w:line="240" w:lineRule="auto"/>
      </w:pPr>
      <w:r>
        <w:separator/>
      </w:r>
    </w:p>
  </w:endnote>
  <w:endnote w:type="continuationSeparator" w:id="0">
    <w:p w14:paraId="7F0E6D9F" w14:textId="77777777" w:rsidR="009F5594" w:rsidRDefault="009F5594" w:rsidP="004F76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286391381"/>
      <w:docPartObj>
        <w:docPartGallery w:val="Page Numbers (Bottom of Page)"/>
        <w:docPartUnique/>
      </w:docPartObj>
    </w:sdtPr>
    <w:sdtContent>
      <w:p w14:paraId="6056553D" w14:textId="77777777" w:rsidR="00CA1743" w:rsidRDefault="004F76D7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B10DE2C" w14:textId="77777777" w:rsidR="00CA1743" w:rsidRDefault="00000000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6DCFD8" w14:textId="77777777" w:rsidR="009F5594" w:rsidRDefault="009F5594" w:rsidP="004F76D7">
      <w:pPr>
        <w:spacing w:after="0" w:line="240" w:lineRule="auto"/>
      </w:pPr>
      <w:r>
        <w:separator/>
      </w:r>
    </w:p>
  </w:footnote>
  <w:footnote w:type="continuationSeparator" w:id="0">
    <w:p w14:paraId="1175A9A1" w14:textId="77777777" w:rsidR="009F5594" w:rsidRDefault="009F5594" w:rsidP="004F76D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A005F9"/>
    <w:multiLevelType w:val="hybridMultilevel"/>
    <w:tmpl w:val="567AE3DC"/>
    <w:lvl w:ilvl="0" w:tplc="3DCE7246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7E651CE"/>
    <w:multiLevelType w:val="hybridMultilevel"/>
    <w:tmpl w:val="134221E8"/>
    <w:lvl w:ilvl="0" w:tplc="43DEF8D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82EE00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546359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C46E83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D4A220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5E8A26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F3E902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9E2995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C3E0EA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318D32B0"/>
    <w:multiLevelType w:val="hybridMultilevel"/>
    <w:tmpl w:val="83748122"/>
    <w:lvl w:ilvl="0" w:tplc="7806DB3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A0419E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C628BA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414C21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A3A727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F3267E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58A73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594DE0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5ACAAD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39DB4B39"/>
    <w:multiLevelType w:val="hybridMultilevel"/>
    <w:tmpl w:val="1CCC316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3251245"/>
    <w:multiLevelType w:val="hybridMultilevel"/>
    <w:tmpl w:val="21505FB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EEE4E18"/>
    <w:multiLevelType w:val="hybridMultilevel"/>
    <w:tmpl w:val="650CEC4C"/>
    <w:lvl w:ilvl="0" w:tplc="A45A883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0E49FF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322193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402D90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C88B25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0AA1CD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366291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1E8C3B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474F52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502C6069"/>
    <w:multiLevelType w:val="hybridMultilevel"/>
    <w:tmpl w:val="C9CAF2C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5B97075"/>
    <w:multiLevelType w:val="hybridMultilevel"/>
    <w:tmpl w:val="0BB80C44"/>
    <w:lvl w:ilvl="0" w:tplc="DC683AE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5A69A5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318740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26C84F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4805A4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B64356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E2C878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474E3F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DA6E83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6397734E"/>
    <w:multiLevelType w:val="hybridMultilevel"/>
    <w:tmpl w:val="7A50CC7C"/>
    <w:lvl w:ilvl="0" w:tplc="6A6E5E2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132E4F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130644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1A03AF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D44D1C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ECA955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7BA6C9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0308C4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B067FA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6E0E6307"/>
    <w:multiLevelType w:val="hybridMultilevel"/>
    <w:tmpl w:val="AB8A453A"/>
    <w:lvl w:ilvl="0" w:tplc="1A4424A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0AC272E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9466EF4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1789AC8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158FBA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70A76E4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044B99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8DE659E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ED247EA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0" w15:restartNumberingAfterBreak="0">
    <w:nsid w:val="77B64964"/>
    <w:multiLevelType w:val="multilevel"/>
    <w:tmpl w:val="94749B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7DF7309B"/>
    <w:multiLevelType w:val="hybridMultilevel"/>
    <w:tmpl w:val="DF9AD92A"/>
    <w:lvl w:ilvl="0" w:tplc="CB18D1D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5CC880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6200C2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99ED6A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5BEB99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7BCFFC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C86507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3E6F19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53280B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 w16cid:durableId="2125415540">
    <w:abstractNumId w:val="10"/>
  </w:num>
  <w:num w:numId="2" w16cid:durableId="1479498335">
    <w:abstractNumId w:val="11"/>
  </w:num>
  <w:num w:numId="3" w16cid:durableId="1136681412">
    <w:abstractNumId w:val="7"/>
  </w:num>
  <w:num w:numId="4" w16cid:durableId="1923488997">
    <w:abstractNumId w:val="2"/>
  </w:num>
  <w:num w:numId="5" w16cid:durableId="635373394">
    <w:abstractNumId w:val="5"/>
  </w:num>
  <w:num w:numId="6" w16cid:durableId="2123260295">
    <w:abstractNumId w:val="8"/>
  </w:num>
  <w:num w:numId="7" w16cid:durableId="1272014603">
    <w:abstractNumId w:val="1"/>
  </w:num>
  <w:num w:numId="8" w16cid:durableId="1882744044">
    <w:abstractNumId w:val="9"/>
  </w:num>
  <w:num w:numId="9" w16cid:durableId="1857304185">
    <w:abstractNumId w:val="0"/>
  </w:num>
  <w:num w:numId="10" w16cid:durableId="128133847">
    <w:abstractNumId w:val="3"/>
  </w:num>
  <w:num w:numId="11" w16cid:durableId="1653675292">
    <w:abstractNumId w:val="6"/>
  </w:num>
  <w:num w:numId="12" w16cid:durableId="72379243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0DD2"/>
    <w:rsid w:val="0005319E"/>
    <w:rsid w:val="000952E7"/>
    <w:rsid w:val="000B1B91"/>
    <w:rsid w:val="00111557"/>
    <w:rsid w:val="00112D40"/>
    <w:rsid w:val="0013319A"/>
    <w:rsid w:val="00154161"/>
    <w:rsid w:val="001617EF"/>
    <w:rsid w:val="001A6D9D"/>
    <w:rsid w:val="00221235"/>
    <w:rsid w:val="0024135D"/>
    <w:rsid w:val="00256F24"/>
    <w:rsid w:val="00266CB0"/>
    <w:rsid w:val="00285915"/>
    <w:rsid w:val="002A60C6"/>
    <w:rsid w:val="002D3FF7"/>
    <w:rsid w:val="002D630B"/>
    <w:rsid w:val="00304D36"/>
    <w:rsid w:val="0031419F"/>
    <w:rsid w:val="00364E6A"/>
    <w:rsid w:val="00373796"/>
    <w:rsid w:val="00374AB3"/>
    <w:rsid w:val="00385B04"/>
    <w:rsid w:val="003C164F"/>
    <w:rsid w:val="003D1CDE"/>
    <w:rsid w:val="00417924"/>
    <w:rsid w:val="00444D3F"/>
    <w:rsid w:val="00490916"/>
    <w:rsid w:val="004D25FA"/>
    <w:rsid w:val="004E485C"/>
    <w:rsid w:val="004F76D7"/>
    <w:rsid w:val="005062AD"/>
    <w:rsid w:val="00526FF6"/>
    <w:rsid w:val="00580D45"/>
    <w:rsid w:val="005E0718"/>
    <w:rsid w:val="00650858"/>
    <w:rsid w:val="0065369F"/>
    <w:rsid w:val="006D3DF5"/>
    <w:rsid w:val="006D708C"/>
    <w:rsid w:val="006F0370"/>
    <w:rsid w:val="00732827"/>
    <w:rsid w:val="00740CBC"/>
    <w:rsid w:val="007A307F"/>
    <w:rsid w:val="007C6868"/>
    <w:rsid w:val="007E0F9B"/>
    <w:rsid w:val="00805293"/>
    <w:rsid w:val="008215CC"/>
    <w:rsid w:val="00833342"/>
    <w:rsid w:val="00846807"/>
    <w:rsid w:val="008623E8"/>
    <w:rsid w:val="008B44CA"/>
    <w:rsid w:val="008C4209"/>
    <w:rsid w:val="008C69FB"/>
    <w:rsid w:val="008D2146"/>
    <w:rsid w:val="008E0711"/>
    <w:rsid w:val="008F3252"/>
    <w:rsid w:val="00902551"/>
    <w:rsid w:val="00942AFA"/>
    <w:rsid w:val="00954699"/>
    <w:rsid w:val="00957A57"/>
    <w:rsid w:val="00965303"/>
    <w:rsid w:val="009804AE"/>
    <w:rsid w:val="009A1B0B"/>
    <w:rsid w:val="009A6F66"/>
    <w:rsid w:val="009B1F04"/>
    <w:rsid w:val="009B2CB0"/>
    <w:rsid w:val="009B4073"/>
    <w:rsid w:val="009B7E35"/>
    <w:rsid w:val="009F5594"/>
    <w:rsid w:val="00A0469F"/>
    <w:rsid w:val="00A43B36"/>
    <w:rsid w:val="00A82CA7"/>
    <w:rsid w:val="00A97369"/>
    <w:rsid w:val="00AE177E"/>
    <w:rsid w:val="00B21866"/>
    <w:rsid w:val="00B26AA7"/>
    <w:rsid w:val="00B3182A"/>
    <w:rsid w:val="00B90A14"/>
    <w:rsid w:val="00B90DD2"/>
    <w:rsid w:val="00BA2E36"/>
    <w:rsid w:val="00BB10BF"/>
    <w:rsid w:val="00BC1C16"/>
    <w:rsid w:val="00C02E4C"/>
    <w:rsid w:val="00C218C0"/>
    <w:rsid w:val="00C245DE"/>
    <w:rsid w:val="00C47300"/>
    <w:rsid w:val="00C60885"/>
    <w:rsid w:val="00C64C93"/>
    <w:rsid w:val="00C736EE"/>
    <w:rsid w:val="00C97CDC"/>
    <w:rsid w:val="00CB146F"/>
    <w:rsid w:val="00D405CB"/>
    <w:rsid w:val="00D6656B"/>
    <w:rsid w:val="00D827A1"/>
    <w:rsid w:val="00D92C38"/>
    <w:rsid w:val="00DB3CF3"/>
    <w:rsid w:val="00DC7C66"/>
    <w:rsid w:val="00DE7778"/>
    <w:rsid w:val="00DF0F39"/>
    <w:rsid w:val="00E90D2E"/>
    <w:rsid w:val="00EB1E22"/>
    <w:rsid w:val="00ED1725"/>
    <w:rsid w:val="00ED1EB4"/>
    <w:rsid w:val="00F03B20"/>
    <w:rsid w:val="00F40FCC"/>
    <w:rsid w:val="00F86380"/>
    <w:rsid w:val="00FF59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30E4F4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B90DD2"/>
    <w:pPr>
      <w:spacing w:after="200" w:line="276" w:lineRule="auto"/>
    </w:pPr>
    <w:rPr>
      <w:rFonts w:ascii="Times New Roman" w:eastAsia="SimSun" w:hAnsi="Times New Roman" w:cs="Times New Roman"/>
      <w:sz w:val="24"/>
      <w:szCs w:val="20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pat">
    <w:name w:val="footer"/>
    <w:basedOn w:val="Normln"/>
    <w:link w:val="ZpatChar"/>
    <w:uiPriority w:val="99"/>
    <w:unhideWhenUsed/>
    <w:rsid w:val="00B90DD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B90DD2"/>
    <w:rPr>
      <w:rFonts w:ascii="Times New Roman" w:eastAsia="SimSun" w:hAnsi="Times New Roman" w:cs="Times New Roman"/>
      <w:sz w:val="24"/>
      <w:szCs w:val="20"/>
      <w:lang w:eastAsia="cs-CZ"/>
    </w:rPr>
  </w:style>
  <w:style w:type="paragraph" w:styleId="Odstavecseseznamem">
    <w:name w:val="List Paragraph"/>
    <w:basedOn w:val="Normln"/>
    <w:uiPriority w:val="34"/>
    <w:qFormat/>
    <w:rsid w:val="00B90DD2"/>
    <w:pPr>
      <w:ind w:left="720"/>
      <w:contextualSpacing/>
    </w:pPr>
  </w:style>
  <w:style w:type="paragraph" w:customStyle="1" w:styleId="-wm-msonospacing">
    <w:name w:val="-wm-msonospacing"/>
    <w:basedOn w:val="Normln"/>
    <w:rsid w:val="00B90DD2"/>
    <w:pPr>
      <w:spacing w:before="100" w:beforeAutospacing="1" w:after="100" w:afterAutospacing="1" w:line="240" w:lineRule="auto"/>
    </w:pPr>
    <w:rPr>
      <w:rFonts w:eastAsia="Times New Roman"/>
      <w:szCs w:val="24"/>
    </w:rPr>
  </w:style>
  <w:style w:type="paragraph" w:styleId="Zhlav">
    <w:name w:val="header"/>
    <w:basedOn w:val="Normln"/>
    <w:link w:val="ZhlavChar"/>
    <w:uiPriority w:val="99"/>
    <w:unhideWhenUsed/>
    <w:rsid w:val="004F76D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4F76D7"/>
    <w:rPr>
      <w:rFonts w:ascii="Times New Roman" w:eastAsia="SimSun" w:hAnsi="Times New Roman" w:cs="Times New Roman"/>
      <w:sz w:val="24"/>
      <w:szCs w:val="20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1734</Words>
  <Characters>10234</Characters>
  <Application>Microsoft Office Word</Application>
  <DocSecurity>0</DocSecurity>
  <Lines>85</Lines>
  <Paragraphs>23</Paragraphs>
  <ScaleCrop>false</ScaleCrop>
  <Company/>
  <LinksUpToDate>false</LinksUpToDate>
  <CharactersWithSpaces>11945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2023-03-06T07:23:00Z</dcterms:created>
  <dcterms:modified xsi:type="dcterms:W3CDTF">2023-03-06T07:23:00Z</dcterms:modified>
</cp:coreProperties>
</file>