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CF07" w14:textId="77777777" w:rsidR="00791AE9" w:rsidRPr="000C653C" w:rsidRDefault="00791AE9" w:rsidP="00791AE9">
      <w:pPr>
        <w:pStyle w:val="Nadpis1"/>
        <w:spacing w:before="240" w:line="276" w:lineRule="auto"/>
        <w:jc w:val="both"/>
      </w:pPr>
      <w:r w:rsidRPr="000C653C">
        <w:t>Potravinářská komora České republiky</w:t>
      </w:r>
    </w:p>
    <w:p w14:paraId="1D6C2C7E" w14:textId="77777777" w:rsidR="00791AE9" w:rsidRPr="000C653C" w:rsidRDefault="00791AE9" w:rsidP="00791AE9">
      <w:pPr>
        <w:spacing w:before="240" w:after="0"/>
        <w:jc w:val="both"/>
        <w:rPr>
          <w:szCs w:val="24"/>
        </w:rPr>
      </w:pPr>
    </w:p>
    <w:p w14:paraId="59F3954B" w14:textId="77777777" w:rsidR="00791AE9" w:rsidRPr="000C653C" w:rsidRDefault="00791AE9" w:rsidP="00791AE9">
      <w:pPr>
        <w:spacing w:before="240" w:after="0"/>
        <w:jc w:val="both"/>
        <w:rPr>
          <w:szCs w:val="24"/>
        </w:rPr>
      </w:pPr>
      <w:r w:rsidRPr="000C653C">
        <w:rPr>
          <w:szCs w:val="24"/>
        </w:rPr>
        <w:t xml:space="preserve">Název pracovního orgánu:       </w:t>
      </w:r>
      <w:r w:rsidRPr="000C653C">
        <w:rPr>
          <w:szCs w:val="24"/>
        </w:rPr>
        <w:tab/>
        <w:t xml:space="preserve"> </w:t>
      </w:r>
      <w:r w:rsidRPr="000C653C">
        <w:rPr>
          <w:b/>
          <w:szCs w:val="24"/>
        </w:rPr>
        <w:t>FoodDrinkEurope</w:t>
      </w:r>
    </w:p>
    <w:p w14:paraId="70B34EF0" w14:textId="77777777" w:rsidR="00791AE9" w:rsidRPr="000C653C" w:rsidRDefault="00791AE9" w:rsidP="00791AE9">
      <w:pPr>
        <w:spacing w:before="240" w:after="0"/>
        <w:jc w:val="both"/>
        <w:rPr>
          <w:szCs w:val="24"/>
        </w:rPr>
      </w:pPr>
    </w:p>
    <w:p w14:paraId="29E82E39" w14:textId="77777777" w:rsidR="00791AE9" w:rsidRPr="000C653C" w:rsidRDefault="00791AE9" w:rsidP="00791AE9">
      <w:pPr>
        <w:spacing w:before="240" w:after="0"/>
        <w:jc w:val="center"/>
        <w:rPr>
          <w:szCs w:val="24"/>
        </w:rPr>
      </w:pPr>
      <w:r w:rsidRPr="000C653C">
        <w:rPr>
          <w:szCs w:val="24"/>
        </w:rPr>
        <w:t>Zpráva o výsledku jednání pracovní skupiny</w:t>
      </w:r>
    </w:p>
    <w:p w14:paraId="4B41FCE0" w14:textId="3BD8A562" w:rsidR="00791AE9" w:rsidRPr="000C653C" w:rsidRDefault="00791AE9" w:rsidP="00791AE9">
      <w:pPr>
        <w:spacing w:before="240" w:after="0"/>
        <w:jc w:val="center"/>
        <w:rPr>
          <w:b/>
          <w:bCs/>
          <w:i/>
          <w:iCs/>
          <w:szCs w:val="24"/>
        </w:rPr>
      </w:pPr>
      <w:r w:rsidRPr="000C653C">
        <w:rPr>
          <w:b/>
          <w:bCs/>
          <w:i/>
          <w:iCs/>
          <w:szCs w:val="24"/>
        </w:rPr>
        <w:t>„</w:t>
      </w:r>
      <w:r w:rsidRPr="000C653C">
        <w:rPr>
          <w:b/>
          <w:bCs/>
          <w:i/>
          <w:iCs/>
          <w:szCs w:val="24"/>
        </w:rPr>
        <w:t xml:space="preserve">FCPC – </w:t>
      </w:r>
      <w:r w:rsidRPr="000C653C">
        <w:rPr>
          <w:b/>
          <w:bCs/>
          <w:i/>
          <w:iCs/>
          <w:szCs w:val="24"/>
        </w:rPr>
        <w:t>Výbor pro potravinovou a spotřebitelskou politiku“</w:t>
      </w:r>
    </w:p>
    <w:p w14:paraId="3D8EF1BF" w14:textId="7737244E" w:rsidR="00791AE9" w:rsidRPr="000C653C" w:rsidRDefault="00791AE9" w:rsidP="00791AE9">
      <w:pPr>
        <w:spacing w:before="240" w:after="0"/>
        <w:jc w:val="both"/>
        <w:rPr>
          <w:bCs/>
          <w:szCs w:val="24"/>
        </w:rPr>
      </w:pPr>
      <w:r w:rsidRPr="000C653C">
        <w:rPr>
          <w:bCs/>
          <w:szCs w:val="24"/>
        </w:rPr>
        <w:t>Datum, čas a místo zasedání: 1</w:t>
      </w:r>
      <w:r w:rsidRPr="000C653C">
        <w:rPr>
          <w:bCs/>
          <w:szCs w:val="24"/>
        </w:rPr>
        <w:t>5</w:t>
      </w:r>
      <w:r w:rsidRPr="000C653C">
        <w:rPr>
          <w:bCs/>
          <w:szCs w:val="24"/>
        </w:rPr>
        <w:t>/09/2022, začátek v 1</w:t>
      </w:r>
      <w:r w:rsidRPr="000C653C">
        <w:rPr>
          <w:bCs/>
          <w:szCs w:val="24"/>
        </w:rPr>
        <w:t>4</w:t>
      </w:r>
      <w:r w:rsidRPr="000C653C">
        <w:rPr>
          <w:bCs/>
          <w:szCs w:val="24"/>
        </w:rPr>
        <w:t>:</w:t>
      </w:r>
      <w:r w:rsidRPr="000C653C">
        <w:rPr>
          <w:bCs/>
          <w:szCs w:val="24"/>
        </w:rPr>
        <w:t>0</w:t>
      </w:r>
      <w:r w:rsidRPr="000C653C">
        <w:rPr>
          <w:bCs/>
          <w:szCs w:val="24"/>
        </w:rPr>
        <w:t>0h do 1</w:t>
      </w:r>
      <w:r w:rsidRPr="000C653C">
        <w:rPr>
          <w:bCs/>
          <w:szCs w:val="24"/>
        </w:rPr>
        <w:t>6</w:t>
      </w:r>
      <w:r w:rsidRPr="000C653C">
        <w:rPr>
          <w:bCs/>
          <w:szCs w:val="24"/>
        </w:rPr>
        <w:t>:</w:t>
      </w:r>
      <w:r w:rsidRPr="000C653C">
        <w:rPr>
          <w:bCs/>
          <w:szCs w:val="24"/>
        </w:rPr>
        <w:t>3</w:t>
      </w:r>
      <w:r w:rsidRPr="000C653C">
        <w:rPr>
          <w:bCs/>
          <w:szCs w:val="24"/>
        </w:rPr>
        <w:t>0h, Brusel</w:t>
      </w:r>
    </w:p>
    <w:p w14:paraId="2FDCF418" w14:textId="77777777" w:rsidR="00791AE9" w:rsidRPr="000C653C" w:rsidRDefault="00791AE9" w:rsidP="00791AE9">
      <w:pPr>
        <w:spacing w:before="240" w:after="0"/>
        <w:jc w:val="both"/>
        <w:rPr>
          <w:szCs w:val="24"/>
        </w:rPr>
      </w:pPr>
      <w:r w:rsidRPr="000C653C">
        <w:rPr>
          <w:szCs w:val="24"/>
        </w:rPr>
        <w:t>Zapsal: Karel Matoušek</w:t>
      </w:r>
    </w:p>
    <w:p w14:paraId="4A8D100A" w14:textId="77777777" w:rsidR="00791AE9" w:rsidRPr="000C653C" w:rsidRDefault="00791AE9" w:rsidP="00791AE9">
      <w:pPr>
        <w:spacing w:before="240" w:after="0"/>
        <w:jc w:val="both"/>
        <w:rPr>
          <w:bCs/>
          <w:szCs w:val="24"/>
        </w:rPr>
      </w:pPr>
    </w:p>
    <w:p w14:paraId="20AD28E0" w14:textId="77777777" w:rsidR="00791AE9" w:rsidRPr="000C653C" w:rsidRDefault="00791AE9" w:rsidP="00791AE9">
      <w:pPr>
        <w:spacing w:before="240" w:after="0"/>
        <w:jc w:val="both"/>
        <w:rPr>
          <w:b/>
          <w:bCs/>
          <w:szCs w:val="24"/>
        </w:rPr>
      </w:pPr>
      <w:r w:rsidRPr="000C653C">
        <w:rPr>
          <w:b/>
          <w:bCs/>
          <w:szCs w:val="24"/>
        </w:rPr>
        <w:t xml:space="preserve">Program jednání: </w:t>
      </w:r>
    </w:p>
    <w:p w14:paraId="5E35499C" w14:textId="581BFB83" w:rsidR="00584B34" w:rsidRDefault="00791AE9" w:rsidP="00791AE9">
      <w:pPr>
        <w:pStyle w:val="Bezmezer"/>
        <w:spacing w:before="240" w:line="276" w:lineRule="auto"/>
        <w:jc w:val="both"/>
        <w:rPr>
          <w:szCs w:val="24"/>
        </w:rPr>
      </w:pPr>
      <w:r w:rsidRPr="000C653C">
        <w:rPr>
          <w:szCs w:val="24"/>
        </w:rPr>
        <w:t xml:space="preserve">Bod </w:t>
      </w:r>
      <w:r w:rsidR="00584B34">
        <w:rPr>
          <w:szCs w:val="24"/>
        </w:rPr>
        <w:t xml:space="preserve">1. Uvítání a antimonopolní prohlášení </w:t>
      </w:r>
    </w:p>
    <w:p w14:paraId="2E05D9AA" w14:textId="3B4583B9" w:rsidR="00791AE9" w:rsidRDefault="00584B34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Bod 2. </w:t>
      </w:r>
      <w:r w:rsidR="00791AE9" w:rsidRPr="000C653C">
        <w:rPr>
          <w:szCs w:val="24"/>
        </w:rPr>
        <w:t>Schválení agendy</w:t>
      </w:r>
    </w:p>
    <w:p w14:paraId="66C3097B" w14:textId="0042BB2C" w:rsidR="00584B34" w:rsidRPr="000C653C" w:rsidRDefault="00584B34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>Bod 3. Schválení zápisu z minulého jednání</w:t>
      </w:r>
    </w:p>
    <w:p w14:paraId="190EBC07" w14:textId="4D0F8305" w:rsidR="00791AE9" w:rsidRDefault="00791AE9" w:rsidP="00791AE9">
      <w:pPr>
        <w:pStyle w:val="Bezmezer"/>
        <w:spacing w:before="240" w:line="276" w:lineRule="auto"/>
        <w:jc w:val="both"/>
        <w:rPr>
          <w:szCs w:val="24"/>
        </w:rPr>
      </w:pPr>
      <w:r w:rsidRPr="000C653C">
        <w:rPr>
          <w:szCs w:val="24"/>
        </w:rPr>
        <w:t xml:space="preserve">Bod </w:t>
      </w:r>
      <w:r w:rsidR="00584B34">
        <w:rPr>
          <w:szCs w:val="24"/>
        </w:rPr>
        <w:t>4</w:t>
      </w:r>
      <w:r w:rsidRPr="000C653C">
        <w:rPr>
          <w:szCs w:val="24"/>
        </w:rPr>
        <w:t xml:space="preserve">. Diskuse k návrhu stanoviska FoodDrinkEurope k označování výživových hodnot na přední straně obalu potravin </w:t>
      </w:r>
    </w:p>
    <w:p w14:paraId="7824D81F" w14:textId="77777777" w:rsidR="009C0C06" w:rsidRDefault="009C0C06" w:rsidP="009C0C06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>Bod 4.a. Harmonizace &amp; budoucnost existujících FOPNL schémat</w:t>
      </w:r>
    </w:p>
    <w:p w14:paraId="38841838" w14:textId="77777777" w:rsidR="009C0C06" w:rsidRDefault="009C0C06" w:rsidP="009C0C06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>Bod 4.b. Princip nediskriminace</w:t>
      </w:r>
    </w:p>
    <w:p w14:paraId="3EA1F908" w14:textId="77777777" w:rsidR="009C0C06" w:rsidRDefault="009C0C06" w:rsidP="009C0C06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>Bod 4.c. Přístup založený na zohlednění porcí</w:t>
      </w:r>
    </w:p>
    <w:p w14:paraId="66DB75D4" w14:textId="77777777" w:rsidR="009C0C06" w:rsidRDefault="009C0C06" w:rsidP="009C0C06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Bod 4.d. Přístup založený na zohlednění kategorií </w:t>
      </w:r>
    </w:p>
    <w:p w14:paraId="53081545" w14:textId="0C4442A0" w:rsidR="009C0C06" w:rsidRPr="000C653C" w:rsidRDefault="009C0C06" w:rsidP="009C0C06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>Bod 4.e. Potraviny pro sportovce</w:t>
      </w:r>
    </w:p>
    <w:p w14:paraId="0BE6A5D0" w14:textId="28690F68" w:rsidR="00791AE9" w:rsidRPr="000C653C" w:rsidRDefault="00791AE9" w:rsidP="00791AE9">
      <w:pPr>
        <w:pStyle w:val="Bezmezer"/>
        <w:spacing w:before="240" w:line="276" w:lineRule="auto"/>
        <w:jc w:val="both"/>
        <w:rPr>
          <w:szCs w:val="24"/>
        </w:rPr>
      </w:pPr>
      <w:r w:rsidRPr="000C653C">
        <w:rPr>
          <w:szCs w:val="24"/>
        </w:rPr>
        <w:t xml:space="preserve">Bod </w:t>
      </w:r>
      <w:r w:rsidR="00584B34">
        <w:rPr>
          <w:szCs w:val="24"/>
        </w:rPr>
        <w:t>5</w:t>
      </w:r>
      <w:r w:rsidRPr="000C653C">
        <w:rPr>
          <w:szCs w:val="24"/>
        </w:rPr>
        <w:t>. Různé</w:t>
      </w:r>
    </w:p>
    <w:p w14:paraId="6B77D1F9" w14:textId="77777777" w:rsidR="00791AE9" w:rsidRDefault="00791AE9" w:rsidP="00791AE9">
      <w:pPr>
        <w:pStyle w:val="Bezmezer"/>
        <w:spacing w:before="240" w:line="276" w:lineRule="auto"/>
        <w:jc w:val="both"/>
        <w:rPr>
          <w:szCs w:val="24"/>
        </w:rPr>
      </w:pPr>
    </w:p>
    <w:p w14:paraId="42C1569E" w14:textId="77777777" w:rsidR="00C35C23" w:rsidRPr="000C653C" w:rsidRDefault="00C35C23" w:rsidP="00791AE9">
      <w:pPr>
        <w:pStyle w:val="Bezmezer"/>
        <w:spacing w:before="240" w:line="276" w:lineRule="auto"/>
        <w:jc w:val="both"/>
        <w:rPr>
          <w:szCs w:val="24"/>
        </w:rPr>
      </w:pPr>
    </w:p>
    <w:p w14:paraId="6EBF2BAD" w14:textId="77777777" w:rsidR="00791AE9" w:rsidRPr="000C653C" w:rsidRDefault="00791AE9" w:rsidP="00791AE9">
      <w:pPr>
        <w:spacing w:before="240" w:after="0"/>
        <w:jc w:val="both"/>
        <w:rPr>
          <w:b/>
          <w:bCs/>
          <w:szCs w:val="24"/>
        </w:rPr>
      </w:pPr>
      <w:r w:rsidRPr="000C653C">
        <w:rPr>
          <w:b/>
          <w:bCs/>
          <w:szCs w:val="24"/>
        </w:rPr>
        <w:t xml:space="preserve">K jednotlivým bodům programu: </w:t>
      </w:r>
    </w:p>
    <w:p w14:paraId="36FB6D2E" w14:textId="77777777" w:rsidR="00791AE9" w:rsidRPr="000C653C" w:rsidRDefault="00791AE9" w:rsidP="00791AE9">
      <w:pPr>
        <w:pStyle w:val="Bezmezer"/>
        <w:spacing w:before="240" w:line="276" w:lineRule="auto"/>
        <w:jc w:val="both"/>
        <w:rPr>
          <w:szCs w:val="24"/>
        </w:rPr>
      </w:pPr>
    </w:p>
    <w:p w14:paraId="4F2658A3" w14:textId="77777777" w:rsidR="00584B34" w:rsidRPr="00584B34" w:rsidRDefault="00584B34" w:rsidP="00584B34">
      <w:pPr>
        <w:pStyle w:val="Bezmezer"/>
        <w:spacing w:before="240" w:line="276" w:lineRule="auto"/>
        <w:jc w:val="both"/>
        <w:rPr>
          <w:b/>
          <w:bCs/>
          <w:szCs w:val="24"/>
        </w:rPr>
      </w:pPr>
      <w:r w:rsidRPr="00584B34">
        <w:rPr>
          <w:b/>
          <w:bCs/>
          <w:szCs w:val="24"/>
        </w:rPr>
        <w:lastRenderedPageBreak/>
        <w:t xml:space="preserve">Bod 1. Uvítání a antimonopolní prohlášení </w:t>
      </w:r>
    </w:p>
    <w:p w14:paraId="5823186C" w14:textId="2C97C0B2" w:rsidR="00584B34" w:rsidRDefault="00584B34" w:rsidP="00584B34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Proběhlo, schváleno. </w:t>
      </w:r>
    </w:p>
    <w:p w14:paraId="20B046C6" w14:textId="77777777" w:rsidR="00584B34" w:rsidRDefault="00584B34" w:rsidP="00584B34">
      <w:pPr>
        <w:pStyle w:val="Bezmezer"/>
        <w:spacing w:before="240" w:line="276" w:lineRule="auto"/>
        <w:jc w:val="both"/>
        <w:rPr>
          <w:szCs w:val="24"/>
        </w:rPr>
      </w:pPr>
    </w:p>
    <w:p w14:paraId="0D234D12" w14:textId="77777777" w:rsidR="00584B34" w:rsidRPr="00584B34" w:rsidRDefault="00584B34" w:rsidP="00584B34">
      <w:pPr>
        <w:pStyle w:val="Bezmezer"/>
        <w:spacing w:before="240" w:line="276" w:lineRule="auto"/>
        <w:jc w:val="both"/>
        <w:rPr>
          <w:b/>
          <w:bCs/>
          <w:szCs w:val="24"/>
        </w:rPr>
      </w:pPr>
      <w:r w:rsidRPr="00584B34">
        <w:rPr>
          <w:b/>
          <w:bCs/>
          <w:szCs w:val="24"/>
        </w:rPr>
        <w:t>Bod 2. Schválení agendy</w:t>
      </w:r>
    </w:p>
    <w:p w14:paraId="4C763787" w14:textId="4A7ACB24" w:rsidR="00584B34" w:rsidRDefault="00584B34" w:rsidP="00584B34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Schváleno. </w:t>
      </w:r>
    </w:p>
    <w:p w14:paraId="3E8643F2" w14:textId="77777777" w:rsidR="00584B34" w:rsidRDefault="00584B34" w:rsidP="00584B34">
      <w:pPr>
        <w:pStyle w:val="Bezmezer"/>
        <w:spacing w:before="240" w:line="276" w:lineRule="auto"/>
        <w:jc w:val="both"/>
        <w:rPr>
          <w:szCs w:val="24"/>
        </w:rPr>
      </w:pPr>
    </w:p>
    <w:p w14:paraId="1E505594" w14:textId="77777777" w:rsidR="00584B34" w:rsidRPr="00584B34" w:rsidRDefault="00584B34" w:rsidP="00584B34">
      <w:pPr>
        <w:pStyle w:val="Bezmezer"/>
        <w:spacing w:before="240" w:line="276" w:lineRule="auto"/>
        <w:jc w:val="both"/>
        <w:rPr>
          <w:b/>
          <w:bCs/>
          <w:szCs w:val="24"/>
        </w:rPr>
      </w:pPr>
      <w:r w:rsidRPr="00584B34">
        <w:rPr>
          <w:b/>
          <w:bCs/>
          <w:szCs w:val="24"/>
        </w:rPr>
        <w:t>Bod 3. Schválení zápisu z minulého jednání</w:t>
      </w:r>
    </w:p>
    <w:p w14:paraId="17A7185E" w14:textId="0426134B" w:rsidR="00584B34" w:rsidRDefault="00584B34" w:rsidP="00584B34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Schváleno. </w:t>
      </w:r>
    </w:p>
    <w:p w14:paraId="09EB36F4" w14:textId="77777777" w:rsidR="00584B34" w:rsidRPr="000C653C" w:rsidRDefault="00584B34" w:rsidP="00584B34">
      <w:pPr>
        <w:pStyle w:val="Bezmezer"/>
        <w:spacing w:before="240" w:line="276" w:lineRule="auto"/>
        <w:jc w:val="both"/>
        <w:rPr>
          <w:szCs w:val="24"/>
        </w:rPr>
      </w:pPr>
    </w:p>
    <w:p w14:paraId="1716735A" w14:textId="07919F74" w:rsidR="00791AE9" w:rsidRPr="000C653C" w:rsidRDefault="00791AE9" w:rsidP="00791AE9">
      <w:pPr>
        <w:pStyle w:val="Bezmezer"/>
        <w:spacing w:before="240" w:line="276" w:lineRule="auto"/>
        <w:jc w:val="both"/>
        <w:rPr>
          <w:b/>
          <w:bCs/>
          <w:szCs w:val="24"/>
        </w:rPr>
      </w:pPr>
      <w:r w:rsidRPr="000C653C">
        <w:rPr>
          <w:b/>
          <w:bCs/>
          <w:szCs w:val="24"/>
        </w:rPr>
        <w:t xml:space="preserve">Bod </w:t>
      </w:r>
      <w:r w:rsidR="00584B34">
        <w:rPr>
          <w:b/>
          <w:bCs/>
          <w:szCs w:val="24"/>
        </w:rPr>
        <w:t>4</w:t>
      </w:r>
      <w:r w:rsidRPr="000C653C">
        <w:rPr>
          <w:b/>
          <w:bCs/>
          <w:szCs w:val="24"/>
        </w:rPr>
        <w:t xml:space="preserve">. Diskuse k návrhu stanoviska FoodDrinkEurope k označování výživových hodnot na přední straně obalu potravin </w:t>
      </w:r>
    </w:p>
    <w:p w14:paraId="5883FB45" w14:textId="0EDCDB8D" w:rsidR="00C71F22" w:rsidRDefault="002A7ED0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Předseda pracovní skupiny Niklas </w:t>
      </w:r>
      <w:proofErr w:type="spellStart"/>
      <w:r>
        <w:rPr>
          <w:szCs w:val="24"/>
        </w:rPr>
        <w:t>Amelin</w:t>
      </w:r>
      <w:proofErr w:type="spellEnd"/>
      <w:r>
        <w:rPr>
          <w:szCs w:val="24"/>
        </w:rPr>
        <w:t xml:space="preserve"> ze švédské potravinářské komory potvrdil zájem Komise předložit legislativní návrhy pro FOPNL do konce letošního roku, jednání v pracovních skupinách by mělo být zahájeno v lednu 2023. Předběžným datem pro zveřejnění návrhu ze strany Komise by mohlo být datum 20/12/2022. </w:t>
      </w:r>
      <w:r w:rsidR="00495FAC">
        <w:rPr>
          <w:szCs w:val="24"/>
        </w:rPr>
        <w:t xml:space="preserve">Předseda uvedl, že cílem dnešního jednání je doladit poslední aspekty, které jsou zatím stále neuzavřeny, </w:t>
      </w:r>
      <w:r w:rsidR="000F1BD1">
        <w:rPr>
          <w:szCs w:val="24"/>
        </w:rPr>
        <w:t xml:space="preserve">zejména s ohledem na souběžně probíhající debatu v pracovní skupině INCO (informace poskytované spotřebitelům), </w:t>
      </w:r>
      <w:r w:rsidR="00495FAC">
        <w:rPr>
          <w:szCs w:val="24"/>
        </w:rPr>
        <w:t xml:space="preserve">cílem není </w:t>
      </w:r>
      <w:r w:rsidR="000F1BD1">
        <w:rPr>
          <w:szCs w:val="24"/>
        </w:rPr>
        <w:t>otevírat celou pozici FDE</w:t>
      </w:r>
      <w:r w:rsidR="00E16F82">
        <w:rPr>
          <w:szCs w:val="24"/>
        </w:rPr>
        <w:t xml:space="preserve">. Upozornil, že se pozice FDE bude průběžně upravovat podle aktuální potřeby, </w:t>
      </w:r>
      <w:r w:rsidR="00962A11">
        <w:rPr>
          <w:szCs w:val="24"/>
        </w:rPr>
        <w:t>zejména po představení legislativního návrhu ze strany Komise. Cílem dnešního jednání je konsolidace stanovisek pracovních skupin FDE a dolad</w:t>
      </w:r>
      <w:r w:rsidR="00855DCF">
        <w:rPr>
          <w:szCs w:val="24"/>
        </w:rPr>
        <w:t>ění</w:t>
      </w:r>
      <w:r w:rsidR="00962A11">
        <w:rPr>
          <w:szCs w:val="24"/>
        </w:rPr>
        <w:t xml:space="preserve"> někter</w:t>
      </w:r>
      <w:r w:rsidR="00855DCF">
        <w:rPr>
          <w:szCs w:val="24"/>
        </w:rPr>
        <w:t>ých</w:t>
      </w:r>
      <w:r w:rsidR="00962A11">
        <w:rPr>
          <w:szCs w:val="24"/>
        </w:rPr>
        <w:t xml:space="preserve"> argument</w:t>
      </w:r>
      <w:r w:rsidR="00855DCF">
        <w:rPr>
          <w:szCs w:val="24"/>
        </w:rPr>
        <w:t>ů</w:t>
      </w:r>
      <w:r w:rsidR="00962A11">
        <w:rPr>
          <w:szCs w:val="24"/>
        </w:rPr>
        <w:t xml:space="preserve">, poziční dokument FDE pak bude sloužit jako </w:t>
      </w:r>
      <w:r w:rsidR="00987A62">
        <w:rPr>
          <w:szCs w:val="24"/>
        </w:rPr>
        <w:t xml:space="preserve">rychlý reakční dokument na legislativní návrh k FOPNL ze strany Komise. </w:t>
      </w:r>
    </w:p>
    <w:p w14:paraId="4D2597AB" w14:textId="618A285F" w:rsidR="00FD1C96" w:rsidRDefault="00DD1609" w:rsidP="00791AE9">
      <w:pPr>
        <w:pStyle w:val="Bezmezer"/>
        <w:spacing w:before="240" w:line="276" w:lineRule="auto"/>
        <w:jc w:val="both"/>
        <w:rPr>
          <w:szCs w:val="24"/>
        </w:rPr>
      </w:pPr>
      <w:r w:rsidRPr="00DD1609">
        <w:rPr>
          <w:szCs w:val="24"/>
        </w:rPr>
        <w:t xml:space="preserve">V lednu 2022 se skupina INCO rozhodla doladit postoj FDE k FOPNL, výživovým profilům, označování země původu (COOL) a označování </w:t>
      </w:r>
      <w:r w:rsidR="0031241A">
        <w:rPr>
          <w:szCs w:val="24"/>
        </w:rPr>
        <w:t>data spotřeby</w:t>
      </w:r>
      <w:r w:rsidRPr="00DD1609">
        <w:rPr>
          <w:szCs w:val="24"/>
        </w:rPr>
        <w:t>. V dubnu 2022 začala expertní skupina INCO revidovat pozice FDE, INCO nalezla shodu ohledně výživových profilů, COOL a označování dat</w:t>
      </w:r>
      <w:r w:rsidR="0031241A">
        <w:rPr>
          <w:szCs w:val="24"/>
        </w:rPr>
        <w:t>a spotřeby</w:t>
      </w:r>
      <w:r w:rsidRPr="00DD1609">
        <w:rPr>
          <w:szCs w:val="24"/>
        </w:rPr>
        <w:t xml:space="preserve">. Dohody o FOPNL zatím nebylo dosaženo. Od dubna do července 2022 bylo členům FDE </w:t>
      </w:r>
      <w:r w:rsidR="00D702CC">
        <w:rPr>
          <w:szCs w:val="24"/>
        </w:rPr>
        <w:t>rozesláno</w:t>
      </w:r>
      <w:r w:rsidRPr="00DD1609">
        <w:rPr>
          <w:szCs w:val="24"/>
        </w:rPr>
        <w:t xml:space="preserve"> 5 verzí </w:t>
      </w:r>
      <w:r w:rsidR="00D702CC">
        <w:rPr>
          <w:szCs w:val="24"/>
        </w:rPr>
        <w:t>návrhu stanoviska k </w:t>
      </w:r>
      <w:r w:rsidRPr="00DD1609">
        <w:rPr>
          <w:szCs w:val="24"/>
        </w:rPr>
        <w:t>FOPNL</w:t>
      </w:r>
      <w:r w:rsidR="00D702CC">
        <w:rPr>
          <w:szCs w:val="24"/>
        </w:rPr>
        <w:t>, v</w:t>
      </w:r>
      <w:r w:rsidRPr="00DD1609">
        <w:rPr>
          <w:szCs w:val="24"/>
        </w:rPr>
        <w:t xml:space="preserve"> červnu 2022 bylo uspořádáno ad hoc zasedání INCO k projednání návrhu. V rámci následné akce bylo rozhodnuto, že členové IN</w:t>
      </w:r>
      <w:r w:rsidR="00D702CC">
        <w:rPr>
          <w:szCs w:val="24"/>
        </w:rPr>
        <w:t>C</w:t>
      </w:r>
      <w:r w:rsidRPr="00DD1609">
        <w:rPr>
          <w:szCs w:val="24"/>
        </w:rPr>
        <w:t xml:space="preserve">O budou pracovat v podskupinách, aby našli kompromisní alternativní znění pro pět nevyřešených otázek </w:t>
      </w:r>
      <w:r>
        <w:rPr>
          <w:szCs w:val="24"/>
        </w:rPr>
        <w:t>–</w:t>
      </w:r>
      <w:r w:rsidRPr="00DD1609">
        <w:rPr>
          <w:szCs w:val="24"/>
        </w:rPr>
        <w:t xml:space="preserve"> harmonizaci, koncept nediskriminace, přístup k FOPNL založený na porcích, přístup k FOPNL založený na kategoriích a </w:t>
      </w:r>
      <w:r w:rsidR="00C42BB9">
        <w:rPr>
          <w:szCs w:val="24"/>
        </w:rPr>
        <w:t>potraviny pro sportovní výživu</w:t>
      </w:r>
      <w:r w:rsidRPr="00DD1609">
        <w:rPr>
          <w:szCs w:val="24"/>
        </w:rPr>
        <w:t>. Poté, co podskupiny dokončily svou práci, rozeslal sekretariát členům ke schválení revidovanou verzi pozičního dokumentu.</w:t>
      </w:r>
      <w:r w:rsidR="00F77180">
        <w:rPr>
          <w:szCs w:val="24"/>
        </w:rPr>
        <w:t xml:space="preserve"> </w:t>
      </w:r>
      <w:r w:rsidR="001523F2">
        <w:rPr>
          <w:szCs w:val="24"/>
        </w:rPr>
        <w:t xml:space="preserve">Pracovní skupina dne 15/09/2022 proto prošla každý z pěti doposud nevyjasněných bodů a snažila se k nim získat stanovisko skupiny pro další jednání se skupinou INCO (proběhne </w:t>
      </w:r>
      <w:r w:rsidR="00B83470">
        <w:rPr>
          <w:szCs w:val="24"/>
        </w:rPr>
        <w:t xml:space="preserve">26/09/2022). </w:t>
      </w:r>
      <w:r w:rsidR="005533E4">
        <w:rPr>
          <w:szCs w:val="24"/>
        </w:rPr>
        <w:t xml:space="preserve">Jednání se účastnila i Angelika </w:t>
      </w:r>
      <w:proofErr w:type="spellStart"/>
      <w:r w:rsidR="005533E4">
        <w:rPr>
          <w:szCs w:val="24"/>
        </w:rPr>
        <w:lastRenderedPageBreak/>
        <w:t>Mrohs</w:t>
      </w:r>
      <w:proofErr w:type="spellEnd"/>
      <w:r w:rsidR="005533E4">
        <w:rPr>
          <w:szCs w:val="24"/>
        </w:rPr>
        <w:t xml:space="preserve">, předsedkyně pracovní skupiny INCO, </w:t>
      </w:r>
      <w:r w:rsidR="00F07F48">
        <w:rPr>
          <w:szCs w:val="24"/>
        </w:rPr>
        <w:t xml:space="preserve">která vyzvala k maximální kooperaci s cílem konečně problematické otázky vyřešit. </w:t>
      </w:r>
    </w:p>
    <w:p w14:paraId="1D4D0BC3" w14:textId="1FC4B5ED" w:rsidR="00791AE9" w:rsidRPr="00FA2C60" w:rsidRDefault="00850D3A" w:rsidP="00791AE9">
      <w:pPr>
        <w:pStyle w:val="Bezmezer"/>
        <w:spacing w:before="240" w:line="276" w:lineRule="auto"/>
        <w:jc w:val="both"/>
        <w:rPr>
          <w:b/>
          <w:bCs/>
          <w:i/>
          <w:iCs/>
          <w:szCs w:val="24"/>
        </w:rPr>
      </w:pPr>
      <w:r w:rsidRPr="00FA2C60">
        <w:rPr>
          <w:b/>
          <w:bCs/>
          <w:i/>
          <w:iCs/>
          <w:szCs w:val="24"/>
        </w:rPr>
        <w:t xml:space="preserve">Bod 4.a. Harmonizace </w:t>
      </w:r>
      <w:r w:rsidR="009C0C06" w:rsidRPr="00FA2C60">
        <w:rPr>
          <w:b/>
          <w:bCs/>
          <w:i/>
          <w:iCs/>
          <w:szCs w:val="24"/>
        </w:rPr>
        <w:t>&amp; budoucnost existujících FOPNL schémat</w:t>
      </w:r>
    </w:p>
    <w:p w14:paraId="3F85D214" w14:textId="3BF81DFC" w:rsidR="00C84376" w:rsidRDefault="00FA2C60" w:rsidP="00791AE9">
      <w:pPr>
        <w:pStyle w:val="Bezmezer"/>
        <w:spacing w:before="240" w:line="276" w:lineRule="auto"/>
        <w:jc w:val="both"/>
        <w:rPr>
          <w:szCs w:val="24"/>
        </w:rPr>
      </w:pPr>
      <w:r w:rsidRPr="00FA2C60">
        <w:rPr>
          <w:szCs w:val="24"/>
        </w:rPr>
        <w:t xml:space="preserve">Poselstvím je podpora harmonizovaného systému EU a požadavek na nalezení právně správného řešení pro zavedené systémy (jako je </w:t>
      </w:r>
      <w:r w:rsidR="00C84376">
        <w:rPr>
          <w:szCs w:val="24"/>
        </w:rPr>
        <w:t>Klíčová dírka</w:t>
      </w:r>
      <w:r w:rsidRPr="00FA2C60">
        <w:rPr>
          <w:szCs w:val="24"/>
        </w:rPr>
        <w:t>), které zohlední složitosti vyplývající z dopadu brexitu na irské spotřebitele. INCO nevznesl žádné námitky, ale navrhl doplnit novou větu</w:t>
      </w:r>
      <w:r>
        <w:rPr>
          <w:szCs w:val="24"/>
        </w:rPr>
        <w:t xml:space="preserve"> k původnímu textu (zaznačeno zeleně)</w:t>
      </w:r>
      <w:r w:rsidRPr="00FA2C60">
        <w:rPr>
          <w:szCs w:val="24"/>
        </w:rPr>
        <w:t xml:space="preserve">: "V EU existuje řada přístupů k FOPNL. S ohledem na potřebu soudržnějšího a koordinovanějšího přístupu k FOPNL v EU FDE vyzývá k vytvoření dobrovolného harmonizovaného systému EU s podporou velké většiny zúčastněných stran a pod správou na úrovni EU. </w:t>
      </w:r>
      <w:r w:rsidR="00C84376">
        <w:rPr>
          <w:szCs w:val="24"/>
        </w:rPr>
        <w:t>Zúčastněné strany</w:t>
      </w:r>
      <w:r w:rsidRPr="00FA2C60">
        <w:rPr>
          <w:szCs w:val="24"/>
        </w:rPr>
        <w:t xml:space="preserve">, které se rozhodnou pro systém EU, by měly mít možnost využívat tento systém na celém trhu EU. Mělo by být nalezeno právně nezávadné řešení, které by bylo v souladu s rámcem EU a zohledňovalo realitu na trhu, kde je zavedeno používání specifických režimů FOPNL, jako je </w:t>
      </w:r>
      <w:r w:rsidR="00C84376">
        <w:rPr>
          <w:szCs w:val="24"/>
        </w:rPr>
        <w:t>Klíčová dírka</w:t>
      </w:r>
      <w:r w:rsidRPr="00FA2C60">
        <w:rPr>
          <w:szCs w:val="24"/>
        </w:rPr>
        <w:t xml:space="preserve"> v severských zemích, a které by zohledňovalo současné a možné budoucí složitosti vyplývající z dopadů brexitu na irské spotřebitele. </w:t>
      </w:r>
      <w:r w:rsidRPr="00154827">
        <w:rPr>
          <w:b/>
          <w:bCs/>
          <w:szCs w:val="24"/>
          <w:shd w:val="clear" w:color="auto" w:fill="A8D08D" w:themeFill="accent6" w:themeFillTint="99"/>
        </w:rPr>
        <w:t xml:space="preserve">Vnitrostátní režimy by měly být využívány pouze na dobrovolném základě, státy nebo maloobchodníci nesmějí </w:t>
      </w:r>
      <w:r w:rsidR="003A20E3" w:rsidRPr="00154827">
        <w:rPr>
          <w:b/>
          <w:bCs/>
          <w:szCs w:val="24"/>
          <w:shd w:val="clear" w:color="auto" w:fill="A8D08D" w:themeFill="accent6" w:themeFillTint="99"/>
        </w:rPr>
        <w:t>vyžadovat jejich povinné zavádění</w:t>
      </w:r>
      <w:r w:rsidR="00D705E9" w:rsidRPr="00154827">
        <w:rPr>
          <w:b/>
          <w:bCs/>
          <w:szCs w:val="24"/>
          <w:shd w:val="clear" w:color="auto" w:fill="A8D08D" w:themeFill="accent6" w:themeFillTint="99"/>
        </w:rPr>
        <w:t>“</w:t>
      </w:r>
      <w:r w:rsidRPr="00FA2C60">
        <w:rPr>
          <w:szCs w:val="24"/>
        </w:rPr>
        <w:t xml:space="preserve">. </w:t>
      </w:r>
    </w:p>
    <w:p w14:paraId="22C8C422" w14:textId="78AAD215" w:rsidR="00C84376" w:rsidRDefault="003A20E3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Wrigley </w:t>
      </w:r>
      <w:r w:rsidR="000A4D66">
        <w:rPr>
          <w:szCs w:val="24"/>
        </w:rPr>
        <w:t>–</w:t>
      </w:r>
      <w:r>
        <w:rPr>
          <w:szCs w:val="24"/>
        </w:rPr>
        <w:t xml:space="preserve"> </w:t>
      </w:r>
      <w:r w:rsidR="000A4D66">
        <w:rPr>
          <w:szCs w:val="24"/>
        </w:rPr>
        <w:t xml:space="preserve">zástupkyně nevyjádřila nesouhlas, požádala jen o posílení důrazu na to, že nesmí docházet k vytváření překážek na jednotném trhu EU. </w:t>
      </w:r>
    </w:p>
    <w:p w14:paraId="1D94BBE2" w14:textId="7BE0A30E" w:rsidR="00890119" w:rsidRDefault="00890119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EDA – zástupkyně </w:t>
      </w:r>
      <w:r w:rsidR="00381554">
        <w:rPr>
          <w:szCs w:val="24"/>
        </w:rPr>
        <w:t xml:space="preserve">znění podpořila, zdůraznila ale požadavek na dobrovolné evropské značení. </w:t>
      </w:r>
    </w:p>
    <w:p w14:paraId="7E1A9E5D" w14:textId="65D57E67" w:rsidR="004A6D8A" w:rsidRDefault="004A6D8A" w:rsidP="00791AE9">
      <w:pPr>
        <w:pStyle w:val="Bezmezer"/>
        <w:spacing w:before="240" w:line="276" w:lineRule="auto"/>
        <w:jc w:val="both"/>
        <w:rPr>
          <w:szCs w:val="24"/>
        </w:rPr>
      </w:pPr>
      <w:r w:rsidRPr="00AC1FCF">
        <w:rPr>
          <w:szCs w:val="24"/>
          <w:u w:val="single"/>
        </w:rPr>
        <w:t>Zeleně označená věta byla doplněna do stanoviska</w:t>
      </w:r>
      <w:r>
        <w:rPr>
          <w:szCs w:val="24"/>
        </w:rPr>
        <w:t xml:space="preserve">. </w:t>
      </w:r>
    </w:p>
    <w:p w14:paraId="7CA13546" w14:textId="24B7F02E" w:rsidR="009C0C06" w:rsidRPr="00D705E9" w:rsidRDefault="009C0C06" w:rsidP="00791AE9">
      <w:pPr>
        <w:pStyle w:val="Bezmezer"/>
        <w:spacing w:before="240" w:line="276" w:lineRule="auto"/>
        <w:jc w:val="both"/>
        <w:rPr>
          <w:b/>
          <w:bCs/>
          <w:i/>
          <w:iCs/>
          <w:szCs w:val="24"/>
        </w:rPr>
      </w:pPr>
      <w:r w:rsidRPr="00D705E9">
        <w:rPr>
          <w:b/>
          <w:bCs/>
          <w:i/>
          <w:iCs/>
          <w:szCs w:val="24"/>
        </w:rPr>
        <w:t>Bod 4.b. Princip nediskriminace</w:t>
      </w:r>
    </w:p>
    <w:p w14:paraId="4722ADA9" w14:textId="314470EA" w:rsidR="00161D73" w:rsidRDefault="00704F79" w:rsidP="00165C84">
      <w:pPr>
        <w:pStyle w:val="Bezmezer"/>
        <w:spacing w:after="240" w:line="276" w:lineRule="auto"/>
        <w:jc w:val="both"/>
        <w:rPr>
          <w:szCs w:val="24"/>
        </w:rPr>
      </w:pPr>
      <w:r>
        <w:rPr>
          <w:szCs w:val="24"/>
        </w:rPr>
        <w:t>B</w:t>
      </w:r>
      <w:r w:rsidRPr="00704F79">
        <w:rPr>
          <w:szCs w:val="24"/>
        </w:rPr>
        <w:t>udoucí systém EU musí být objektivní a nediskriminační. Skupina INCO vznesla námitky</w:t>
      </w:r>
      <w:r>
        <w:rPr>
          <w:szCs w:val="24"/>
        </w:rPr>
        <w:t xml:space="preserve"> k principu nediskriminace, respektive k původnímu znění</w:t>
      </w:r>
      <w:r w:rsidRPr="00704F79">
        <w:rPr>
          <w:szCs w:val="24"/>
        </w:rPr>
        <w:t>, na znění se nedohodli</w:t>
      </w:r>
      <w:r>
        <w:rPr>
          <w:szCs w:val="24"/>
        </w:rPr>
        <w:t xml:space="preserve"> (</w:t>
      </w:r>
      <w:r w:rsidR="000F6BAE">
        <w:rPr>
          <w:szCs w:val="24"/>
        </w:rPr>
        <w:t xml:space="preserve">Nestlé </w:t>
      </w:r>
      <w:r w:rsidR="000F6BAE">
        <w:rPr>
          <w:szCs w:val="24"/>
        </w:rPr>
        <w:t xml:space="preserve">zdůrazňovalo na jednáních INCO </w:t>
      </w:r>
      <w:r w:rsidR="000F6BAE">
        <w:rPr>
          <w:szCs w:val="24"/>
        </w:rPr>
        <w:t>nejednoznačnost pojmu „princip nediskriminace“</w:t>
      </w:r>
      <w:r w:rsidR="000F6BAE">
        <w:rPr>
          <w:szCs w:val="24"/>
        </w:rPr>
        <w:t xml:space="preserve">, </w:t>
      </w:r>
      <w:r w:rsidR="000F6BAE">
        <w:rPr>
          <w:szCs w:val="24"/>
        </w:rPr>
        <w:t>požádalo o odstranění podpory</w:t>
      </w:r>
      <w:r w:rsidR="000F6BAE">
        <w:rPr>
          <w:szCs w:val="24"/>
        </w:rPr>
        <w:t xml:space="preserve"> tomuto konceptu</w:t>
      </w:r>
      <w:r w:rsidR="00165C84">
        <w:rPr>
          <w:szCs w:val="24"/>
        </w:rPr>
        <w:t xml:space="preserve">; ten je </w:t>
      </w:r>
      <w:r w:rsidR="000F6BAE">
        <w:rPr>
          <w:szCs w:val="24"/>
        </w:rPr>
        <w:t xml:space="preserve">založen na tom, že by </w:t>
      </w:r>
      <w:r w:rsidR="000F6BAE" w:rsidRPr="003E0556">
        <w:rPr>
          <w:szCs w:val="24"/>
        </w:rPr>
        <w:t>FOPNL neměl diskriminovat potraviny a nápoje</w:t>
      </w:r>
      <w:r w:rsidR="000F6BAE">
        <w:rPr>
          <w:szCs w:val="24"/>
        </w:rPr>
        <w:t>, nemělo by docházet k tomu, že by některé potraviny byly vyloučeny z možnosti být označovány FOPNL</w:t>
      </w:r>
      <w:r w:rsidR="00165C84">
        <w:rPr>
          <w:szCs w:val="24"/>
        </w:rPr>
        <w:t>; p</w:t>
      </w:r>
      <w:r w:rsidR="000F6BAE">
        <w:rPr>
          <w:szCs w:val="24"/>
        </w:rPr>
        <w:t>odle Nestlé je systém Nutri-Score &amp; systémy FOPNL spojován s</w:t>
      </w:r>
      <w:r w:rsidR="009B435C">
        <w:rPr>
          <w:szCs w:val="24"/>
        </w:rPr>
        <w:t> </w:t>
      </w:r>
      <w:proofErr w:type="spellStart"/>
      <w:r w:rsidR="000F6BAE">
        <w:rPr>
          <w:szCs w:val="24"/>
        </w:rPr>
        <w:t>diskrim</w:t>
      </w:r>
      <w:proofErr w:type="spellEnd"/>
      <w:r w:rsidR="009B435C">
        <w:rPr>
          <w:szCs w:val="24"/>
        </w:rPr>
        <w:t xml:space="preserve"> </w:t>
      </w:r>
      <w:proofErr w:type="spellStart"/>
      <w:r w:rsidR="000F6BAE">
        <w:rPr>
          <w:szCs w:val="24"/>
        </w:rPr>
        <w:t>inací</w:t>
      </w:r>
      <w:proofErr w:type="spellEnd"/>
      <w:r w:rsidR="000F6BAE">
        <w:rPr>
          <w:szCs w:val="24"/>
        </w:rPr>
        <w:t xml:space="preserve"> některých produktů vůči jiným produktům, což vede k chybnému chápání toho, že některé produkty jsou lepší a jiné horší</w:t>
      </w:r>
      <w:r w:rsidR="00165C84">
        <w:rPr>
          <w:szCs w:val="24"/>
        </w:rPr>
        <w:t>)</w:t>
      </w:r>
      <w:r w:rsidR="000F6BAE">
        <w:rPr>
          <w:szCs w:val="24"/>
        </w:rPr>
        <w:t>.</w:t>
      </w:r>
      <w:r w:rsidR="00165C84">
        <w:rPr>
          <w:szCs w:val="24"/>
        </w:rPr>
        <w:t xml:space="preserve"> </w:t>
      </w:r>
      <w:r w:rsidRPr="00704F79">
        <w:rPr>
          <w:szCs w:val="24"/>
        </w:rPr>
        <w:t>Proto bylo navrženo nové znění: "</w:t>
      </w:r>
      <w:r w:rsidRPr="00154827">
        <w:rPr>
          <w:b/>
          <w:bCs/>
          <w:szCs w:val="24"/>
          <w:shd w:val="clear" w:color="auto" w:fill="A8D08D" w:themeFill="accent6" w:themeFillTint="99"/>
        </w:rPr>
        <w:t>Budoucí systém EU FOPNL by měl sloužit výhradně k informování a orientaci spotřebitelů o obsahu živin v potravinářském výrobku a neměl by být používán jako nástroj k vyčlenění konkrétních potravinářských výrobků nebo kategorií potravin jako zdravých/nezdravých jako takových bez vědecky podloženého nutričního hodnocení (např. by neměl být používán jako varovné označení). Každá potravina může být součástí zdravé stravy, pokud je konzumována v přiměřeném množství a četnosti)</w:t>
      </w:r>
      <w:r w:rsidRPr="00154827">
        <w:rPr>
          <w:szCs w:val="24"/>
          <w:shd w:val="clear" w:color="auto" w:fill="A8D08D" w:themeFill="accent6" w:themeFillTint="99"/>
        </w:rPr>
        <w:t>.</w:t>
      </w:r>
      <w:r w:rsidRPr="00704F79">
        <w:rPr>
          <w:szCs w:val="24"/>
        </w:rPr>
        <w:t xml:space="preserve"> Mělo by se zvážit, do jaké míry se zabývat kategoriemi výrobků, které jsou v současné době z nutričního značení vyňaty, jako jsou nebalené potraviny a potraviny z kategorie s jednou složkou."</w:t>
      </w:r>
      <w:r w:rsidR="007F3FFE">
        <w:rPr>
          <w:szCs w:val="24"/>
        </w:rPr>
        <w:t xml:space="preserve"> </w:t>
      </w:r>
    </w:p>
    <w:p w14:paraId="35565977" w14:textId="7240AA6C" w:rsidR="00B1682D" w:rsidRDefault="00B1682D" w:rsidP="00165C84">
      <w:pPr>
        <w:pStyle w:val="Bezmezer"/>
        <w:spacing w:after="240"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DISKUSE: </w:t>
      </w:r>
    </w:p>
    <w:p w14:paraId="0EE2AAED" w14:textId="248A8841" w:rsidR="00B1682D" w:rsidRDefault="00B1682D" w:rsidP="00165C84">
      <w:pPr>
        <w:pStyle w:val="Bezmezer"/>
        <w:spacing w:after="240" w:line="276" w:lineRule="auto"/>
        <w:jc w:val="both"/>
        <w:rPr>
          <w:szCs w:val="24"/>
        </w:rPr>
      </w:pPr>
      <w:r>
        <w:rPr>
          <w:szCs w:val="24"/>
        </w:rPr>
        <w:t>Členské organizace navrhly</w:t>
      </w:r>
      <w:r w:rsidR="00C05AA2">
        <w:rPr>
          <w:szCs w:val="24"/>
        </w:rPr>
        <w:t xml:space="preserve"> během příprav na dnešní jednání</w:t>
      </w:r>
      <w:r>
        <w:rPr>
          <w:szCs w:val="24"/>
        </w:rPr>
        <w:t xml:space="preserve"> několik změn</w:t>
      </w:r>
      <w:r w:rsidR="00EF0942">
        <w:rPr>
          <w:szCs w:val="24"/>
        </w:rPr>
        <w:t xml:space="preserve">: </w:t>
      </w:r>
    </w:p>
    <w:p w14:paraId="7723779F" w14:textId="2581CE1F" w:rsidR="00EF0942" w:rsidRPr="00154827" w:rsidRDefault="00EF0942" w:rsidP="00154827">
      <w:pPr>
        <w:pStyle w:val="Bezmezer"/>
        <w:shd w:val="clear" w:color="auto" w:fill="A8D08D" w:themeFill="accent6" w:themeFillTint="99"/>
        <w:spacing w:after="240" w:line="276" w:lineRule="auto"/>
        <w:jc w:val="both"/>
        <w:rPr>
          <w:b/>
          <w:bCs/>
        </w:rPr>
      </w:pPr>
      <w:r w:rsidRPr="00154827">
        <w:rPr>
          <w:b/>
          <w:bCs/>
          <w:szCs w:val="24"/>
          <w:shd w:val="clear" w:color="auto" w:fill="A8D08D" w:themeFill="accent6" w:themeFillTint="99"/>
        </w:rPr>
        <w:t>Budoucí systém EU FOPNL by měl sloužit</w:t>
      </w:r>
      <w:r w:rsidRPr="00165C84">
        <w:rPr>
          <w:b/>
          <w:bCs/>
          <w:szCs w:val="24"/>
          <w:shd w:val="clear" w:color="auto" w:fill="92D050"/>
        </w:rPr>
        <w:t xml:space="preserve"> </w:t>
      </w:r>
      <w:r w:rsidRPr="00EF0942">
        <w:rPr>
          <w:b/>
          <w:bCs/>
          <w:szCs w:val="24"/>
          <w:shd w:val="clear" w:color="auto" w:fill="FFFF00"/>
        </w:rPr>
        <w:t>exkluzivně</w:t>
      </w:r>
      <w:r>
        <w:rPr>
          <w:b/>
          <w:bCs/>
          <w:szCs w:val="24"/>
          <w:shd w:val="clear" w:color="auto" w:fill="92D050"/>
        </w:rPr>
        <w:t xml:space="preserve"> </w:t>
      </w:r>
      <w:r w:rsidRPr="00EF0942">
        <w:rPr>
          <w:b/>
          <w:bCs/>
          <w:strike/>
          <w:szCs w:val="24"/>
          <w:shd w:val="clear" w:color="auto" w:fill="FFFF00"/>
        </w:rPr>
        <w:t>výhradně</w:t>
      </w:r>
      <w:r w:rsidRPr="00165C84">
        <w:rPr>
          <w:b/>
          <w:bCs/>
          <w:szCs w:val="24"/>
          <w:shd w:val="clear" w:color="auto" w:fill="92D050"/>
        </w:rPr>
        <w:t xml:space="preserve"> </w:t>
      </w:r>
      <w:r w:rsidRPr="00154827">
        <w:rPr>
          <w:b/>
          <w:bCs/>
          <w:szCs w:val="24"/>
          <w:shd w:val="clear" w:color="auto" w:fill="A8D08D" w:themeFill="accent6" w:themeFillTint="99"/>
        </w:rPr>
        <w:t>k informování</w:t>
      </w:r>
      <w:r w:rsidRPr="00165C84">
        <w:rPr>
          <w:b/>
          <w:bCs/>
          <w:szCs w:val="24"/>
          <w:shd w:val="clear" w:color="auto" w:fill="92D050"/>
        </w:rPr>
        <w:t xml:space="preserve"> </w:t>
      </w:r>
      <w:r w:rsidRPr="009524C8">
        <w:rPr>
          <w:b/>
          <w:bCs/>
          <w:strike/>
          <w:szCs w:val="24"/>
          <w:shd w:val="clear" w:color="auto" w:fill="FFFF00"/>
        </w:rPr>
        <w:t>a orientaci</w:t>
      </w:r>
      <w:r w:rsidRPr="00165C84">
        <w:rPr>
          <w:b/>
          <w:bCs/>
          <w:szCs w:val="24"/>
          <w:shd w:val="clear" w:color="auto" w:fill="92D050"/>
        </w:rPr>
        <w:t xml:space="preserve"> </w:t>
      </w:r>
      <w:r w:rsidRPr="00154827">
        <w:rPr>
          <w:b/>
          <w:bCs/>
          <w:szCs w:val="24"/>
          <w:shd w:val="clear" w:color="auto" w:fill="A8D08D" w:themeFill="accent6" w:themeFillTint="99"/>
        </w:rPr>
        <w:t>spotřebitelů o obsahu živin v potravinářském výrobku a neměl by být používán jako nástroj k vyčlenění konkrétních potravinářských výrobků nebo kategorií</w:t>
      </w:r>
      <w:r w:rsidRPr="00165C84">
        <w:rPr>
          <w:b/>
          <w:bCs/>
          <w:szCs w:val="24"/>
          <w:shd w:val="clear" w:color="auto" w:fill="92D050"/>
        </w:rPr>
        <w:t xml:space="preserve"> </w:t>
      </w:r>
      <w:r w:rsidR="009524C8" w:rsidRPr="009524C8">
        <w:rPr>
          <w:b/>
          <w:bCs/>
          <w:szCs w:val="24"/>
          <w:shd w:val="clear" w:color="auto" w:fill="FFFF00"/>
        </w:rPr>
        <w:t xml:space="preserve">a </w:t>
      </w:r>
      <w:r w:rsidR="008F7C96">
        <w:rPr>
          <w:b/>
          <w:bCs/>
          <w:szCs w:val="24"/>
          <w:shd w:val="clear" w:color="auto" w:fill="FFFF00"/>
        </w:rPr>
        <w:t>ingrediencí</w:t>
      </w:r>
      <w:r w:rsidR="009524C8">
        <w:rPr>
          <w:b/>
          <w:bCs/>
          <w:szCs w:val="24"/>
          <w:shd w:val="clear" w:color="auto" w:fill="92D050"/>
        </w:rPr>
        <w:t xml:space="preserve"> </w:t>
      </w:r>
      <w:r w:rsidRPr="00154827">
        <w:rPr>
          <w:b/>
          <w:bCs/>
          <w:szCs w:val="24"/>
          <w:shd w:val="clear" w:color="auto" w:fill="A8D08D" w:themeFill="accent6" w:themeFillTint="99"/>
        </w:rPr>
        <w:t>potravin jako zdravých/nezdravých jako takových</w:t>
      </w:r>
      <w:r w:rsidRPr="00165C84">
        <w:rPr>
          <w:b/>
          <w:bCs/>
          <w:szCs w:val="24"/>
          <w:shd w:val="clear" w:color="auto" w:fill="92D050"/>
        </w:rPr>
        <w:t xml:space="preserve"> </w:t>
      </w:r>
      <w:r w:rsidRPr="009524C8">
        <w:rPr>
          <w:b/>
          <w:bCs/>
          <w:strike/>
          <w:szCs w:val="24"/>
          <w:shd w:val="clear" w:color="auto" w:fill="FFFF00"/>
        </w:rPr>
        <w:t>bez vědecky podloženého nutričního hodnocení</w:t>
      </w:r>
      <w:r w:rsidRPr="00165C84">
        <w:rPr>
          <w:b/>
          <w:bCs/>
          <w:szCs w:val="24"/>
          <w:shd w:val="clear" w:color="auto" w:fill="92D050"/>
        </w:rPr>
        <w:t xml:space="preserve"> </w:t>
      </w:r>
      <w:r w:rsidRPr="00154827">
        <w:rPr>
          <w:b/>
          <w:bCs/>
        </w:rPr>
        <w:t>(např. by neměl být používán jako varovné označení). Každá potravina může být součástí zdravé stravy, pokud je konzumována v přiměřeném množství a četnosti).</w:t>
      </w:r>
    </w:p>
    <w:p w14:paraId="13674485" w14:textId="77777777" w:rsidR="000A4C55" w:rsidRDefault="00C05AA2" w:rsidP="00165C84">
      <w:pPr>
        <w:pStyle w:val="Bezmezer"/>
        <w:spacing w:after="240" w:line="276" w:lineRule="auto"/>
        <w:jc w:val="both"/>
        <w:rPr>
          <w:szCs w:val="24"/>
        </w:rPr>
      </w:pPr>
      <w:r>
        <w:rPr>
          <w:szCs w:val="24"/>
        </w:rPr>
        <w:t xml:space="preserve">EDA – zástupkyně zdůraznila, že EDA souhlasila s předchozím zněním textu, nesouhlasí s vyškrtnutím </w:t>
      </w:r>
      <w:r w:rsidR="000A4C55">
        <w:rPr>
          <w:szCs w:val="24"/>
        </w:rPr>
        <w:t xml:space="preserve">požadavku na vědecky podložené nutriční hodnocení. </w:t>
      </w:r>
    </w:p>
    <w:p w14:paraId="032CB949" w14:textId="77777777" w:rsidR="008F7C96" w:rsidRDefault="00E44D1A" w:rsidP="00165C84">
      <w:pPr>
        <w:pStyle w:val="Bezmezer"/>
        <w:spacing w:after="240" w:line="276" w:lineRule="auto"/>
        <w:jc w:val="both"/>
        <w:rPr>
          <w:szCs w:val="24"/>
        </w:rPr>
      </w:pPr>
      <w:r>
        <w:rPr>
          <w:szCs w:val="24"/>
        </w:rPr>
        <w:t xml:space="preserve">Nestlé – zástupkyně podpořila EDA, </w:t>
      </w:r>
      <w:r w:rsidR="00E757C6">
        <w:rPr>
          <w:szCs w:val="24"/>
        </w:rPr>
        <w:t xml:space="preserve">důraz na vědecky podložená hodnocení by měl zůstat. </w:t>
      </w:r>
    </w:p>
    <w:p w14:paraId="714E3383" w14:textId="77777777" w:rsidR="0086580B" w:rsidRDefault="008F7C96" w:rsidP="00165C84">
      <w:pPr>
        <w:pStyle w:val="Bezmezer"/>
        <w:spacing w:after="240" w:line="276" w:lineRule="auto"/>
        <w:jc w:val="both"/>
        <w:rPr>
          <w:szCs w:val="24"/>
        </w:rPr>
      </w:pPr>
      <w:r>
        <w:rPr>
          <w:szCs w:val="24"/>
        </w:rPr>
        <w:t xml:space="preserve">Mars </w:t>
      </w:r>
      <w:r w:rsidR="00A73B7A">
        <w:rPr>
          <w:szCs w:val="24"/>
        </w:rPr>
        <w:t>–</w:t>
      </w:r>
      <w:r>
        <w:rPr>
          <w:szCs w:val="24"/>
        </w:rPr>
        <w:t xml:space="preserve"> </w:t>
      </w:r>
      <w:r w:rsidR="00A73B7A">
        <w:rPr>
          <w:szCs w:val="24"/>
        </w:rPr>
        <w:t xml:space="preserve">zástupkyně nepodpořila princip nediskriminace jako takový. </w:t>
      </w:r>
      <w:r w:rsidR="0086580B">
        <w:rPr>
          <w:szCs w:val="24"/>
        </w:rPr>
        <w:t xml:space="preserve">Podpořila ale zachování důrazu na vědecky podložená data. </w:t>
      </w:r>
    </w:p>
    <w:p w14:paraId="67DAF059" w14:textId="78411976" w:rsidR="00EF0942" w:rsidRDefault="00C26F76" w:rsidP="00165C84">
      <w:pPr>
        <w:pStyle w:val="Bezmezer"/>
        <w:spacing w:after="240" w:line="276" w:lineRule="auto"/>
        <w:jc w:val="both"/>
        <w:rPr>
          <w:szCs w:val="24"/>
        </w:rPr>
      </w:pPr>
      <w:r>
        <w:rPr>
          <w:szCs w:val="24"/>
        </w:rPr>
        <w:t>IT potravi</w:t>
      </w:r>
      <w:r w:rsidR="00A5526A">
        <w:rPr>
          <w:szCs w:val="24"/>
        </w:rPr>
        <w:t>ná</w:t>
      </w:r>
      <w:r>
        <w:rPr>
          <w:szCs w:val="24"/>
        </w:rPr>
        <w:t xml:space="preserve">řská komora – zástupkyně </w:t>
      </w:r>
      <w:proofErr w:type="spellStart"/>
      <w:r w:rsidR="00A5526A">
        <w:rPr>
          <w:szCs w:val="24"/>
        </w:rPr>
        <w:t>Federalimantare</w:t>
      </w:r>
      <w:proofErr w:type="spellEnd"/>
      <w:r w:rsidR="00A5526A">
        <w:rPr>
          <w:szCs w:val="24"/>
        </w:rPr>
        <w:t xml:space="preserve"> </w:t>
      </w:r>
      <w:proofErr w:type="spellStart"/>
      <w:r w:rsidR="00A5526A">
        <w:rPr>
          <w:szCs w:val="24"/>
        </w:rPr>
        <w:t>Servizi</w:t>
      </w:r>
      <w:proofErr w:type="spellEnd"/>
      <w:r w:rsidR="00A5526A">
        <w:rPr>
          <w:szCs w:val="24"/>
        </w:rPr>
        <w:t xml:space="preserve"> zdůraznila nutnost zachovat důraz na vědecká data. </w:t>
      </w:r>
    </w:p>
    <w:p w14:paraId="22D24E88" w14:textId="4F9D7003" w:rsidR="00A5526A" w:rsidRDefault="00E81DF7" w:rsidP="00165C84">
      <w:pPr>
        <w:pStyle w:val="Bezmezer"/>
        <w:spacing w:after="240" w:line="276" w:lineRule="auto"/>
        <w:jc w:val="both"/>
        <w:rPr>
          <w:szCs w:val="24"/>
        </w:rPr>
      </w:pPr>
      <w:r>
        <w:rPr>
          <w:szCs w:val="24"/>
        </w:rPr>
        <w:t xml:space="preserve">PepsiCo – zástupkyně varovala před principem diskriminace – je nutno zajistit, aby bylo všem </w:t>
      </w:r>
      <w:r w:rsidR="000777A8">
        <w:rPr>
          <w:szCs w:val="24"/>
        </w:rPr>
        <w:t>producentům umožněno Nutri-Score používat, nesmí nastat situace, že by některé potraviny nebo kategorie potravin byly ze schématu vyloučeny, v případě, že by byly v budoucnosti v nelibosti evropských institucí</w:t>
      </w:r>
      <w:r w:rsidR="002D707C">
        <w:rPr>
          <w:szCs w:val="24"/>
        </w:rPr>
        <w:t xml:space="preserve"> (například potraviny, které by nebyly vnímány jako „zdravé“). </w:t>
      </w:r>
    </w:p>
    <w:p w14:paraId="3A265F44" w14:textId="5ECDDD63" w:rsidR="002D707C" w:rsidRDefault="00D87E27" w:rsidP="00165C84">
      <w:pPr>
        <w:pStyle w:val="Bezmezer"/>
        <w:spacing w:after="240" w:line="276" w:lineRule="auto"/>
        <w:jc w:val="both"/>
        <w:rPr>
          <w:szCs w:val="24"/>
        </w:rPr>
      </w:pPr>
      <w:r w:rsidRPr="00E60E5B">
        <w:rPr>
          <w:szCs w:val="24"/>
          <w:u w:val="single"/>
        </w:rPr>
        <w:t>Shrnutí – Sekretariát do pozice doplní, že systém nesmí teď ani v budoucnu umožnit vyloučení některých potravin nebo kategorií potravin z možnosti systém Nutri-Score používat</w:t>
      </w:r>
      <w:r w:rsidR="00BA79A2">
        <w:rPr>
          <w:szCs w:val="24"/>
        </w:rPr>
        <w:t xml:space="preserve">. </w:t>
      </w:r>
    </w:p>
    <w:p w14:paraId="7DC06E8C" w14:textId="2DE9226C" w:rsidR="00DB32B7" w:rsidRDefault="00DB32B7" w:rsidP="00165C84">
      <w:pPr>
        <w:pStyle w:val="Bezmezer"/>
        <w:spacing w:after="240" w:line="276" w:lineRule="auto"/>
        <w:jc w:val="both"/>
        <w:rPr>
          <w:szCs w:val="24"/>
        </w:rPr>
      </w:pPr>
      <w:r>
        <w:rPr>
          <w:szCs w:val="24"/>
        </w:rPr>
        <w:t xml:space="preserve">Nové znění: </w:t>
      </w:r>
    </w:p>
    <w:p w14:paraId="4BF24EC2" w14:textId="1819F218" w:rsidR="00DB32B7" w:rsidRPr="00154827" w:rsidRDefault="00154827" w:rsidP="00154827">
      <w:pPr>
        <w:pStyle w:val="Bezmezer"/>
        <w:shd w:val="clear" w:color="auto" w:fill="A8D08D" w:themeFill="accent6" w:themeFillTint="99"/>
        <w:spacing w:after="240" w:line="276" w:lineRule="auto"/>
        <w:jc w:val="both"/>
        <w:rPr>
          <w:b/>
          <w:bCs/>
          <w:szCs w:val="24"/>
        </w:rPr>
      </w:pPr>
      <w:r w:rsidRPr="00154827">
        <w:rPr>
          <w:b/>
          <w:bCs/>
          <w:szCs w:val="24"/>
        </w:rPr>
        <w:t>Budoucí systém EU FOPNL by měl sloužit výhradně k informování spotřebitelů o obsahu živin v potravinách. Žádný potravinářský výrobek nebo kategorie by neměly být "a priori" vyloučeny z možnosti být označeny FOPNL. Neměl by být používán jako nástroj k diskriminaci konkrétních potravinářských výrobků, kategorií potravin, živin nebo složek jako zdravých/nezdravých jako takových. Každá potravina může být součástí zdravého jídelníčku, pokud je konzumována v přiměřeném množství a četnosti. Mělo by se zvážit, jak řešit kategorie výrobků, které jsou v současné době z nutričního značení vyňaty, jako jsou nebalené potraviny a potraviny z kategorie s jednou složkou.</w:t>
      </w:r>
      <w:r w:rsidR="007F1662" w:rsidRPr="00154827">
        <w:rPr>
          <w:b/>
          <w:bCs/>
          <w:szCs w:val="24"/>
        </w:rPr>
        <w:t xml:space="preserve">. </w:t>
      </w:r>
    </w:p>
    <w:p w14:paraId="6B40F7A6" w14:textId="4BCD3CF5" w:rsidR="009C0C06" w:rsidRPr="000C651D" w:rsidRDefault="009C0C06" w:rsidP="00791AE9">
      <w:pPr>
        <w:pStyle w:val="Bezmezer"/>
        <w:spacing w:before="240" w:line="276" w:lineRule="auto"/>
        <w:jc w:val="both"/>
        <w:rPr>
          <w:b/>
          <w:bCs/>
          <w:i/>
          <w:iCs/>
          <w:szCs w:val="24"/>
        </w:rPr>
      </w:pPr>
      <w:r w:rsidRPr="000C651D">
        <w:rPr>
          <w:b/>
          <w:bCs/>
          <w:i/>
          <w:iCs/>
          <w:szCs w:val="24"/>
        </w:rPr>
        <w:t>Bod 4.c. Přístup založený na zohlednění porcí</w:t>
      </w:r>
    </w:p>
    <w:p w14:paraId="44BDEAC5" w14:textId="401F4AAA" w:rsidR="000C651D" w:rsidRDefault="00F61BDE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>„</w:t>
      </w:r>
      <w:r w:rsidRPr="00F61BDE">
        <w:rPr>
          <w:szCs w:val="24"/>
        </w:rPr>
        <w:t xml:space="preserve">Budoucí systém EU by měl uznat roli velikosti porcí a </w:t>
      </w:r>
      <w:r>
        <w:rPr>
          <w:szCs w:val="24"/>
        </w:rPr>
        <w:t>vodítka pro nastavování porcí“</w:t>
      </w:r>
      <w:r w:rsidRPr="00F61BDE">
        <w:rPr>
          <w:szCs w:val="24"/>
        </w:rPr>
        <w:t xml:space="preserve">. </w:t>
      </w:r>
      <w:r>
        <w:rPr>
          <w:szCs w:val="24"/>
        </w:rPr>
        <w:t xml:space="preserve">Ze strany </w:t>
      </w:r>
      <w:r w:rsidR="00BE7165">
        <w:rPr>
          <w:szCs w:val="24"/>
        </w:rPr>
        <w:t xml:space="preserve">některých </w:t>
      </w:r>
      <w:r>
        <w:rPr>
          <w:szCs w:val="24"/>
        </w:rPr>
        <w:t>členských organizací z</w:t>
      </w:r>
      <w:r w:rsidRPr="00F61BDE">
        <w:rPr>
          <w:szCs w:val="24"/>
        </w:rPr>
        <w:t xml:space="preserve">azněl požadavek na </w:t>
      </w:r>
      <w:r>
        <w:rPr>
          <w:szCs w:val="24"/>
        </w:rPr>
        <w:t>doplnění</w:t>
      </w:r>
      <w:r w:rsidRPr="00F61BDE">
        <w:rPr>
          <w:szCs w:val="24"/>
        </w:rPr>
        <w:t xml:space="preserve"> tohoto kritéria</w:t>
      </w:r>
      <w:r>
        <w:rPr>
          <w:szCs w:val="24"/>
        </w:rPr>
        <w:t xml:space="preserve"> do stanoviska</w:t>
      </w:r>
      <w:r w:rsidRPr="00F61BDE">
        <w:rPr>
          <w:szCs w:val="24"/>
        </w:rPr>
        <w:t xml:space="preserve">, ale </w:t>
      </w:r>
      <w:r>
        <w:rPr>
          <w:szCs w:val="24"/>
        </w:rPr>
        <w:t xml:space="preserve">jednotlivé členské organizace </w:t>
      </w:r>
      <w:r w:rsidR="00BE7165">
        <w:rPr>
          <w:szCs w:val="24"/>
        </w:rPr>
        <w:t xml:space="preserve">se mezi sebou neshodly na tom, jak by to mělo být uděláno, a mnohdy ani na tom, zda by to mělo být uděláno (proti podporovatelům stojí i </w:t>
      </w:r>
      <w:r w:rsidR="00BE7165">
        <w:rPr>
          <w:szCs w:val="24"/>
        </w:rPr>
        <w:lastRenderedPageBreak/>
        <w:t>v rámci FDE odpůrci systému založeného na porcích). Výbor</w:t>
      </w:r>
      <w:r w:rsidRPr="00F61BDE">
        <w:rPr>
          <w:szCs w:val="24"/>
        </w:rPr>
        <w:t xml:space="preserve"> INCO </w:t>
      </w:r>
      <w:r w:rsidR="00BE7165">
        <w:rPr>
          <w:szCs w:val="24"/>
        </w:rPr>
        <w:t xml:space="preserve">proto </w:t>
      </w:r>
      <w:r w:rsidRPr="00F61BDE">
        <w:rPr>
          <w:szCs w:val="24"/>
        </w:rPr>
        <w:t>opět nedosáhl dohody o znění</w:t>
      </w:r>
      <w:r w:rsidR="00BE7165">
        <w:rPr>
          <w:szCs w:val="24"/>
        </w:rPr>
        <w:t xml:space="preserve"> textu</w:t>
      </w:r>
      <w:r w:rsidR="00020202">
        <w:rPr>
          <w:szCs w:val="24"/>
        </w:rPr>
        <w:t xml:space="preserve">. </w:t>
      </w:r>
    </w:p>
    <w:p w14:paraId="5BE9C8DA" w14:textId="5795F6DC" w:rsidR="00A13B7A" w:rsidRDefault="00A13B7A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Původní návrh: </w:t>
      </w:r>
      <w:r w:rsidR="000D3E84" w:rsidRPr="000D3E84">
        <w:rPr>
          <w:szCs w:val="24"/>
        </w:rPr>
        <w:t>"</w:t>
      </w:r>
      <w:r w:rsidR="000D3E84" w:rsidRPr="000D3E84">
        <w:rPr>
          <w:szCs w:val="24"/>
          <w:shd w:val="clear" w:color="auto" w:fill="A8D08D" w:themeFill="accent6" w:themeFillTint="99"/>
        </w:rPr>
        <w:t xml:space="preserve">Harmonizovaný systém EU pro FOPNL by měl vycházet z následujících kritérií a zohledňovat následující prvky: Věrnost svým cílům </w:t>
      </w:r>
      <w:r w:rsidR="000D3E84" w:rsidRPr="000D3E84">
        <w:rPr>
          <w:szCs w:val="24"/>
          <w:shd w:val="clear" w:color="auto" w:fill="A8D08D" w:themeFill="accent6" w:themeFillTint="99"/>
        </w:rPr>
        <w:t>–</w:t>
      </w:r>
      <w:r w:rsidR="000D3E84" w:rsidRPr="000D3E84">
        <w:rPr>
          <w:szCs w:val="24"/>
          <w:shd w:val="clear" w:color="auto" w:fill="A8D08D" w:themeFill="accent6" w:themeFillTint="99"/>
        </w:rPr>
        <w:t xml:space="preserve"> systém by měl spotřebitelům </w:t>
      </w:r>
      <w:r w:rsidR="000D3E84" w:rsidRPr="000D3E84">
        <w:rPr>
          <w:b/>
          <w:bCs/>
          <w:szCs w:val="24"/>
          <w:shd w:val="clear" w:color="auto" w:fill="A8D08D" w:themeFill="accent6" w:themeFillTint="99"/>
        </w:rPr>
        <w:t>pomáhat</w:t>
      </w:r>
      <w:r w:rsidR="000D3E84" w:rsidRPr="000D3E84">
        <w:rPr>
          <w:szCs w:val="24"/>
          <w:shd w:val="clear" w:color="auto" w:fill="A8D08D" w:themeFill="accent6" w:themeFillTint="99"/>
        </w:rPr>
        <w:t xml:space="preserve"> při informovaném výběru potravin, které odpovídají jejich stravovacím potřebám a životnímu stylu. Měl by být v souladu s výživovými doporučeními založenými na potravinách (</w:t>
      </w:r>
      <w:r w:rsidR="000D3E84" w:rsidRPr="000D3E84">
        <w:rPr>
          <w:b/>
          <w:bCs/>
          <w:szCs w:val="24"/>
          <w:shd w:val="clear" w:color="auto" w:fill="A8D08D" w:themeFill="accent6" w:themeFillTint="99"/>
        </w:rPr>
        <w:t>a jako takový by měl uznávat důležitou roli, kterou může velikost porce a pokyny k porci hrát při pomoci spotřebitelům při výběru vyvážené stravy</w:t>
      </w:r>
      <w:r w:rsidR="000D3E84" w:rsidRPr="000D3E84">
        <w:rPr>
          <w:szCs w:val="24"/>
          <w:shd w:val="clear" w:color="auto" w:fill="A8D08D" w:themeFill="accent6" w:themeFillTint="99"/>
        </w:rPr>
        <w:t>).</w:t>
      </w:r>
      <w:r w:rsidR="000D3E84" w:rsidRPr="000D3E84">
        <w:rPr>
          <w:szCs w:val="24"/>
        </w:rPr>
        <w:t>"</w:t>
      </w:r>
      <w:r w:rsidR="00C56ACD">
        <w:rPr>
          <w:szCs w:val="24"/>
        </w:rPr>
        <w:t xml:space="preserve"> </w:t>
      </w:r>
    </w:p>
    <w:p w14:paraId="1BD6E193" w14:textId="36848A06" w:rsidR="00C56ACD" w:rsidRDefault="00C56ACD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Nový návrh: </w:t>
      </w:r>
      <w:r w:rsidR="00BB3590" w:rsidRPr="00BB3590">
        <w:rPr>
          <w:szCs w:val="24"/>
          <w:shd w:val="clear" w:color="auto" w:fill="A8D08D" w:themeFill="accent6" w:themeFillTint="99"/>
        </w:rPr>
        <w:t xml:space="preserve">"Harmonizovaný systém EU pro FOPNL by měl vycházet z následujících kritérií a zohledňovat následující prvky: Věrnost svým cílům </w:t>
      </w:r>
      <w:r w:rsidR="00BB3590" w:rsidRPr="00BB3590">
        <w:rPr>
          <w:szCs w:val="24"/>
          <w:shd w:val="clear" w:color="auto" w:fill="A8D08D" w:themeFill="accent6" w:themeFillTint="99"/>
        </w:rPr>
        <w:t>–</w:t>
      </w:r>
      <w:r w:rsidR="00BB3590" w:rsidRPr="00BB3590">
        <w:rPr>
          <w:szCs w:val="24"/>
          <w:shd w:val="clear" w:color="auto" w:fill="A8D08D" w:themeFill="accent6" w:themeFillTint="99"/>
        </w:rPr>
        <w:t xml:space="preserve"> systém by měl </w:t>
      </w:r>
      <w:r w:rsidR="00BB3590" w:rsidRPr="00BB3590">
        <w:rPr>
          <w:b/>
          <w:bCs/>
          <w:szCs w:val="24"/>
          <w:shd w:val="clear" w:color="auto" w:fill="A8D08D" w:themeFill="accent6" w:themeFillTint="99"/>
        </w:rPr>
        <w:t>informovat</w:t>
      </w:r>
      <w:r w:rsidR="00BB3590" w:rsidRPr="00BB3590">
        <w:rPr>
          <w:szCs w:val="24"/>
          <w:shd w:val="clear" w:color="auto" w:fill="A8D08D" w:themeFill="accent6" w:themeFillTint="99"/>
        </w:rPr>
        <w:t xml:space="preserve"> o nutričních aspektech potravin a měl by být v souladu s</w:t>
      </w:r>
      <w:r w:rsidR="0033245B">
        <w:rPr>
          <w:szCs w:val="24"/>
          <w:shd w:val="clear" w:color="auto" w:fill="A8D08D" w:themeFill="accent6" w:themeFillTint="99"/>
        </w:rPr>
        <w:t xml:space="preserve"> existujícími </w:t>
      </w:r>
      <w:r w:rsidR="00BB3590" w:rsidRPr="00BB3590">
        <w:rPr>
          <w:szCs w:val="24"/>
          <w:shd w:val="clear" w:color="auto" w:fill="A8D08D" w:themeFill="accent6" w:themeFillTint="99"/>
        </w:rPr>
        <w:t xml:space="preserve">výživovými doporučeními. Měl by spotřebitelům </w:t>
      </w:r>
      <w:r w:rsidR="00BB3590" w:rsidRPr="00BB3590">
        <w:rPr>
          <w:b/>
          <w:bCs/>
          <w:szCs w:val="24"/>
          <w:shd w:val="clear" w:color="auto" w:fill="A8D08D" w:themeFill="accent6" w:themeFillTint="99"/>
        </w:rPr>
        <w:t>pomáhat</w:t>
      </w:r>
      <w:r w:rsidR="00BB3590" w:rsidRPr="00BB3590">
        <w:rPr>
          <w:szCs w:val="24"/>
          <w:shd w:val="clear" w:color="auto" w:fill="A8D08D" w:themeFill="accent6" w:themeFillTint="99"/>
        </w:rPr>
        <w:t xml:space="preserve"> při informovaném výběru potravin, které odpovídají jejich stravovacím potřebám a životnímu stylu. </w:t>
      </w:r>
      <w:r w:rsidR="00BB3590" w:rsidRPr="00BB3590">
        <w:rPr>
          <w:b/>
          <w:bCs/>
          <w:szCs w:val="24"/>
          <w:shd w:val="clear" w:color="auto" w:fill="A8D08D" w:themeFill="accent6" w:themeFillTint="99"/>
        </w:rPr>
        <w:t>Pokyny týkající se velikosti porcí mohou i nadále hrát roli při pomoci spotřebitelům při výběru zdravé a vyvážené stravy (úpravou množství konzumace).</w:t>
      </w:r>
      <w:r w:rsidR="00BB3590" w:rsidRPr="00BB3590">
        <w:rPr>
          <w:szCs w:val="24"/>
          <w:shd w:val="clear" w:color="auto" w:fill="A8D08D" w:themeFill="accent6" w:themeFillTint="99"/>
        </w:rPr>
        <w:t>"</w:t>
      </w:r>
    </w:p>
    <w:p w14:paraId="4EE9C161" w14:textId="1619741D" w:rsidR="007C5B3E" w:rsidRDefault="007C5B3E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Ferrero – zástupkyně nové znění </w:t>
      </w:r>
      <w:r w:rsidR="0033245B">
        <w:rPr>
          <w:szCs w:val="24"/>
        </w:rPr>
        <w:t xml:space="preserve">odsouhlasila, navrhla pouze odstranění slova s „existujícími“ </w:t>
      </w:r>
      <w:r w:rsidR="0014582E">
        <w:rPr>
          <w:szCs w:val="24"/>
        </w:rPr>
        <w:t xml:space="preserve">výživovými doporučeními. </w:t>
      </w:r>
    </w:p>
    <w:p w14:paraId="667858CD" w14:textId="40C1B1AA" w:rsidR="0014582E" w:rsidRDefault="0014582E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Kellogg´s, </w:t>
      </w:r>
      <w:proofErr w:type="spellStart"/>
      <w:r>
        <w:rPr>
          <w:szCs w:val="24"/>
        </w:rPr>
        <w:t>Mondelez</w:t>
      </w:r>
      <w:proofErr w:type="spellEnd"/>
      <w:r>
        <w:rPr>
          <w:szCs w:val="24"/>
        </w:rPr>
        <w:t xml:space="preserve">, </w:t>
      </w:r>
      <w:r w:rsidR="00066722">
        <w:rPr>
          <w:szCs w:val="24"/>
        </w:rPr>
        <w:t xml:space="preserve">Mars – zástupci nové znění schválili. </w:t>
      </w:r>
    </w:p>
    <w:p w14:paraId="079D0713" w14:textId="44ED5CD3" w:rsidR="00C05924" w:rsidRDefault="00C05924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>V rámci následující diskuse ale bylo z textu nakonec odstraněno „</w:t>
      </w:r>
      <w:r w:rsidR="00680870">
        <w:rPr>
          <w:szCs w:val="24"/>
        </w:rPr>
        <w:t xml:space="preserve">(úpravou množství konzumace)“. </w:t>
      </w:r>
    </w:p>
    <w:p w14:paraId="53F54931" w14:textId="6EF87F7E" w:rsidR="00680870" w:rsidRDefault="00680870" w:rsidP="00680870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Finální schválené znění po diskusi členů pracovní skupiny: </w:t>
      </w:r>
      <w:r w:rsidRPr="00BB3590">
        <w:rPr>
          <w:szCs w:val="24"/>
          <w:shd w:val="clear" w:color="auto" w:fill="A8D08D" w:themeFill="accent6" w:themeFillTint="99"/>
        </w:rPr>
        <w:t xml:space="preserve">"Harmonizovaný systém EU pro FOPNL by měl vycházet z následujících kritérií a zohledňovat následující prvky: Věrnost svým cílům – systém by měl </w:t>
      </w:r>
      <w:r w:rsidRPr="00BB3590">
        <w:rPr>
          <w:b/>
          <w:bCs/>
          <w:szCs w:val="24"/>
          <w:shd w:val="clear" w:color="auto" w:fill="A8D08D" w:themeFill="accent6" w:themeFillTint="99"/>
        </w:rPr>
        <w:t>informovat</w:t>
      </w:r>
      <w:r w:rsidRPr="00BB3590">
        <w:rPr>
          <w:szCs w:val="24"/>
          <w:shd w:val="clear" w:color="auto" w:fill="A8D08D" w:themeFill="accent6" w:themeFillTint="99"/>
        </w:rPr>
        <w:t xml:space="preserve"> o nutričních aspektech potravin a měl by být v souladu s</w:t>
      </w:r>
      <w:r>
        <w:rPr>
          <w:szCs w:val="24"/>
          <w:shd w:val="clear" w:color="auto" w:fill="A8D08D" w:themeFill="accent6" w:themeFillTint="99"/>
        </w:rPr>
        <w:t> </w:t>
      </w:r>
      <w:r w:rsidRPr="00680870">
        <w:rPr>
          <w:b/>
          <w:bCs/>
          <w:strike/>
          <w:szCs w:val="24"/>
          <w:shd w:val="clear" w:color="auto" w:fill="A8D08D" w:themeFill="accent6" w:themeFillTint="99"/>
        </w:rPr>
        <w:t>existujícími</w:t>
      </w:r>
      <w:r>
        <w:rPr>
          <w:szCs w:val="24"/>
          <w:shd w:val="clear" w:color="auto" w:fill="A8D08D" w:themeFill="accent6" w:themeFillTint="99"/>
        </w:rPr>
        <w:t xml:space="preserve"> </w:t>
      </w:r>
      <w:r w:rsidRPr="00BB3590">
        <w:rPr>
          <w:szCs w:val="24"/>
          <w:shd w:val="clear" w:color="auto" w:fill="A8D08D" w:themeFill="accent6" w:themeFillTint="99"/>
        </w:rPr>
        <w:t xml:space="preserve">výživovými doporučeními. Měl by spotřebitelům </w:t>
      </w:r>
      <w:r w:rsidRPr="00BB3590">
        <w:rPr>
          <w:b/>
          <w:bCs/>
          <w:szCs w:val="24"/>
          <w:shd w:val="clear" w:color="auto" w:fill="A8D08D" w:themeFill="accent6" w:themeFillTint="99"/>
        </w:rPr>
        <w:t>pomáhat</w:t>
      </w:r>
      <w:r w:rsidRPr="00BB3590">
        <w:rPr>
          <w:szCs w:val="24"/>
          <w:shd w:val="clear" w:color="auto" w:fill="A8D08D" w:themeFill="accent6" w:themeFillTint="99"/>
        </w:rPr>
        <w:t xml:space="preserve"> při informovaném výběru potravin, které odpovídají jejich stravovacím potřebám a životnímu stylu. </w:t>
      </w:r>
      <w:r w:rsidR="00F668AE" w:rsidRPr="00F668AE">
        <w:rPr>
          <w:b/>
          <w:bCs/>
          <w:szCs w:val="24"/>
          <w:shd w:val="clear" w:color="auto" w:fill="A8D08D" w:themeFill="accent6" w:themeFillTint="99"/>
        </w:rPr>
        <w:t>Velikost porcí a p</w:t>
      </w:r>
      <w:r w:rsidRPr="00F668AE">
        <w:rPr>
          <w:b/>
          <w:bCs/>
          <w:szCs w:val="24"/>
          <w:shd w:val="clear" w:color="auto" w:fill="A8D08D" w:themeFill="accent6" w:themeFillTint="99"/>
        </w:rPr>
        <w:t>okyny</w:t>
      </w:r>
      <w:r w:rsidRPr="00BB3590">
        <w:rPr>
          <w:b/>
          <w:bCs/>
          <w:szCs w:val="24"/>
          <w:shd w:val="clear" w:color="auto" w:fill="A8D08D" w:themeFill="accent6" w:themeFillTint="99"/>
        </w:rPr>
        <w:t xml:space="preserve"> týkající se velikosti porcí mohou i nadále hrát roli při pomoci spotřebitelům při výběru zdravé a vyvážené stravy (</w:t>
      </w:r>
      <w:r w:rsidRPr="00F668AE">
        <w:rPr>
          <w:b/>
          <w:bCs/>
          <w:strike/>
          <w:szCs w:val="24"/>
          <w:shd w:val="clear" w:color="auto" w:fill="A8D08D" w:themeFill="accent6" w:themeFillTint="99"/>
        </w:rPr>
        <w:t>úpravou množství konzumace</w:t>
      </w:r>
      <w:r w:rsidRPr="00BB3590">
        <w:rPr>
          <w:b/>
          <w:bCs/>
          <w:szCs w:val="24"/>
          <w:shd w:val="clear" w:color="auto" w:fill="A8D08D" w:themeFill="accent6" w:themeFillTint="99"/>
        </w:rPr>
        <w:t>).</w:t>
      </w:r>
      <w:r w:rsidRPr="00BB3590">
        <w:rPr>
          <w:szCs w:val="24"/>
          <w:shd w:val="clear" w:color="auto" w:fill="A8D08D" w:themeFill="accent6" w:themeFillTint="99"/>
        </w:rPr>
        <w:t>"</w:t>
      </w:r>
    </w:p>
    <w:p w14:paraId="11807D0C" w14:textId="0405C3C2" w:rsidR="00680870" w:rsidRDefault="00680870" w:rsidP="00791AE9">
      <w:pPr>
        <w:pStyle w:val="Bezmezer"/>
        <w:spacing w:before="240" w:line="276" w:lineRule="auto"/>
        <w:jc w:val="both"/>
        <w:rPr>
          <w:szCs w:val="24"/>
        </w:rPr>
      </w:pPr>
    </w:p>
    <w:p w14:paraId="7474FA3E" w14:textId="38500CDD" w:rsidR="009C0C06" w:rsidRPr="000C651D" w:rsidRDefault="009C0C06" w:rsidP="00791AE9">
      <w:pPr>
        <w:pStyle w:val="Bezmezer"/>
        <w:spacing w:before="240" w:line="276" w:lineRule="auto"/>
        <w:jc w:val="both"/>
        <w:rPr>
          <w:b/>
          <w:bCs/>
          <w:i/>
          <w:iCs/>
          <w:szCs w:val="24"/>
        </w:rPr>
      </w:pPr>
      <w:r w:rsidRPr="000C651D">
        <w:rPr>
          <w:b/>
          <w:bCs/>
          <w:i/>
          <w:iCs/>
          <w:szCs w:val="24"/>
        </w:rPr>
        <w:t xml:space="preserve">Bod 4.d. Přístup založený na zohlednění kategorií </w:t>
      </w:r>
    </w:p>
    <w:p w14:paraId="7EB95EAA" w14:textId="5587B16A" w:rsidR="000C651D" w:rsidRDefault="00B67D80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Hlavní myšlenkou zde je, zda by budoucí EU schémata by měla pomáhat </w:t>
      </w:r>
      <w:r w:rsidR="002F0594">
        <w:rPr>
          <w:szCs w:val="24"/>
        </w:rPr>
        <w:t xml:space="preserve">spotřebitelům pomáhat porovnávat potraviny v rámci jedné kategorie. Pracovní skupina INCO sice podpořila zohlednění tohoto kritéria, nebyla ale schopna nalézt shodu nad textací. </w:t>
      </w:r>
    </w:p>
    <w:p w14:paraId="1DA381C1" w14:textId="585EAF1F" w:rsidR="002F0594" w:rsidRDefault="002F0594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Aktuální stanovisko: </w:t>
      </w:r>
      <w:r w:rsidR="00410441" w:rsidRPr="00410441">
        <w:rPr>
          <w:szCs w:val="24"/>
          <w:shd w:val="clear" w:color="auto" w:fill="A8D08D" w:themeFill="accent6" w:themeFillTint="99"/>
        </w:rPr>
        <w:t xml:space="preserve">"Harmonizovaný systém EU pro FOPNL by měl vycházet z následujících kritérií a zohledňovat následující prvky: Věrnost svým cílům: Systém by měl pomáhat spotřebitelům při informovaném výběru potravin, které odpovídají jejich stravovacím potřebám a životnímu stylu. Měl by být v souladu s výživovými doporučeními založenými na potravinách </w:t>
      </w:r>
      <w:r w:rsidR="00410441" w:rsidRPr="00410441">
        <w:rPr>
          <w:szCs w:val="24"/>
          <w:shd w:val="clear" w:color="auto" w:fill="A8D08D" w:themeFill="accent6" w:themeFillTint="99"/>
        </w:rPr>
        <w:lastRenderedPageBreak/>
        <w:t xml:space="preserve">(a jako takový by měl uznávat důležitou roli, kterou může velikost porce a pokyny k porcím hrát při pomoci spotřebitelům při výběru vyvážené a pestré stravy). </w:t>
      </w:r>
      <w:r w:rsidR="00410441" w:rsidRPr="00410441">
        <w:rPr>
          <w:b/>
          <w:bCs/>
          <w:szCs w:val="24"/>
          <w:shd w:val="clear" w:color="auto" w:fill="A8D08D" w:themeFill="accent6" w:themeFillTint="99"/>
        </w:rPr>
        <w:t>Systém EU by měl rovněž umožnit spotřebitelům porovnávat potraviny a nápoje v rámci stejné kategorie a porovnávat výrobky, které lze považovat za alternativy na základě příležitosti konzumace a/nebo účelu konzumace</w:t>
      </w:r>
      <w:r w:rsidR="00410441" w:rsidRPr="00410441">
        <w:rPr>
          <w:b/>
          <w:bCs/>
          <w:szCs w:val="24"/>
          <w:shd w:val="clear" w:color="auto" w:fill="A8D08D" w:themeFill="accent6" w:themeFillTint="99"/>
        </w:rPr>
        <w:t>“.</w:t>
      </w:r>
      <w:r w:rsidR="00410441">
        <w:rPr>
          <w:szCs w:val="24"/>
        </w:rPr>
        <w:t xml:space="preserve"> </w:t>
      </w:r>
    </w:p>
    <w:p w14:paraId="681D2F95" w14:textId="4CCA121C" w:rsidR="00410441" w:rsidRDefault="008A720E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IT potravinářská komora – zástupkyně </w:t>
      </w:r>
      <w:proofErr w:type="spellStart"/>
      <w:r>
        <w:rPr>
          <w:szCs w:val="24"/>
        </w:rPr>
        <w:t>Federalimantare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Servizi</w:t>
      </w:r>
      <w:proofErr w:type="spellEnd"/>
      <w:r w:rsidR="008F51FC">
        <w:rPr>
          <w:szCs w:val="24"/>
        </w:rPr>
        <w:t xml:space="preserve"> požádala, aby věta končila „Systém EU by měl rovněž umožnit spotřebitelům porovnávat potraviny a nápoje v rámci stejné kategorie“. Doporučila vyloučit odkaz na alternativy. </w:t>
      </w:r>
    </w:p>
    <w:p w14:paraId="62E14144" w14:textId="7AE26A08" w:rsidR="008F51FC" w:rsidRDefault="008F51FC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EDA – zástupkyně plně podpořila </w:t>
      </w:r>
      <w:r w:rsidR="001677B3">
        <w:rPr>
          <w:szCs w:val="24"/>
        </w:rPr>
        <w:t xml:space="preserve">vystoupení italské </w:t>
      </w:r>
      <w:proofErr w:type="spellStart"/>
      <w:r w:rsidR="001677B3">
        <w:rPr>
          <w:szCs w:val="24"/>
        </w:rPr>
        <w:t>předřečnice</w:t>
      </w:r>
      <w:proofErr w:type="spellEnd"/>
      <w:r w:rsidR="001677B3">
        <w:rPr>
          <w:szCs w:val="24"/>
        </w:rPr>
        <w:t xml:space="preserve">, odkaz na porovnávání alternativ je příliš citlivý. </w:t>
      </w:r>
    </w:p>
    <w:p w14:paraId="4151ED45" w14:textId="5CA16F0E" w:rsidR="001677B3" w:rsidRDefault="001677B3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ENSA – zástupkyně Evropské organizace </w:t>
      </w:r>
      <w:r w:rsidR="00457275">
        <w:rPr>
          <w:szCs w:val="24"/>
        </w:rPr>
        <w:t xml:space="preserve">producentů rostlinných potravin naopak vystoupila proti IT a EDA, podpořila zachování možnosti porovnávání alternativ. </w:t>
      </w:r>
    </w:p>
    <w:p w14:paraId="7ACF926E" w14:textId="38259385" w:rsidR="002E244A" w:rsidRDefault="002E244A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Mars Wrigley, PepsiCo – zástupkyně zkritizovaly opětovný důraz na porce. </w:t>
      </w:r>
    </w:p>
    <w:p w14:paraId="4A28B43D" w14:textId="4F290694" w:rsidR="0044201D" w:rsidRDefault="0044201D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>Danone – zástupkyně podpořila ENSA</w:t>
      </w:r>
      <w:r w:rsidR="00296614">
        <w:rPr>
          <w:szCs w:val="24"/>
        </w:rPr>
        <w:t xml:space="preserve">. </w:t>
      </w:r>
    </w:p>
    <w:p w14:paraId="2AA02CE1" w14:textId="05EFE5F3" w:rsidR="00BE6603" w:rsidRDefault="00BE6603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>Sekretariát – dočasně povolil odstranění důrazu na alternativy</w:t>
      </w:r>
      <w:r w:rsidR="00B1379F">
        <w:rPr>
          <w:szCs w:val="24"/>
        </w:rPr>
        <w:t xml:space="preserve">, zdůraznil, že se nejedná o konec diskuse, ale o možnost jak se pro tento okamžik posunout dopředu. Aby ale uspokojil všechny </w:t>
      </w:r>
      <w:r w:rsidR="00A82B59">
        <w:rPr>
          <w:szCs w:val="24"/>
        </w:rPr>
        <w:t xml:space="preserve">organizace, dočasně vyškrtne celou pasáž týkající se porovnávání potravin v rámci kategorií. </w:t>
      </w:r>
    </w:p>
    <w:p w14:paraId="6830C2F8" w14:textId="26A9E90F" w:rsidR="00A82B59" w:rsidRDefault="00A82B59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Finální doporučené znění: </w:t>
      </w:r>
      <w:r w:rsidRPr="00410441">
        <w:rPr>
          <w:szCs w:val="24"/>
          <w:shd w:val="clear" w:color="auto" w:fill="A8D08D" w:themeFill="accent6" w:themeFillTint="99"/>
        </w:rPr>
        <w:t xml:space="preserve">"Harmonizovaný systém EU pro FOPNL by měl vycházet z následujících kritérií a zohledňovat následující prvky: Věrnost svým cílům: Systém by měl pomáhat spotřebitelům při informovaném výběru potravin, které odpovídají jejich stravovacím potřebám a životnímu stylu. Měl by být v souladu s výživovými doporučeními založenými na potravinách (a jako takový by měl uznávat důležitou roli, kterou může velikost porce a pokyny k porcím hrát při pomoci spotřebitelům při výběru vyvážené a pestré stravy). </w:t>
      </w:r>
      <w:r w:rsidRPr="00A82B59">
        <w:rPr>
          <w:b/>
          <w:bCs/>
          <w:strike/>
          <w:szCs w:val="24"/>
          <w:shd w:val="clear" w:color="auto" w:fill="A8D08D" w:themeFill="accent6" w:themeFillTint="99"/>
        </w:rPr>
        <w:t>Systém EU by měl rovněž umožnit spotřebitelům porovnávat potraviny a nápoje v rámci stejné kategorie a porovnávat výrobky, které lze považovat za alternativy na základě příležitosti konzumace a/nebo účelu konzumace“</w:t>
      </w:r>
      <w:r w:rsidRPr="00410441">
        <w:rPr>
          <w:b/>
          <w:bCs/>
          <w:szCs w:val="24"/>
          <w:shd w:val="clear" w:color="auto" w:fill="A8D08D" w:themeFill="accent6" w:themeFillTint="99"/>
        </w:rPr>
        <w:t>.</w:t>
      </w:r>
    </w:p>
    <w:p w14:paraId="2A28B5C8" w14:textId="77777777" w:rsidR="00A82B59" w:rsidRDefault="00A82B59" w:rsidP="00791AE9">
      <w:pPr>
        <w:pStyle w:val="Bezmezer"/>
        <w:spacing w:before="240" w:line="276" w:lineRule="auto"/>
        <w:jc w:val="both"/>
        <w:rPr>
          <w:szCs w:val="24"/>
        </w:rPr>
      </w:pPr>
    </w:p>
    <w:p w14:paraId="0E9E0014" w14:textId="249437A6" w:rsidR="009C0C06" w:rsidRPr="000C651D" w:rsidRDefault="009C0C06" w:rsidP="00791AE9">
      <w:pPr>
        <w:pStyle w:val="Bezmezer"/>
        <w:spacing w:before="240" w:line="276" w:lineRule="auto"/>
        <w:jc w:val="both"/>
        <w:rPr>
          <w:b/>
          <w:bCs/>
          <w:i/>
          <w:iCs/>
          <w:szCs w:val="24"/>
        </w:rPr>
      </w:pPr>
      <w:r w:rsidRPr="000C651D">
        <w:rPr>
          <w:b/>
          <w:bCs/>
          <w:i/>
          <w:iCs/>
          <w:szCs w:val="24"/>
        </w:rPr>
        <w:t xml:space="preserve">Bod 4.e. Potraviny pro sportovce </w:t>
      </w:r>
    </w:p>
    <w:p w14:paraId="17D250C4" w14:textId="0CD161F3" w:rsidR="00791AE9" w:rsidRDefault="00A12B79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Podle některých členských organizací FDE by měly být potraviny pro sportovce zahrnuty do výjimek </w:t>
      </w:r>
      <w:r w:rsidR="007D6091">
        <w:rPr>
          <w:szCs w:val="24"/>
        </w:rPr>
        <w:t xml:space="preserve">z FOPNL. INCO opět nedosáhlo dohody stran toho, zda by potraviny pro sportovce měly nebo neměly být zařazeny na seznam výjimek z FOPNL. </w:t>
      </w:r>
    </w:p>
    <w:p w14:paraId="185C9CD2" w14:textId="4C539807" w:rsidR="00DB0216" w:rsidRDefault="00DB0216" w:rsidP="00791AE9">
      <w:pPr>
        <w:pStyle w:val="Bezmezer"/>
        <w:spacing w:before="240" w:line="276" w:lineRule="auto"/>
        <w:jc w:val="both"/>
        <w:rPr>
          <w:szCs w:val="24"/>
          <w:shd w:val="clear" w:color="auto" w:fill="A8D08D" w:themeFill="accent6" w:themeFillTint="99"/>
        </w:rPr>
      </w:pPr>
      <w:r>
        <w:rPr>
          <w:szCs w:val="24"/>
        </w:rPr>
        <w:t xml:space="preserve">Aktuální stanovisko: </w:t>
      </w:r>
      <w:r w:rsidRPr="00410441">
        <w:rPr>
          <w:szCs w:val="24"/>
          <w:shd w:val="clear" w:color="auto" w:fill="A8D08D" w:themeFill="accent6" w:themeFillTint="99"/>
        </w:rPr>
        <w:t>"Harmonizovaný systém EU pro FOPNL by měl vycházet z následujících kritérií a zohledňovat následující prvky:</w:t>
      </w:r>
      <w:r w:rsidR="005A3AEC">
        <w:rPr>
          <w:szCs w:val="24"/>
          <w:shd w:val="clear" w:color="auto" w:fill="A8D08D" w:themeFill="accent6" w:themeFillTint="99"/>
        </w:rPr>
        <w:t xml:space="preserve"> </w:t>
      </w:r>
      <w:r w:rsidR="00A8031F" w:rsidRPr="00A8031F">
        <w:rPr>
          <w:szCs w:val="24"/>
          <w:shd w:val="clear" w:color="auto" w:fill="A8D08D" w:themeFill="accent6" w:themeFillTint="99"/>
        </w:rPr>
        <w:t xml:space="preserve">Vyloučení a výjimky: budoucí celoevropský systém by měl zvážit vyloučení a výjimky, například pro potraviny pro zvláštní skupiny, na které se vztahuje nařízení (EU) č. 609/2013, a další kategorie, pro které se předpokládá vyloučení a </w:t>
      </w:r>
      <w:r w:rsidR="00A8031F" w:rsidRPr="00A8031F">
        <w:rPr>
          <w:szCs w:val="24"/>
          <w:shd w:val="clear" w:color="auto" w:fill="A8D08D" w:themeFill="accent6" w:themeFillTint="99"/>
        </w:rPr>
        <w:lastRenderedPageBreak/>
        <w:t>výjimky z prohlášení o výživové hodnotě. Z FOPNL by měly být vyňaty i další potraviny, jako jsou (</w:t>
      </w:r>
      <w:r w:rsidR="00A8031F" w:rsidRPr="00A8031F">
        <w:rPr>
          <w:b/>
          <w:bCs/>
          <w:szCs w:val="24"/>
          <w:shd w:val="clear" w:color="auto" w:fill="A8D08D" w:themeFill="accent6" w:themeFillTint="99"/>
        </w:rPr>
        <w:t>sportovní potraviny</w:t>
      </w:r>
      <w:r w:rsidR="00A8031F" w:rsidRPr="00A8031F">
        <w:rPr>
          <w:szCs w:val="24"/>
          <w:shd w:val="clear" w:color="auto" w:fill="A8D08D" w:themeFill="accent6" w:themeFillTint="99"/>
        </w:rPr>
        <w:t>), náhrady jídla pro kontrolu hmotnosti a přípravky pro malé děti (</w:t>
      </w:r>
      <w:r w:rsidR="00A8031F" w:rsidRPr="00F51B5D">
        <w:rPr>
          <w:b/>
          <w:bCs/>
          <w:szCs w:val="24"/>
          <w:shd w:val="clear" w:color="auto" w:fill="A8D08D" w:themeFill="accent6" w:themeFillTint="99"/>
        </w:rPr>
        <w:t>které se neřídí zvláštními pravidly, ale které jsou určeny specifickým skupinám obyvatelstva s jinými výživovými potřebami než běžná dospělá populace</w:t>
      </w:r>
      <w:r w:rsidR="00A8031F" w:rsidRPr="00A8031F">
        <w:rPr>
          <w:szCs w:val="24"/>
          <w:shd w:val="clear" w:color="auto" w:fill="A8D08D" w:themeFill="accent6" w:themeFillTint="99"/>
        </w:rPr>
        <w:t>).</w:t>
      </w:r>
      <w:r w:rsidR="00D03E4B">
        <w:rPr>
          <w:szCs w:val="24"/>
          <w:shd w:val="clear" w:color="auto" w:fill="A8D08D" w:themeFill="accent6" w:themeFillTint="99"/>
        </w:rPr>
        <w:t xml:space="preserve"> </w:t>
      </w:r>
    </w:p>
    <w:p w14:paraId="7B18140D" w14:textId="645A13F0" w:rsidR="00A505ED" w:rsidRDefault="00451ADD" w:rsidP="00451ADD">
      <w:pPr>
        <w:pStyle w:val="Bezmezer"/>
        <w:spacing w:before="240"/>
        <w:jc w:val="both"/>
      </w:pPr>
      <w:r w:rsidRPr="00451ADD">
        <w:t>M</w:t>
      </w:r>
      <w:r>
        <w:t xml:space="preserve">ars Wrigley – zástupkyně vyjádřila </w:t>
      </w:r>
      <w:r w:rsidR="008F2FA9">
        <w:t>nesouhlas, vidí riziko v rozšiřování kategorií výjimek</w:t>
      </w:r>
    </w:p>
    <w:p w14:paraId="37162219" w14:textId="35250CBB" w:rsidR="005C0D57" w:rsidRPr="00451ADD" w:rsidRDefault="005C0D57" w:rsidP="00451ADD">
      <w:pPr>
        <w:pStyle w:val="Bezmezer"/>
        <w:spacing w:before="240"/>
        <w:jc w:val="both"/>
      </w:pPr>
      <w:r>
        <w:t xml:space="preserve">Bude upraveno. </w:t>
      </w:r>
    </w:p>
    <w:p w14:paraId="635FEDD4" w14:textId="63838169" w:rsidR="000C653C" w:rsidRDefault="000C653C" w:rsidP="000C653C">
      <w:pPr>
        <w:jc w:val="both"/>
        <w:rPr>
          <w:szCs w:val="24"/>
        </w:rPr>
      </w:pPr>
    </w:p>
    <w:p w14:paraId="2F490482" w14:textId="77777777" w:rsidR="00451ADD" w:rsidRPr="000C653C" w:rsidRDefault="00451ADD" w:rsidP="000C653C">
      <w:pPr>
        <w:jc w:val="both"/>
        <w:rPr>
          <w:szCs w:val="24"/>
        </w:rPr>
      </w:pPr>
    </w:p>
    <w:p w14:paraId="34081696" w14:textId="77777777" w:rsidR="001A0642" w:rsidRPr="001A0642" w:rsidRDefault="001A0642" w:rsidP="00791AE9">
      <w:pPr>
        <w:pStyle w:val="Bezmezer"/>
        <w:spacing w:before="240" w:line="276" w:lineRule="auto"/>
        <w:jc w:val="both"/>
        <w:rPr>
          <w:b/>
          <w:bCs/>
          <w:szCs w:val="24"/>
        </w:rPr>
      </w:pPr>
      <w:r w:rsidRPr="001A0642">
        <w:rPr>
          <w:b/>
          <w:bCs/>
          <w:szCs w:val="24"/>
        </w:rPr>
        <w:t>Bod 5. Různé</w:t>
      </w:r>
    </w:p>
    <w:p w14:paraId="03F69963" w14:textId="3BE9AA3E" w:rsidR="00791AE9" w:rsidRPr="000C653C" w:rsidRDefault="001A0642" w:rsidP="00791AE9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Žádný další bod nebyl projednán. </w:t>
      </w:r>
      <w:r w:rsidR="00791AE9" w:rsidRPr="000C653C">
        <w:rPr>
          <w:szCs w:val="24"/>
        </w:rPr>
        <w:t xml:space="preserve"> </w:t>
      </w:r>
    </w:p>
    <w:sectPr w:rsidR="00791AE9" w:rsidRPr="000C6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EE23" w14:textId="77777777" w:rsidR="00B81A62" w:rsidRDefault="00B81A62" w:rsidP="00B81A62">
      <w:pPr>
        <w:spacing w:after="0" w:line="240" w:lineRule="auto"/>
      </w:pPr>
      <w:r>
        <w:separator/>
      </w:r>
    </w:p>
  </w:endnote>
  <w:endnote w:type="continuationSeparator" w:id="0">
    <w:p w14:paraId="04678CB6" w14:textId="77777777" w:rsidR="00B81A62" w:rsidRDefault="00B81A62" w:rsidP="00B8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835739"/>
      <w:docPartObj>
        <w:docPartGallery w:val="Page Numbers (Bottom of Page)"/>
        <w:docPartUnique/>
      </w:docPartObj>
    </w:sdtPr>
    <w:sdtEndPr/>
    <w:sdtContent>
      <w:p w14:paraId="191768C5" w14:textId="77777777" w:rsidR="004C2788" w:rsidRDefault="005C0D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1B11D4" w14:textId="77777777" w:rsidR="004C2788" w:rsidRDefault="005C0D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07B5" w14:textId="77777777" w:rsidR="00B81A62" w:rsidRDefault="00B81A62" w:rsidP="00B81A62">
      <w:pPr>
        <w:spacing w:after="0" w:line="240" w:lineRule="auto"/>
      </w:pPr>
      <w:r>
        <w:separator/>
      </w:r>
    </w:p>
  </w:footnote>
  <w:footnote w:type="continuationSeparator" w:id="0">
    <w:p w14:paraId="3AEEB0D6" w14:textId="77777777" w:rsidR="00B81A62" w:rsidRDefault="00B81A62" w:rsidP="00B81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51BDF"/>
    <w:multiLevelType w:val="hybridMultilevel"/>
    <w:tmpl w:val="65029014"/>
    <w:lvl w:ilvl="0" w:tplc="CED450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C6E7F"/>
    <w:multiLevelType w:val="hybridMultilevel"/>
    <w:tmpl w:val="54604788"/>
    <w:lvl w:ilvl="0" w:tplc="D2BACC4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C4C3C"/>
    <w:multiLevelType w:val="hybridMultilevel"/>
    <w:tmpl w:val="C76AD0A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13019227">
    <w:abstractNumId w:val="1"/>
  </w:num>
  <w:num w:numId="2" w16cid:durableId="153841653">
    <w:abstractNumId w:val="0"/>
  </w:num>
  <w:num w:numId="3" w16cid:durableId="1801650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E9"/>
    <w:rsid w:val="00020202"/>
    <w:rsid w:val="00035C82"/>
    <w:rsid w:val="000479E1"/>
    <w:rsid w:val="00066722"/>
    <w:rsid w:val="000777A8"/>
    <w:rsid w:val="000A15EC"/>
    <w:rsid w:val="000A4C55"/>
    <w:rsid w:val="000A4D66"/>
    <w:rsid w:val="000C651D"/>
    <w:rsid w:val="000C653C"/>
    <w:rsid w:val="000D3E84"/>
    <w:rsid w:val="000F1BD1"/>
    <w:rsid w:val="000F6BAE"/>
    <w:rsid w:val="00132AAD"/>
    <w:rsid w:val="0014582E"/>
    <w:rsid w:val="001523F2"/>
    <w:rsid w:val="00154827"/>
    <w:rsid w:val="00161D73"/>
    <w:rsid w:val="00165C84"/>
    <w:rsid w:val="001677B3"/>
    <w:rsid w:val="001A0642"/>
    <w:rsid w:val="001C3CCC"/>
    <w:rsid w:val="001C7D7A"/>
    <w:rsid w:val="001D7A7E"/>
    <w:rsid w:val="00210784"/>
    <w:rsid w:val="00296614"/>
    <w:rsid w:val="002A7ED0"/>
    <w:rsid w:val="002D707C"/>
    <w:rsid w:val="002E244A"/>
    <w:rsid w:val="002F0594"/>
    <w:rsid w:val="0031241A"/>
    <w:rsid w:val="00312512"/>
    <w:rsid w:val="0033245B"/>
    <w:rsid w:val="00381554"/>
    <w:rsid w:val="003A20E3"/>
    <w:rsid w:val="00410441"/>
    <w:rsid w:val="0044201D"/>
    <w:rsid w:val="00451ADD"/>
    <w:rsid w:val="00456C7B"/>
    <w:rsid w:val="00457275"/>
    <w:rsid w:val="00463024"/>
    <w:rsid w:val="00495FAC"/>
    <w:rsid w:val="004A6D8A"/>
    <w:rsid w:val="004B1DE5"/>
    <w:rsid w:val="004E4EB1"/>
    <w:rsid w:val="00541A6D"/>
    <w:rsid w:val="005533E4"/>
    <w:rsid w:val="00584B34"/>
    <w:rsid w:val="005A3AEC"/>
    <w:rsid w:val="005C0D57"/>
    <w:rsid w:val="005E1C7E"/>
    <w:rsid w:val="005E7AD0"/>
    <w:rsid w:val="005F118F"/>
    <w:rsid w:val="00680870"/>
    <w:rsid w:val="00684069"/>
    <w:rsid w:val="006F3A87"/>
    <w:rsid w:val="006F791A"/>
    <w:rsid w:val="00704F79"/>
    <w:rsid w:val="00791249"/>
    <w:rsid w:val="00791AE9"/>
    <w:rsid w:val="007C5B3E"/>
    <w:rsid w:val="007D6091"/>
    <w:rsid w:val="007F1662"/>
    <w:rsid w:val="007F3FFE"/>
    <w:rsid w:val="008022E1"/>
    <w:rsid w:val="008213CD"/>
    <w:rsid w:val="00850D3A"/>
    <w:rsid w:val="00855DCF"/>
    <w:rsid w:val="0086580B"/>
    <w:rsid w:val="00890119"/>
    <w:rsid w:val="00891B6C"/>
    <w:rsid w:val="008A720E"/>
    <w:rsid w:val="008F2FA9"/>
    <w:rsid w:val="008F51FC"/>
    <w:rsid w:val="008F7C96"/>
    <w:rsid w:val="009346B4"/>
    <w:rsid w:val="009524C8"/>
    <w:rsid w:val="00962A11"/>
    <w:rsid w:val="00975546"/>
    <w:rsid w:val="00987A62"/>
    <w:rsid w:val="009B435C"/>
    <w:rsid w:val="009C0C06"/>
    <w:rsid w:val="00A12B79"/>
    <w:rsid w:val="00A13B7A"/>
    <w:rsid w:val="00A505ED"/>
    <w:rsid w:val="00A5526A"/>
    <w:rsid w:val="00A67288"/>
    <w:rsid w:val="00A73B7A"/>
    <w:rsid w:val="00A8031F"/>
    <w:rsid w:val="00A82B59"/>
    <w:rsid w:val="00AC1FCF"/>
    <w:rsid w:val="00B03F43"/>
    <w:rsid w:val="00B04759"/>
    <w:rsid w:val="00B1379F"/>
    <w:rsid w:val="00B1682D"/>
    <w:rsid w:val="00B67D80"/>
    <w:rsid w:val="00B81A62"/>
    <w:rsid w:val="00B83470"/>
    <w:rsid w:val="00BA79A2"/>
    <w:rsid w:val="00BB3590"/>
    <w:rsid w:val="00BE6603"/>
    <w:rsid w:val="00BE7165"/>
    <w:rsid w:val="00C05924"/>
    <w:rsid w:val="00C05AA2"/>
    <w:rsid w:val="00C26F76"/>
    <w:rsid w:val="00C35C23"/>
    <w:rsid w:val="00C42BB9"/>
    <w:rsid w:val="00C56ACD"/>
    <w:rsid w:val="00C71F22"/>
    <w:rsid w:val="00C84376"/>
    <w:rsid w:val="00C968E0"/>
    <w:rsid w:val="00D03E4B"/>
    <w:rsid w:val="00D26F82"/>
    <w:rsid w:val="00D53B59"/>
    <w:rsid w:val="00D702CC"/>
    <w:rsid w:val="00D705E9"/>
    <w:rsid w:val="00D87E27"/>
    <w:rsid w:val="00DB0216"/>
    <w:rsid w:val="00DB32B7"/>
    <w:rsid w:val="00DD1609"/>
    <w:rsid w:val="00DF6D27"/>
    <w:rsid w:val="00DF7281"/>
    <w:rsid w:val="00E16F82"/>
    <w:rsid w:val="00E44D1A"/>
    <w:rsid w:val="00E60E5B"/>
    <w:rsid w:val="00E757C6"/>
    <w:rsid w:val="00E81DF7"/>
    <w:rsid w:val="00E87A21"/>
    <w:rsid w:val="00EF0942"/>
    <w:rsid w:val="00EF0C58"/>
    <w:rsid w:val="00F07F48"/>
    <w:rsid w:val="00F51B5D"/>
    <w:rsid w:val="00F61BDE"/>
    <w:rsid w:val="00F668AE"/>
    <w:rsid w:val="00F77180"/>
    <w:rsid w:val="00F7757E"/>
    <w:rsid w:val="00FA2C60"/>
    <w:rsid w:val="00FD1C96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6F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AE9"/>
    <w:pPr>
      <w:spacing w:after="200" w:line="276" w:lineRule="auto"/>
    </w:pPr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1AE9"/>
    <w:pPr>
      <w:keepNext/>
      <w:autoSpaceDE w:val="0"/>
      <w:autoSpaceDN w:val="0"/>
      <w:spacing w:after="0" w:line="240" w:lineRule="auto"/>
      <w:outlineLvl w:val="0"/>
    </w:pPr>
    <w:rPr>
      <w:b/>
      <w:bCs/>
      <w:szCs w:val="24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1AE9"/>
    <w:rPr>
      <w:rFonts w:ascii="Times New Roman" w:eastAsia="SimSu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791AE9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AE9"/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A62"/>
    <w:rPr>
      <w:rFonts w:ascii="Times New Roman" w:eastAsia="SimSu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C653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C653C"/>
    <w:pPr>
      <w:spacing w:after="0" w:line="259" w:lineRule="auto"/>
      <w:ind w:left="720"/>
      <w:contextualSpacing/>
    </w:pPr>
    <w:rPr>
      <w:rFonts w:asciiTheme="minorHAnsi" w:eastAsiaTheme="minorHAnsi" w:hAnsiTheme="minorHAnsi" w:cstheme="minorBidi"/>
      <w:color w:val="5B9BD5" w:themeColor="accent5"/>
      <w:sz w:val="22"/>
      <w:szCs w:val="22"/>
      <w:lang w:val="en-GB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0C653C"/>
    <w:rPr>
      <w:color w:val="5B9BD5" w:themeColor="accent5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653C"/>
    <w:pPr>
      <w:spacing w:after="0" w:line="240" w:lineRule="auto"/>
    </w:pPr>
    <w:rPr>
      <w:rFonts w:asciiTheme="minorHAnsi" w:eastAsiaTheme="minorHAnsi" w:hAnsiTheme="minorHAnsi" w:cstheme="minorBidi"/>
      <w:sz w:val="20"/>
      <w:lang w:val="fr-BE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653C"/>
    <w:rPr>
      <w:sz w:val="20"/>
      <w:szCs w:val="20"/>
      <w:lang w:val="fr-BE"/>
    </w:rPr>
  </w:style>
  <w:style w:type="character" w:styleId="Znakapoznpodarou">
    <w:name w:val="footnote reference"/>
    <w:basedOn w:val="Standardnpsmoodstavce"/>
    <w:uiPriority w:val="99"/>
    <w:semiHidden/>
    <w:unhideWhenUsed/>
    <w:rsid w:val="000C653C"/>
    <w:rPr>
      <w:vertAlign w:val="superscript"/>
    </w:rPr>
  </w:style>
  <w:style w:type="paragraph" w:customStyle="1" w:styleId="Default">
    <w:name w:val="Default"/>
    <w:rsid w:val="000C65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xmsonormal">
    <w:name w:val="x_msonormal"/>
    <w:basedOn w:val="Normln"/>
    <w:rsid w:val="000C653C"/>
    <w:pPr>
      <w:spacing w:after="0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2128</Words>
  <Characters>12556</Characters>
  <Application>Microsoft Office Word</Application>
  <DocSecurity>0</DocSecurity>
  <Lines>104</Lines>
  <Paragraphs>29</Paragraphs>
  <ScaleCrop>false</ScaleCrop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2022-09-25T18:19:00Z</dcterms:created>
  <dcterms:modified xsi:type="dcterms:W3CDTF">2022-09-25T22:33:00Z</dcterms:modified>
</cp:coreProperties>
</file>