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326E" w14:textId="2BCC423B" w:rsidR="00CF23C3" w:rsidRPr="00CF23C3" w:rsidRDefault="00CF23C3" w:rsidP="00CF23C3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bdr w:val="none" w:sz="0" w:space="0" w:color="auto" w:frame="1"/>
          <w:lang w:eastAsia="cs-CZ"/>
        </w:rPr>
      </w:pPr>
      <w:r w:rsidRPr="00CF23C3"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bdr w:val="none" w:sz="0" w:space="0" w:color="auto" w:frame="1"/>
          <w:lang w:eastAsia="cs-CZ"/>
        </w:rPr>
        <w:t>APLIKACE</w:t>
      </w:r>
    </w:p>
    <w:p w14:paraId="183D628B" w14:textId="77777777" w:rsidR="00CF23C3" w:rsidRPr="00CF23C3" w:rsidRDefault="00CF23C3" w:rsidP="00CF23C3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color w:val="000000" w:themeColor="text1"/>
          <w:sz w:val="26"/>
          <w:szCs w:val="26"/>
          <w:bdr w:val="none" w:sz="0" w:space="0" w:color="auto" w:frame="1"/>
          <w:lang w:eastAsia="cs-CZ"/>
        </w:rPr>
      </w:pPr>
    </w:p>
    <w:p w14:paraId="1B46713F" w14:textId="7FB685F1" w:rsidR="00A615D5" w:rsidRPr="004264DE" w:rsidRDefault="00A615D5" w:rsidP="004264DE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bdr w:val="none" w:sz="0" w:space="0" w:color="auto" w:frame="1"/>
          <w:lang w:eastAsia="cs-CZ"/>
        </w:rPr>
        <w:t>Hlavním cílem programu Aplikace je podpořit </w:t>
      </w:r>
      <w:r w:rsidRPr="00A615D5">
        <w:rPr>
          <w:rFonts w:eastAsia="Times New Roman" w:cstheme="minorHAnsi"/>
          <w:color w:val="000000" w:themeColor="text1"/>
          <w:lang w:eastAsia="cs-CZ"/>
        </w:rPr>
        <w:t>projekty průmyslového výzkumu a vývoje. Jejich výstupem by měly být prototypy, funkční vzorky, průmyslové či užitné vzory, otevřené technologie, poloprovozy, certifikované metodiky nebo software. Podstatným prvkem projektu je novost řešení a jeho tržní uplatnění. </w:t>
      </w:r>
    </w:p>
    <w:p w14:paraId="5DD0093E" w14:textId="77777777" w:rsidR="00A615D5" w:rsidRPr="00A615D5" w:rsidRDefault="00A615D5" w:rsidP="004264DE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4"/>
        <w:gridCol w:w="3928"/>
      </w:tblGrid>
      <w:tr w:rsidR="004264DE" w:rsidRPr="00A615D5" w14:paraId="01112410" w14:textId="77777777" w:rsidTr="004264DE"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787341B2" w14:textId="77777777" w:rsidR="00A615D5" w:rsidRPr="00A615D5" w:rsidRDefault="00A615D5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615D5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Obor podnikání:</w:t>
            </w:r>
            <w:r w:rsidRPr="00A615D5">
              <w:rPr>
                <w:rFonts w:eastAsia="Times New Roman" w:cstheme="minorHAnsi"/>
                <w:color w:val="000000" w:themeColor="text1"/>
                <w:lang w:eastAsia="cs-CZ"/>
              </w:rPr>
              <w:t> Zpracovatelský průmysl, Věda a výzkum, Jiné</w:t>
            </w:r>
          </w:p>
        </w:tc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8AC3243" w14:textId="77777777" w:rsidR="00A615D5" w:rsidRPr="00A615D5" w:rsidRDefault="00A615D5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615D5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Výše dotace:</w:t>
            </w:r>
            <w:r w:rsidRPr="00A615D5">
              <w:rPr>
                <w:rFonts w:eastAsia="Times New Roman" w:cstheme="minorHAnsi"/>
                <w:color w:val="000000" w:themeColor="text1"/>
                <w:lang w:eastAsia="cs-CZ"/>
              </w:rPr>
              <w:t> </w:t>
            </w:r>
            <w:proofErr w:type="gramStart"/>
            <w:r w:rsidRPr="00A615D5">
              <w:rPr>
                <w:rFonts w:eastAsia="Times New Roman" w:cstheme="minorHAnsi"/>
                <w:color w:val="000000" w:themeColor="text1"/>
                <w:lang w:eastAsia="cs-CZ"/>
              </w:rPr>
              <w:t>2 - 100</w:t>
            </w:r>
            <w:proofErr w:type="gramEnd"/>
            <w:r w:rsidRPr="00A615D5">
              <w:rPr>
                <w:rFonts w:eastAsia="Times New Roman" w:cstheme="minorHAnsi"/>
                <w:color w:val="000000" w:themeColor="text1"/>
                <w:lang w:eastAsia="cs-CZ"/>
              </w:rPr>
              <w:t xml:space="preserve"> mil. Kč</w:t>
            </w:r>
          </w:p>
        </w:tc>
      </w:tr>
      <w:tr w:rsidR="004264DE" w:rsidRPr="00A615D5" w14:paraId="37D26319" w14:textId="77777777" w:rsidTr="004264DE"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09A126B3" w14:textId="77777777" w:rsidR="00A615D5" w:rsidRPr="00A615D5" w:rsidRDefault="00A615D5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615D5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Velikosti podniků:</w:t>
            </w:r>
            <w:r w:rsidRPr="00A615D5">
              <w:rPr>
                <w:rFonts w:eastAsia="Times New Roman" w:cstheme="minorHAnsi"/>
                <w:color w:val="000000" w:themeColor="text1"/>
                <w:lang w:eastAsia="cs-CZ"/>
              </w:rPr>
              <w:t> Malý podnik, Střední podnik, Velký podnik</w:t>
            </w:r>
          </w:p>
        </w:tc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6564CF1" w14:textId="77777777" w:rsidR="00A615D5" w:rsidRPr="00A615D5" w:rsidRDefault="00A615D5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615D5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Stav výzvy:</w:t>
            </w:r>
            <w:r w:rsidRPr="00A615D5">
              <w:rPr>
                <w:rFonts w:eastAsia="Times New Roman" w:cstheme="minorHAnsi"/>
                <w:color w:val="000000" w:themeColor="text1"/>
                <w:lang w:eastAsia="cs-CZ"/>
              </w:rPr>
              <w:t> Program je v současné době otevřen</w:t>
            </w:r>
          </w:p>
        </w:tc>
      </w:tr>
      <w:tr w:rsidR="004264DE" w:rsidRPr="00A615D5" w14:paraId="0E3AE1F0" w14:textId="77777777" w:rsidTr="004264DE"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1D30985A" w14:textId="77777777" w:rsidR="00A615D5" w:rsidRPr="00A615D5" w:rsidRDefault="00A615D5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615D5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Dotace na:</w:t>
            </w:r>
            <w:r w:rsidRPr="00A615D5">
              <w:rPr>
                <w:rFonts w:eastAsia="Times New Roman" w:cstheme="minorHAnsi"/>
                <w:color w:val="000000" w:themeColor="text1"/>
                <w:lang w:eastAsia="cs-CZ"/>
              </w:rPr>
              <w:t> na mzdy a materiál</w:t>
            </w:r>
          </w:p>
        </w:tc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C5183D1" w14:textId="77777777" w:rsidR="00A615D5" w:rsidRPr="00A615D5" w:rsidRDefault="00A615D5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A615D5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Termín pro plné žádosti: </w:t>
            </w:r>
            <w:r w:rsidRPr="00A615D5">
              <w:rPr>
                <w:rFonts w:eastAsia="Times New Roman" w:cstheme="minorHAnsi"/>
                <w:color w:val="000000" w:themeColor="text1"/>
                <w:lang w:eastAsia="cs-CZ"/>
              </w:rPr>
              <w:t>od 28. 5. 2021 do 1. 9. 2021</w:t>
            </w:r>
          </w:p>
        </w:tc>
      </w:tr>
    </w:tbl>
    <w:p w14:paraId="26F45FBA" w14:textId="77777777" w:rsidR="00CF23C3" w:rsidRDefault="00CF23C3" w:rsidP="00CF23C3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21D1CA17" w14:textId="4C31A0D8" w:rsidR="00CF23C3" w:rsidRPr="00CF23C3" w:rsidRDefault="00CF23C3" w:rsidP="00CF23C3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Jaké aktivity jsou podporovány </w:t>
      </w:r>
    </w:p>
    <w:p w14:paraId="3A6D1F27" w14:textId="0CD350DC" w:rsidR="00A615D5" w:rsidRPr="00A615D5" w:rsidRDefault="00A615D5" w:rsidP="004264DE">
      <w:pPr>
        <w:numPr>
          <w:ilvl w:val="0"/>
          <w:numId w:val="1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 xml:space="preserve">činnosti výzkumu a vývoje vedoucí k získání nových poznatků a dosažení jednoho z definovaných </w:t>
      </w:r>
      <w:proofErr w:type="gramStart"/>
      <w:r w:rsidRPr="00A615D5">
        <w:rPr>
          <w:rFonts w:eastAsia="Times New Roman" w:cstheme="minorHAnsi"/>
          <w:color w:val="000000" w:themeColor="text1"/>
          <w:lang w:eastAsia="cs-CZ"/>
        </w:rPr>
        <w:t>výsledků - prototyp</w:t>
      </w:r>
      <w:proofErr w:type="gramEnd"/>
      <w:r w:rsidRPr="00A615D5">
        <w:rPr>
          <w:rFonts w:eastAsia="Times New Roman" w:cstheme="minorHAnsi"/>
          <w:color w:val="000000" w:themeColor="text1"/>
          <w:lang w:eastAsia="cs-CZ"/>
        </w:rPr>
        <w:t>/funkční vzorek, průmyslový/užitný vzor, otevřená technologie, poloprovoz, certifikovaná metodika nebo software.</w:t>
      </w:r>
    </w:p>
    <w:p w14:paraId="6F812740" w14:textId="29416159" w:rsidR="00CF23C3" w:rsidRPr="00CF23C3" w:rsidRDefault="00CF23C3" w:rsidP="00CF23C3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Na co se vztahuje dotace? </w:t>
      </w:r>
    </w:p>
    <w:p w14:paraId="45D4766B" w14:textId="72A999E0" w:rsidR="00A615D5" w:rsidRPr="00A615D5" w:rsidRDefault="00A615D5" w:rsidP="004264DE">
      <w:pPr>
        <w:numPr>
          <w:ilvl w:val="0"/>
          <w:numId w:val="2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osobní náklady (mzdy) na výzkumné pracovníky, techniky a ostatní podpůrný personál</w:t>
      </w:r>
    </w:p>
    <w:p w14:paraId="02CFC4E9" w14:textId="77777777" w:rsidR="00A615D5" w:rsidRPr="00A615D5" w:rsidRDefault="00A615D5" w:rsidP="004264DE">
      <w:pPr>
        <w:numPr>
          <w:ilvl w:val="0"/>
          <w:numId w:val="2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náklady na zařízení a vybavení formou odpisů dlouhodobého hmotného majetku</w:t>
      </w:r>
    </w:p>
    <w:p w14:paraId="77C1D08B" w14:textId="77777777" w:rsidR="00A615D5" w:rsidRPr="00A615D5" w:rsidRDefault="00A615D5" w:rsidP="004264DE">
      <w:pPr>
        <w:numPr>
          <w:ilvl w:val="0"/>
          <w:numId w:val="2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náklady na smluvní výzkum</w:t>
      </w:r>
    </w:p>
    <w:p w14:paraId="616A63A6" w14:textId="77777777" w:rsidR="00A615D5" w:rsidRPr="00A615D5" w:rsidRDefault="00A615D5" w:rsidP="004264DE">
      <w:pPr>
        <w:numPr>
          <w:ilvl w:val="0"/>
          <w:numId w:val="2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náklady na materiál</w:t>
      </w:r>
    </w:p>
    <w:p w14:paraId="497DD183" w14:textId="77777777" w:rsidR="00A615D5" w:rsidRPr="00A615D5" w:rsidRDefault="00A615D5" w:rsidP="004264DE">
      <w:pPr>
        <w:numPr>
          <w:ilvl w:val="0"/>
          <w:numId w:val="2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režijní náklady související s projektem</w:t>
      </w:r>
    </w:p>
    <w:p w14:paraId="7ADB723E" w14:textId="77777777" w:rsidR="00A615D5" w:rsidRPr="00A615D5" w:rsidRDefault="00A615D5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V rámci tohoto programu lze získat poslední vysokou dotaci také na vývoj nových softwarových systémů a aplikací.</w:t>
      </w:r>
    </w:p>
    <w:p w14:paraId="59733EAA" w14:textId="094C4977" w:rsidR="00CF23C3" w:rsidRPr="00CF23C3" w:rsidRDefault="00CF23C3" w:rsidP="00CF23C3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Pro koho je program určen? </w:t>
      </w:r>
    </w:p>
    <w:p w14:paraId="464CF0FE" w14:textId="4C404A67" w:rsidR="00A615D5" w:rsidRPr="00A615D5" w:rsidRDefault="00A615D5" w:rsidP="004264DE">
      <w:pPr>
        <w:numPr>
          <w:ilvl w:val="0"/>
          <w:numId w:val="3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podniky všech velikosti, které mohou žádat buď individuálně, nebo v konsorciu</w:t>
      </w:r>
    </w:p>
    <w:p w14:paraId="10C6202F" w14:textId="77777777" w:rsidR="00A615D5" w:rsidRPr="00A615D5" w:rsidRDefault="00A615D5" w:rsidP="004264DE">
      <w:pPr>
        <w:numPr>
          <w:ilvl w:val="0"/>
          <w:numId w:val="3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výzkumné organizace ze soukromého či veřejného sektoru</w:t>
      </w:r>
    </w:p>
    <w:p w14:paraId="1BCD71BC" w14:textId="77777777" w:rsidR="00A615D5" w:rsidRPr="00A615D5" w:rsidRDefault="00A615D5" w:rsidP="004264DE">
      <w:pPr>
        <w:numPr>
          <w:ilvl w:val="0"/>
          <w:numId w:val="3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hlavním žadatelem je vždy podnikatelský subjekt</w:t>
      </w:r>
    </w:p>
    <w:p w14:paraId="3390F7CA" w14:textId="77777777" w:rsidR="00A615D5" w:rsidRPr="00A615D5" w:rsidRDefault="00A615D5" w:rsidP="004264DE">
      <w:pPr>
        <w:numPr>
          <w:ilvl w:val="0"/>
          <w:numId w:val="3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projekt musí být realizovaný mimo území hl. m. Prahy, sídlo společnosti může být v Praze</w:t>
      </w:r>
    </w:p>
    <w:p w14:paraId="5B7EC697" w14:textId="77777777" w:rsidR="00A615D5" w:rsidRPr="00A615D5" w:rsidRDefault="00A615D5" w:rsidP="004264DE">
      <w:pPr>
        <w:numPr>
          <w:ilvl w:val="0"/>
          <w:numId w:val="3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žadatelem může být i zahraniční subjekt</w:t>
      </w:r>
    </w:p>
    <w:p w14:paraId="0F15663D" w14:textId="77777777" w:rsidR="00CF23C3" w:rsidRDefault="00CF23C3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lastRenderedPageBreak/>
        <w:t xml:space="preserve">Výše dotace? </w:t>
      </w:r>
    </w:p>
    <w:p w14:paraId="65009946" w14:textId="24ACAA7E" w:rsidR="00A615D5" w:rsidRPr="00A615D5" w:rsidRDefault="00A615D5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Konkrétní výše dotace na jeden projekt se pohybuje mezi 2 a 100 miliony korun. </w:t>
      </w:r>
    </w:p>
    <w:p w14:paraId="6304F196" w14:textId="77777777" w:rsidR="00A615D5" w:rsidRPr="00A615D5" w:rsidRDefault="00A615D5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Výše dotace je odvozena od velikosti podniku, typu činnosti v projektu (výzkum či vývoj) a tzv. účinné spolupráce:</w:t>
      </w:r>
    </w:p>
    <w:p w14:paraId="6EC30841" w14:textId="48F0899B" w:rsidR="00CF23C3" w:rsidRPr="00CF23C3" w:rsidRDefault="00CF23C3" w:rsidP="00CF23C3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Průmyslový výzkum</w:t>
      </w:r>
    </w:p>
    <w:p w14:paraId="6D235E49" w14:textId="42FFEA0F" w:rsidR="00A615D5" w:rsidRPr="00A615D5" w:rsidRDefault="00A615D5" w:rsidP="004264DE">
      <w:pPr>
        <w:numPr>
          <w:ilvl w:val="0"/>
          <w:numId w:val="4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malý podnik (do 49 zaměstnanců) - 70 % / 80 %* způsobilých výdajů </w:t>
      </w:r>
    </w:p>
    <w:p w14:paraId="00E4FF59" w14:textId="77777777" w:rsidR="00A615D5" w:rsidRPr="00A615D5" w:rsidRDefault="00A615D5" w:rsidP="004264DE">
      <w:pPr>
        <w:numPr>
          <w:ilvl w:val="0"/>
          <w:numId w:val="4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střední podnik (</w:t>
      </w:r>
      <w:proofErr w:type="gramStart"/>
      <w:r w:rsidRPr="00A615D5">
        <w:rPr>
          <w:rFonts w:eastAsia="Times New Roman" w:cstheme="minorHAnsi"/>
          <w:color w:val="000000" w:themeColor="text1"/>
          <w:lang w:eastAsia="cs-CZ"/>
        </w:rPr>
        <w:t>50 - 249</w:t>
      </w:r>
      <w:proofErr w:type="gramEnd"/>
      <w:r w:rsidRPr="00A615D5">
        <w:rPr>
          <w:rFonts w:eastAsia="Times New Roman" w:cstheme="minorHAnsi"/>
          <w:color w:val="000000" w:themeColor="text1"/>
          <w:lang w:eastAsia="cs-CZ"/>
        </w:rPr>
        <w:t xml:space="preserve"> zaměstnanců) - 60 % / 75 %* způsobilých výdajů </w:t>
      </w:r>
    </w:p>
    <w:p w14:paraId="6C24B14D" w14:textId="77777777" w:rsidR="00A615D5" w:rsidRPr="00A615D5" w:rsidRDefault="00A615D5" w:rsidP="004264DE">
      <w:pPr>
        <w:numPr>
          <w:ilvl w:val="0"/>
          <w:numId w:val="4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velký podnik (250+ zaměstnanců) - 50 % / 65 %* způsobilých výdajů</w:t>
      </w:r>
    </w:p>
    <w:p w14:paraId="0BCC6E8E" w14:textId="77777777" w:rsidR="00CF23C3" w:rsidRDefault="00CF23C3" w:rsidP="00CF23C3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6650F401" w14:textId="113A7CA5" w:rsidR="00CF23C3" w:rsidRPr="00CF23C3" w:rsidRDefault="00CF23C3" w:rsidP="00CF23C3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Experimentální vývoj </w:t>
      </w:r>
    </w:p>
    <w:p w14:paraId="2426EB62" w14:textId="4EDBEE47" w:rsidR="00A615D5" w:rsidRPr="00A615D5" w:rsidRDefault="00A615D5" w:rsidP="004264DE">
      <w:pPr>
        <w:numPr>
          <w:ilvl w:val="0"/>
          <w:numId w:val="5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malý podnik (do 49 zaměstnanců) - 45 % / 60 %* způsobilých výdajů </w:t>
      </w:r>
    </w:p>
    <w:p w14:paraId="0420CBE6" w14:textId="77777777" w:rsidR="00A615D5" w:rsidRPr="00A615D5" w:rsidRDefault="00A615D5" w:rsidP="004264DE">
      <w:pPr>
        <w:numPr>
          <w:ilvl w:val="0"/>
          <w:numId w:val="5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střední podnik (</w:t>
      </w:r>
      <w:proofErr w:type="gramStart"/>
      <w:r w:rsidRPr="00A615D5">
        <w:rPr>
          <w:rFonts w:eastAsia="Times New Roman" w:cstheme="minorHAnsi"/>
          <w:color w:val="000000" w:themeColor="text1"/>
          <w:lang w:eastAsia="cs-CZ"/>
        </w:rPr>
        <w:t>50 - 249</w:t>
      </w:r>
      <w:proofErr w:type="gramEnd"/>
      <w:r w:rsidRPr="00A615D5">
        <w:rPr>
          <w:rFonts w:eastAsia="Times New Roman" w:cstheme="minorHAnsi"/>
          <w:color w:val="000000" w:themeColor="text1"/>
          <w:lang w:eastAsia="cs-CZ"/>
        </w:rPr>
        <w:t xml:space="preserve"> zaměstnanců) - 35 % / 50 %* způsobilých výdajů</w:t>
      </w:r>
    </w:p>
    <w:p w14:paraId="793AD9FE" w14:textId="77777777" w:rsidR="00A615D5" w:rsidRPr="00A615D5" w:rsidRDefault="00A615D5" w:rsidP="004264DE">
      <w:pPr>
        <w:numPr>
          <w:ilvl w:val="0"/>
          <w:numId w:val="5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velký podnik (250+ zaměstnanců) - 25 % / 40 %* způsobilých výdajů</w:t>
      </w:r>
    </w:p>
    <w:p w14:paraId="61C9E241" w14:textId="77777777" w:rsidR="00A615D5" w:rsidRPr="00A615D5" w:rsidRDefault="00A615D5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* Míra podpory v případě účinné spolupráce, kterou se rozumí spolupráce dvou nezávislých stran za účelem výměny znalostí či technologií nebo k dosažení společného cíle.</w:t>
      </w:r>
    </w:p>
    <w:p w14:paraId="46F6E6BD" w14:textId="57C46032" w:rsidR="00CF23C3" w:rsidRPr="00CF23C3" w:rsidRDefault="00CF23C3" w:rsidP="00CF23C3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Klíčová hodnotící kritéria? </w:t>
      </w:r>
    </w:p>
    <w:p w14:paraId="3DF7025D" w14:textId="3CBA024C" w:rsidR="00A615D5" w:rsidRPr="00A615D5" w:rsidRDefault="00A615D5" w:rsidP="004264DE">
      <w:pPr>
        <w:numPr>
          <w:ilvl w:val="0"/>
          <w:numId w:val="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míra inovativnosti řešení</w:t>
      </w:r>
    </w:p>
    <w:p w14:paraId="48228E44" w14:textId="77777777" w:rsidR="00A615D5" w:rsidRPr="00A615D5" w:rsidRDefault="00A615D5" w:rsidP="004264DE">
      <w:pPr>
        <w:numPr>
          <w:ilvl w:val="0"/>
          <w:numId w:val="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potenciál uplatnění výstupů na trhu</w:t>
      </w:r>
    </w:p>
    <w:p w14:paraId="70B8906E" w14:textId="77777777" w:rsidR="00A615D5" w:rsidRPr="00A615D5" w:rsidRDefault="00A615D5" w:rsidP="004264DE">
      <w:pPr>
        <w:numPr>
          <w:ilvl w:val="0"/>
          <w:numId w:val="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kvalitní zpracování projektu (výstupy, proveditelnost)</w:t>
      </w:r>
    </w:p>
    <w:p w14:paraId="7389C1F8" w14:textId="77777777" w:rsidR="00A615D5" w:rsidRPr="00A615D5" w:rsidRDefault="00A615D5" w:rsidP="004264DE">
      <w:pPr>
        <w:numPr>
          <w:ilvl w:val="0"/>
          <w:numId w:val="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A615D5">
        <w:rPr>
          <w:rFonts w:eastAsia="Times New Roman" w:cstheme="minorHAnsi"/>
          <w:color w:val="000000" w:themeColor="text1"/>
          <w:lang w:eastAsia="cs-CZ"/>
        </w:rPr>
        <w:t>rozpracovaný a odůvodněný položkový rozpočet</w:t>
      </w:r>
    </w:p>
    <w:p w14:paraId="506F6020" w14:textId="59028308" w:rsidR="008D28CC" w:rsidRPr="004264DE" w:rsidRDefault="008D28CC" w:rsidP="004264DE">
      <w:pPr>
        <w:jc w:val="both"/>
        <w:rPr>
          <w:rFonts w:cstheme="minorHAnsi"/>
          <w:color w:val="000000" w:themeColor="text1"/>
        </w:rPr>
      </w:pPr>
    </w:p>
    <w:p w14:paraId="5069BF8B" w14:textId="03E61815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2D369647" w14:textId="222FE18F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21ECF488" w14:textId="1A6DC71F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007CAF35" w14:textId="23AB52D4" w:rsid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7E9561BC" w14:textId="43D35784" w:rsidR="00CF23C3" w:rsidRDefault="00CF23C3" w:rsidP="004264DE">
      <w:pPr>
        <w:jc w:val="both"/>
        <w:rPr>
          <w:rFonts w:cstheme="minorHAnsi"/>
          <w:color w:val="000000" w:themeColor="text1"/>
        </w:rPr>
      </w:pPr>
    </w:p>
    <w:p w14:paraId="4550CCB7" w14:textId="47CA5AC0" w:rsidR="00CF23C3" w:rsidRDefault="00CF23C3" w:rsidP="004264DE">
      <w:pPr>
        <w:jc w:val="both"/>
        <w:rPr>
          <w:rFonts w:cstheme="minorHAnsi"/>
          <w:color w:val="000000" w:themeColor="text1"/>
        </w:rPr>
      </w:pPr>
    </w:p>
    <w:p w14:paraId="39086286" w14:textId="77777777" w:rsidR="00CF23C3" w:rsidRPr="004264DE" w:rsidRDefault="00CF23C3" w:rsidP="004264DE">
      <w:pPr>
        <w:jc w:val="both"/>
        <w:rPr>
          <w:rFonts w:cstheme="minorHAnsi"/>
          <w:color w:val="000000" w:themeColor="text1"/>
        </w:rPr>
      </w:pPr>
    </w:p>
    <w:p w14:paraId="79EED8E1" w14:textId="279250BA" w:rsidR="00CF23C3" w:rsidRDefault="00CF23C3" w:rsidP="00CF23C3">
      <w:pPr>
        <w:shd w:val="clear" w:color="auto" w:fill="FFFFFF"/>
        <w:spacing w:after="300" w:line="360" w:lineRule="atLeast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lang w:eastAsia="cs-CZ"/>
        </w:rPr>
      </w:pPr>
      <w:r w:rsidRPr="00CF23C3"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lang w:eastAsia="cs-CZ"/>
        </w:rPr>
        <w:lastRenderedPageBreak/>
        <w:t>INOVACE</w:t>
      </w:r>
    </w:p>
    <w:p w14:paraId="332FB82D" w14:textId="77777777" w:rsidR="00AF7750" w:rsidRPr="00CF23C3" w:rsidRDefault="00AF7750" w:rsidP="00CF23C3">
      <w:pPr>
        <w:shd w:val="clear" w:color="auto" w:fill="FFFFFF"/>
        <w:spacing w:after="300" w:line="360" w:lineRule="atLeast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lang w:eastAsia="cs-CZ"/>
        </w:rPr>
      </w:pPr>
    </w:p>
    <w:p w14:paraId="3A7499F0" w14:textId="41C33C58" w:rsidR="004264DE" w:rsidRPr="004264DE" w:rsidRDefault="004264DE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Cílem programu Inovace je podpora pořízení nových výrobních technologií, vč. nezbytného nehmotného majetku a investic do nemovitostí. Podpora slouží k zavedení nově vyvinutých či inovovaných produktů a procesů do výroby a na trh.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3"/>
        <w:gridCol w:w="3469"/>
      </w:tblGrid>
      <w:tr w:rsidR="004264DE" w:rsidRPr="004264DE" w14:paraId="02A53785" w14:textId="77777777" w:rsidTr="004264DE">
        <w:tc>
          <w:tcPr>
            <w:tcW w:w="30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26425000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Obor podnikání: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Zpracovatelský průmysl, Technologie, Věda a výzkum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903D23C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Výše dotace: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</w:t>
            </w:r>
            <w:proofErr w:type="gramStart"/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1 - 100</w:t>
            </w:r>
            <w:proofErr w:type="gramEnd"/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 xml:space="preserve"> mil. Kč</w:t>
            </w:r>
          </w:p>
        </w:tc>
      </w:tr>
      <w:tr w:rsidR="004264DE" w:rsidRPr="004264DE" w14:paraId="0612CE00" w14:textId="77777777" w:rsidTr="004264DE">
        <w:tc>
          <w:tcPr>
            <w:tcW w:w="30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174F9620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Velikosti podniků: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Malý podnik, Střední podnik, Velký podnik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33F14EE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Stav výzvy: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Program je v současné době otevřen</w:t>
            </w:r>
          </w:p>
        </w:tc>
      </w:tr>
      <w:tr w:rsidR="004264DE" w:rsidRPr="004264DE" w14:paraId="4F261C84" w14:textId="77777777" w:rsidTr="004264DE">
        <w:tc>
          <w:tcPr>
            <w:tcW w:w="30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1A7579D1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Dotace na: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výrobní technologie vč. nehmotného majetku a investic do nemovitostí</w:t>
            </w:r>
          </w:p>
        </w:tc>
        <w:tc>
          <w:tcPr>
            <w:tcW w:w="19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7CF1A06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Termín pro plné žádosti: 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od 28. 5. 2021 do 30. 8. 2021</w:t>
            </w:r>
          </w:p>
        </w:tc>
      </w:tr>
    </w:tbl>
    <w:p w14:paraId="088E66A7" w14:textId="77777777" w:rsidR="00CF23C3" w:rsidRDefault="00CF23C3" w:rsidP="00CF23C3">
      <w:pPr>
        <w:spacing w:after="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25D9DC7B" w14:textId="75E90C6B" w:rsidR="00CF23C3" w:rsidRDefault="00CF23C3" w:rsidP="00CF23C3">
      <w:pPr>
        <w:spacing w:after="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Jaké aktivity budou podporovány? </w:t>
      </w:r>
    </w:p>
    <w:p w14:paraId="2BA862F5" w14:textId="77777777" w:rsidR="00CF23C3" w:rsidRPr="00CF23C3" w:rsidRDefault="00CF23C3" w:rsidP="00CF23C3">
      <w:pPr>
        <w:spacing w:after="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7789CD2D" w14:textId="14AF5844" w:rsidR="004264DE" w:rsidRPr="004264DE" w:rsidRDefault="004264DE" w:rsidP="004264DE">
      <w:pPr>
        <w:numPr>
          <w:ilvl w:val="0"/>
          <w:numId w:val="7"/>
        </w:numPr>
        <w:spacing w:after="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produktová </w:t>
      </w:r>
      <w:proofErr w:type="gramStart"/>
      <w:r w:rsidRPr="004264D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inovace</w:t>
      </w:r>
      <w:r w:rsidRPr="004264DE">
        <w:rPr>
          <w:rFonts w:eastAsia="Times New Roman" w:cstheme="minorHAnsi"/>
          <w:color w:val="000000" w:themeColor="text1"/>
          <w:lang w:eastAsia="cs-CZ"/>
        </w:rPr>
        <w:t> - výrobní</w:t>
      </w:r>
      <w:proofErr w:type="gramEnd"/>
      <w:r w:rsidRPr="004264DE">
        <w:rPr>
          <w:rFonts w:eastAsia="Times New Roman" w:cstheme="minorHAnsi"/>
          <w:color w:val="000000" w:themeColor="text1"/>
          <w:lang w:eastAsia="cs-CZ"/>
        </w:rPr>
        <w:t xml:space="preserve"> technologie, řídicí software či nezbytné stavební práce tak, aby mohla být zahájena výroba</w:t>
      </w:r>
    </w:p>
    <w:p w14:paraId="7C913380" w14:textId="77777777" w:rsidR="004264DE" w:rsidRPr="004264DE" w:rsidRDefault="004264DE" w:rsidP="004264DE">
      <w:pPr>
        <w:numPr>
          <w:ilvl w:val="0"/>
          <w:numId w:val="7"/>
        </w:numPr>
        <w:spacing w:after="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 xml:space="preserve">procesní </w:t>
      </w:r>
      <w:proofErr w:type="gramStart"/>
      <w:r w:rsidRPr="004264D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inovace</w:t>
      </w:r>
      <w:r w:rsidRPr="004264DE">
        <w:rPr>
          <w:rFonts w:eastAsia="Times New Roman" w:cstheme="minorHAnsi"/>
          <w:color w:val="000000" w:themeColor="text1"/>
          <w:lang w:eastAsia="cs-CZ"/>
        </w:rPr>
        <w:t> - zvýšení</w:t>
      </w:r>
      <w:proofErr w:type="gramEnd"/>
      <w:r w:rsidRPr="004264DE">
        <w:rPr>
          <w:rFonts w:eastAsia="Times New Roman" w:cstheme="minorHAnsi"/>
          <w:color w:val="000000" w:themeColor="text1"/>
          <w:lang w:eastAsia="cs-CZ"/>
        </w:rPr>
        <w:t xml:space="preserve"> efektivnosti výroby v návaznosti na vlastní ukončený výzkum a vývoj</w:t>
      </w:r>
    </w:p>
    <w:p w14:paraId="6971B4F3" w14:textId="77777777" w:rsidR="004264DE" w:rsidRPr="004264DE" w:rsidRDefault="004264DE" w:rsidP="004264DE">
      <w:pPr>
        <w:numPr>
          <w:ilvl w:val="0"/>
          <w:numId w:val="7"/>
        </w:numPr>
        <w:spacing w:after="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organizační inovace</w:t>
      </w:r>
      <w:r w:rsidRPr="004264DE">
        <w:rPr>
          <w:rFonts w:eastAsia="Times New Roman" w:cstheme="minorHAnsi"/>
          <w:color w:val="000000" w:themeColor="text1"/>
          <w:lang w:eastAsia="cs-CZ"/>
        </w:rPr>
        <w:t xml:space="preserve"> – zavádění nových metod organizace firemních procesů prostřednictvím nových informačních systémů integrujících a automatizujících vnitropodnikové </w:t>
      </w:r>
      <w:proofErr w:type="spellStart"/>
      <w:r w:rsidRPr="004264DE">
        <w:rPr>
          <w:rFonts w:eastAsia="Times New Roman" w:cstheme="minorHAnsi"/>
          <w:color w:val="000000" w:themeColor="text1"/>
          <w:lang w:eastAsia="cs-CZ"/>
        </w:rPr>
        <w:t>VaV</w:t>
      </w:r>
      <w:proofErr w:type="spellEnd"/>
      <w:r w:rsidRPr="004264DE">
        <w:rPr>
          <w:rFonts w:eastAsia="Times New Roman" w:cstheme="minorHAnsi"/>
          <w:color w:val="000000" w:themeColor="text1"/>
          <w:lang w:eastAsia="cs-CZ"/>
        </w:rPr>
        <w:t xml:space="preserve"> a související aktivity</w:t>
      </w:r>
    </w:p>
    <w:p w14:paraId="4A37CD6E" w14:textId="77777777" w:rsidR="004264DE" w:rsidRPr="004264DE" w:rsidRDefault="004264DE" w:rsidP="004264DE">
      <w:pPr>
        <w:numPr>
          <w:ilvl w:val="0"/>
          <w:numId w:val="7"/>
        </w:numPr>
        <w:spacing w:after="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marketingové inovace</w:t>
      </w:r>
      <w:r w:rsidRPr="004264DE">
        <w:rPr>
          <w:rFonts w:eastAsia="Times New Roman" w:cstheme="minorHAnsi"/>
          <w:color w:val="000000" w:themeColor="text1"/>
          <w:lang w:eastAsia="cs-CZ"/>
        </w:rPr>
        <w:t> –zvýšení prodeje výrobků a služeb díky významné změně designu produktů nebo balení, lepšího adresování potřeb zákazníka, otevření nových trhů nebo zavedení nových prodejních kanálů</w:t>
      </w:r>
    </w:p>
    <w:p w14:paraId="17810AE8" w14:textId="77777777" w:rsidR="00CF23C3" w:rsidRDefault="00CF23C3" w:rsidP="00CF23C3">
      <w:pPr>
        <w:spacing w:after="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2349F80" w14:textId="3DC3B199" w:rsidR="00CF23C3" w:rsidRDefault="00CF23C3" w:rsidP="00CF23C3">
      <w:pPr>
        <w:spacing w:after="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Na co se vztahuje dotace? </w:t>
      </w:r>
    </w:p>
    <w:p w14:paraId="1FCE05DD" w14:textId="77777777" w:rsidR="00CF23C3" w:rsidRPr="00CF23C3" w:rsidRDefault="00CF23C3" w:rsidP="00CF23C3">
      <w:pPr>
        <w:spacing w:after="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3C01AFFB" w14:textId="5A04B8DB" w:rsidR="004264DE" w:rsidRPr="004264DE" w:rsidRDefault="004264DE" w:rsidP="00CF23C3">
      <w:pPr>
        <w:numPr>
          <w:ilvl w:val="0"/>
          <w:numId w:val="8"/>
        </w:numPr>
        <w:spacing w:after="0" w:line="320" w:lineRule="atLeast"/>
        <w:ind w:left="357" w:firstLine="0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nákup nových výrobních </w:t>
      </w:r>
      <w:r w:rsidRPr="004264D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strojů, zařízení, hardware, software </w:t>
      </w:r>
      <w:r w:rsidRPr="004264DE">
        <w:rPr>
          <w:rFonts w:eastAsia="Times New Roman" w:cstheme="minorHAnsi"/>
          <w:color w:val="000000" w:themeColor="text1"/>
          <w:lang w:eastAsia="cs-CZ"/>
        </w:rPr>
        <w:t>a sítí</w:t>
      </w:r>
    </w:p>
    <w:p w14:paraId="7E06D4DD" w14:textId="77777777" w:rsidR="00CF23C3" w:rsidRDefault="004264DE" w:rsidP="00CF23C3">
      <w:pPr>
        <w:numPr>
          <w:ilvl w:val="0"/>
          <w:numId w:val="8"/>
        </w:numPr>
        <w:spacing w:after="150" w:line="320" w:lineRule="atLeast"/>
        <w:ind w:left="357" w:firstLine="0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stavby a dodávky pro novostavby a technické zhodnocení staveb</w:t>
      </w:r>
    </w:p>
    <w:p w14:paraId="4858007B" w14:textId="243ECE07" w:rsidR="00CF23C3" w:rsidRPr="004264DE" w:rsidRDefault="004264DE" w:rsidP="0021499B">
      <w:pPr>
        <w:numPr>
          <w:ilvl w:val="0"/>
          <w:numId w:val="8"/>
        </w:numPr>
        <w:spacing w:after="150" w:line="320" w:lineRule="atLeast"/>
        <w:ind w:left="357" w:firstLine="0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projektová dokumentace, licence, patenty aj.</w:t>
      </w:r>
    </w:p>
    <w:p w14:paraId="68E08E80" w14:textId="09C7BDAA" w:rsidR="00CF23C3" w:rsidRPr="00CF23C3" w:rsidRDefault="00CF23C3" w:rsidP="00CF23C3">
      <w:pPr>
        <w:spacing w:after="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Pro koho je program určen? </w:t>
      </w:r>
    </w:p>
    <w:p w14:paraId="51CEA018" w14:textId="4C8C3555" w:rsidR="004264DE" w:rsidRPr="004264DE" w:rsidRDefault="004264DE" w:rsidP="004264DE">
      <w:pPr>
        <w:numPr>
          <w:ilvl w:val="0"/>
          <w:numId w:val="9"/>
        </w:numPr>
        <w:spacing w:after="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pro podniky malé a střední velikosti a další právní formy, které </w:t>
      </w:r>
      <w:r w:rsidRPr="004264DE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eastAsia="cs-CZ"/>
        </w:rPr>
        <w:t>zavádí do výroby a na trh nově vyvinuté či inovované výrobky a výrobní procesy</w:t>
      </w:r>
      <w:r w:rsidRPr="004264DE">
        <w:rPr>
          <w:rFonts w:eastAsia="Times New Roman" w:cstheme="minorHAnsi"/>
          <w:color w:val="000000" w:themeColor="text1"/>
          <w:lang w:eastAsia="cs-CZ"/>
        </w:rPr>
        <w:t>, a další právní formy</w:t>
      </w:r>
    </w:p>
    <w:p w14:paraId="7EE09D92" w14:textId="77777777" w:rsidR="004264DE" w:rsidRPr="004264DE" w:rsidRDefault="004264DE" w:rsidP="004264DE">
      <w:pPr>
        <w:numPr>
          <w:ilvl w:val="0"/>
          <w:numId w:val="9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 xml:space="preserve">projekt musí být realizovaný mimo území </w:t>
      </w:r>
      <w:proofErr w:type="spellStart"/>
      <w:r w:rsidRPr="004264DE">
        <w:rPr>
          <w:rFonts w:eastAsia="Times New Roman" w:cstheme="minorHAnsi"/>
          <w:color w:val="000000" w:themeColor="text1"/>
          <w:lang w:eastAsia="cs-CZ"/>
        </w:rPr>
        <w:t>hl.m</w:t>
      </w:r>
      <w:proofErr w:type="spellEnd"/>
      <w:r w:rsidRPr="004264DE">
        <w:rPr>
          <w:rFonts w:eastAsia="Times New Roman" w:cstheme="minorHAnsi"/>
          <w:color w:val="000000" w:themeColor="text1"/>
          <w:lang w:eastAsia="cs-CZ"/>
        </w:rPr>
        <w:t>. Prahy, sídlo společnosti může být v Praze</w:t>
      </w:r>
    </w:p>
    <w:p w14:paraId="3D390DC4" w14:textId="2CD23FE5" w:rsidR="00CF23C3" w:rsidRPr="00AF7750" w:rsidRDefault="004264DE" w:rsidP="00AF7750">
      <w:pPr>
        <w:numPr>
          <w:ilvl w:val="0"/>
          <w:numId w:val="9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projekt musí mít návaznost na ukončený výzkum a vývoj</w:t>
      </w:r>
    </w:p>
    <w:p w14:paraId="7FD9239C" w14:textId="77777777" w:rsidR="00AF7750" w:rsidRDefault="00AF7750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2B0CDD4B" w14:textId="77777777" w:rsidR="00AF7750" w:rsidRDefault="00AF7750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40530027" w14:textId="48381866" w:rsidR="00AF7750" w:rsidRDefault="00CF23C3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Výše dotace? </w:t>
      </w:r>
    </w:p>
    <w:p w14:paraId="27C1BE12" w14:textId="657122DA" w:rsidR="004264DE" w:rsidRPr="004264DE" w:rsidRDefault="004264DE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 xml:space="preserve">Konkrétní výše dotace na jeden projekt se pohybuje mezi </w:t>
      </w:r>
      <w:proofErr w:type="gramStart"/>
      <w:r w:rsidRPr="004264DE">
        <w:rPr>
          <w:rFonts w:eastAsia="Times New Roman" w:cstheme="minorHAnsi"/>
          <w:color w:val="000000" w:themeColor="text1"/>
          <w:lang w:eastAsia="cs-CZ"/>
        </w:rPr>
        <w:t>1 - 100</w:t>
      </w:r>
      <w:proofErr w:type="gramEnd"/>
      <w:r w:rsidRPr="004264DE">
        <w:rPr>
          <w:rFonts w:eastAsia="Times New Roman" w:cstheme="minorHAnsi"/>
          <w:color w:val="000000" w:themeColor="text1"/>
          <w:lang w:eastAsia="cs-CZ"/>
        </w:rPr>
        <w:t xml:space="preserve"> milionů korun.</w:t>
      </w:r>
    </w:p>
    <w:p w14:paraId="4EA59394" w14:textId="77777777" w:rsidR="004264DE" w:rsidRPr="004264DE" w:rsidRDefault="004264DE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Výše dotace je odvozena od velikosti podniku:</w:t>
      </w:r>
    </w:p>
    <w:p w14:paraId="411B62D7" w14:textId="77777777" w:rsidR="004264DE" w:rsidRPr="004264DE" w:rsidRDefault="004264DE" w:rsidP="004264DE">
      <w:pPr>
        <w:numPr>
          <w:ilvl w:val="0"/>
          <w:numId w:val="10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malý podnik (do 49 zaměstnanců) - 45 % způsobilých výdajů </w:t>
      </w:r>
    </w:p>
    <w:p w14:paraId="52ABB649" w14:textId="77777777" w:rsidR="004264DE" w:rsidRPr="004264DE" w:rsidRDefault="004264DE" w:rsidP="004264DE">
      <w:pPr>
        <w:numPr>
          <w:ilvl w:val="0"/>
          <w:numId w:val="10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střední podnik (50 až 249 zaměstnanců) - 35 % způsobilých výdajů </w:t>
      </w:r>
    </w:p>
    <w:p w14:paraId="207CE2BE" w14:textId="77777777" w:rsidR="004264DE" w:rsidRPr="004264DE" w:rsidRDefault="004264DE" w:rsidP="004264DE">
      <w:pPr>
        <w:numPr>
          <w:ilvl w:val="0"/>
          <w:numId w:val="10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velký podnik (nad 250 zaměstnanců) - 25 % způsobilých výdajů</w:t>
      </w:r>
    </w:p>
    <w:p w14:paraId="29F50B22" w14:textId="77777777" w:rsid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0ADADE72" w14:textId="6346B0AF" w:rsidR="0021499B" w:rsidRP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Klíčová hodnotící kritéria</w:t>
      </w:r>
    </w:p>
    <w:p w14:paraId="6975E34E" w14:textId="100E2CD7" w:rsidR="004264DE" w:rsidRPr="004264DE" w:rsidRDefault="004264DE" w:rsidP="004264DE">
      <w:pPr>
        <w:numPr>
          <w:ilvl w:val="0"/>
          <w:numId w:val="11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vysoký potenciál uplatnění vyvíjených produktů na trhu</w:t>
      </w:r>
    </w:p>
    <w:p w14:paraId="6A9E2656" w14:textId="77777777" w:rsidR="004264DE" w:rsidRPr="004264DE" w:rsidRDefault="004264DE" w:rsidP="004264DE">
      <w:pPr>
        <w:numPr>
          <w:ilvl w:val="0"/>
          <w:numId w:val="11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inovační řád výrobků (vyšší konstrukční koncepce, technologie, řešení, principy atp.)</w:t>
      </w:r>
    </w:p>
    <w:p w14:paraId="5031ACE0" w14:textId="77777777" w:rsidR="004264DE" w:rsidRPr="004264DE" w:rsidRDefault="004264DE" w:rsidP="004264DE">
      <w:pPr>
        <w:numPr>
          <w:ilvl w:val="0"/>
          <w:numId w:val="11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 xml:space="preserve">stupeň novosti vyráběných </w:t>
      </w:r>
      <w:proofErr w:type="gramStart"/>
      <w:r w:rsidRPr="004264DE">
        <w:rPr>
          <w:rFonts w:eastAsia="Times New Roman" w:cstheme="minorHAnsi"/>
          <w:color w:val="000000" w:themeColor="text1"/>
          <w:lang w:eastAsia="cs-CZ"/>
        </w:rPr>
        <w:t>produktů - srovnání</w:t>
      </w:r>
      <w:proofErr w:type="gramEnd"/>
      <w:r w:rsidRPr="004264DE">
        <w:rPr>
          <w:rFonts w:eastAsia="Times New Roman" w:cstheme="minorHAnsi"/>
          <w:color w:val="000000" w:themeColor="text1"/>
          <w:lang w:eastAsia="cs-CZ"/>
        </w:rPr>
        <w:t xml:space="preserve"> se situací v ČR, střední Evropě, EU nebo ve světě</w:t>
      </w:r>
    </w:p>
    <w:p w14:paraId="1CC1DBFA" w14:textId="77777777" w:rsidR="004264DE" w:rsidRPr="004264DE" w:rsidRDefault="004264DE" w:rsidP="004264DE">
      <w:pPr>
        <w:numPr>
          <w:ilvl w:val="0"/>
          <w:numId w:val="11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kvalita zpracování, podrobnost a argumentační integrita projektového rozpočtu</w:t>
      </w:r>
    </w:p>
    <w:p w14:paraId="5420CE0D" w14:textId="77777777" w:rsidR="004264DE" w:rsidRPr="004264DE" w:rsidRDefault="004264DE" w:rsidP="004264DE">
      <w:pPr>
        <w:numPr>
          <w:ilvl w:val="0"/>
          <w:numId w:val="11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zkušenosti a kompetence žadatele</w:t>
      </w:r>
    </w:p>
    <w:p w14:paraId="7FABEE8A" w14:textId="26A9EA77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5F94A873" w14:textId="650F4015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151A4C95" w14:textId="2CF8B9A3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5CF65CF5" w14:textId="72590C6D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5D3EA13D" w14:textId="46BC93E0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4B81D5BC" w14:textId="4EF17393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1FEBA5EC" w14:textId="2E490835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42CC98F1" w14:textId="3E143E87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29AF86E1" w14:textId="4DD6244E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2B3B9184" w14:textId="274A2BE1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63820FAF" w14:textId="0FA08837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1C965F14" w14:textId="4FCA457A" w:rsidR="004264DE" w:rsidRP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32B2653F" w14:textId="77777777" w:rsidR="0021499B" w:rsidRPr="004264DE" w:rsidRDefault="0021499B" w:rsidP="004264DE">
      <w:pPr>
        <w:jc w:val="both"/>
        <w:rPr>
          <w:rFonts w:cstheme="minorHAnsi"/>
          <w:color w:val="000000" w:themeColor="text1"/>
        </w:rPr>
      </w:pPr>
    </w:p>
    <w:p w14:paraId="1AF1CD82" w14:textId="0E1B3ABB" w:rsidR="0021499B" w:rsidRPr="00CF23C3" w:rsidRDefault="0021499B" w:rsidP="0021499B">
      <w:pPr>
        <w:shd w:val="clear" w:color="auto" w:fill="FFFFFF"/>
        <w:spacing w:after="300" w:line="360" w:lineRule="atLeast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lang w:eastAsia="cs-CZ"/>
        </w:rPr>
        <w:lastRenderedPageBreak/>
        <w:t>POTENCIÁL</w:t>
      </w:r>
    </w:p>
    <w:p w14:paraId="1E4C1B4A" w14:textId="1E3072F8" w:rsidR="004264DE" w:rsidRPr="004264DE" w:rsidRDefault="004264DE" w:rsidP="004264DE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 w:themeColor="text1"/>
          <w:bdr w:val="none" w:sz="0" w:space="0" w:color="auto" w:frame="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Cílem programu Potenciál je podpora vytvoření kvalitního zázemí podniků </w:t>
      </w:r>
      <w:r w:rsidRPr="004264DE">
        <w:rPr>
          <w:rFonts w:eastAsia="Times New Roman" w:cstheme="minorHAnsi"/>
          <w:color w:val="000000" w:themeColor="text1"/>
          <w:bdr w:val="none" w:sz="0" w:space="0" w:color="auto" w:frame="1"/>
          <w:lang w:eastAsia="cs-CZ"/>
        </w:rPr>
        <w:t>pro realizaci aktivit v oblasti průmyslového výzkumu.</w:t>
      </w:r>
    </w:p>
    <w:p w14:paraId="43B74C4A" w14:textId="77777777" w:rsidR="004264DE" w:rsidRPr="004264DE" w:rsidRDefault="004264DE" w:rsidP="004264DE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652"/>
      </w:tblGrid>
      <w:tr w:rsidR="004264DE" w:rsidRPr="004264DE" w14:paraId="7141A218" w14:textId="77777777" w:rsidTr="004264DE"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68BF9D7A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Obor podnikání: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Zpracovatelský průmysl, Technologie, Věda a výzkum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A0948FC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Výše dotace: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</w:t>
            </w:r>
            <w:proofErr w:type="gramStart"/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2 - 100</w:t>
            </w:r>
            <w:proofErr w:type="gramEnd"/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 xml:space="preserve"> mil. Kč</w:t>
            </w:r>
          </w:p>
        </w:tc>
      </w:tr>
      <w:tr w:rsidR="004264DE" w:rsidRPr="004264DE" w14:paraId="31DFBEFA" w14:textId="77777777" w:rsidTr="004264DE"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7DF4558C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Velikosti podniků: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Malý podnik, Střední podnik, Velký podnik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2182CC2E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Stav výzvy: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Program je v současné době otevřen</w:t>
            </w:r>
          </w:p>
        </w:tc>
      </w:tr>
      <w:tr w:rsidR="004264DE" w:rsidRPr="004264DE" w14:paraId="32CE5DD0" w14:textId="77777777" w:rsidTr="004264DE"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6FAE547C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Dotace na: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pořízení výzkumného vybavení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EC06D2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Termín pro plné žádosti: 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od 27. 5. 2021 do 26. 8. 2021</w:t>
            </w:r>
          </w:p>
        </w:tc>
      </w:tr>
    </w:tbl>
    <w:p w14:paraId="45B67CBC" w14:textId="77777777" w:rsid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76C41281" w14:textId="45360DA6" w:rsidR="0021499B" w:rsidRP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Jaké aktivity budou podporovány? </w:t>
      </w:r>
    </w:p>
    <w:p w14:paraId="223511DD" w14:textId="44010906" w:rsidR="004264DE" w:rsidRPr="004264DE" w:rsidRDefault="004264DE" w:rsidP="004264DE">
      <w:pPr>
        <w:numPr>
          <w:ilvl w:val="0"/>
          <w:numId w:val="12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vybavení konstrukčních oddělení, laboratoří, zkušebního a testovacího zázemí, prototypových dílen</w:t>
      </w:r>
    </w:p>
    <w:p w14:paraId="68FB0760" w14:textId="77777777" w:rsidR="004264DE" w:rsidRPr="004264DE" w:rsidRDefault="004264DE" w:rsidP="004264DE">
      <w:pPr>
        <w:numPr>
          <w:ilvl w:val="0"/>
          <w:numId w:val="12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pořízení simulačních a výpočtových SW aj.</w:t>
      </w:r>
    </w:p>
    <w:p w14:paraId="09E737EF" w14:textId="20AB95C0" w:rsidR="0021499B" w:rsidRP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Na co se vztahuje dotace? </w:t>
      </w:r>
    </w:p>
    <w:p w14:paraId="7D1B1C67" w14:textId="04DC1390" w:rsidR="004264DE" w:rsidRPr="004264DE" w:rsidRDefault="004264DE" w:rsidP="004264DE">
      <w:pPr>
        <w:numPr>
          <w:ilvl w:val="0"/>
          <w:numId w:val="13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pořízení potřebného výzkumného a vývojového vybavení, zejména na nákup strojů, technologií, zařízení, hardwaru či sítí</w:t>
      </w:r>
    </w:p>
    <w:p w14:paraId="4D03626F" w14:textId="27A37FBF" w:rsidR="0021499B" w:rsidRPr="0021499B" w:rsidRDefault="004264DE" w:rsidP="0021499B">
      <w:pPr>
        <w:numPr>
          <w:ilvl w:val="0"/>
          <w:numId w:val="13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obstarání práv duševního vlastnictví, licencí, softwaru a povinnou publicitu</w:t>
      </w:r>
    </w:p>
    <w:p w14:paraId="3CEFBC53" w14:textId="4633D1C6" w:rsidR="0021499B" w:rsidRP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Pro koho je program určen? </w:t>
      </w:r>
    </w:p>
    <w:p w14:paraId="14089DBB" w14:textId="228755B5" w:rsidR="004264DE" w:rsidRPr="004264DE" w:rsidRDefault="004264DE" w:rsidP="004264DE">
      <w:pPr>
        <w:numPr>
          <w:ilvl w:val="0"/>
          <w:numId w:val="14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pro podniky všech velikostí s jasně definovanou a životaschopnou strategií rozvoje, které provádějí nebo chtějí provádět vlastní výzkum a vývoj</w:t>
      </w:r>
    </w:p>
    <w:p w14:paraId="2997C81B" w14:textId="77777777" w:rsidR="004264DE" w:rsidRPr="004264DE" w:rsidRDefault="004264DE" w:rsidP="004264DE">
      <w:pPr>
        <w:numPr>
          <w:ilvl w:val="0"/>
          <w:numId w:val="14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proofErr w:type="gramStart"/>
      <w:r w:rsidRPr="004264DE">
        <w:rPr>
          <w:rFonts w:eastAsia="Times New Roman" w:cstheme="minorHAnsi"/>
          <w:color w:val="000000" w:themeColor="text1"/>
          <w:lang w:eastAsia="cs-CZ"/>
        </w:rPr>
        <w:t>žadatelem  mohou</w:t>
      </w:r>
      <w:proofErr w:type="gramEnd"/>
      <w:r w:rsidRPr="004264DE">
        <w:rPr>
          <w:rFonts w:eastAsia="Times New Roman" w:cstheme="minorHAnsi"/>
          <w:color w:val="000000" w:themeColor="text1"/>
          <w:lang w:eastAsia="cs-CZ"/>
        </w:rPr>
        <w:t xml:space="preserve"> být nově například i kraje, obce, VŠ, nadace, družstva či ústavy a mezinárodní nevládní organizace</w:t>
      </w:r>
    </w:p>
    <w:p w14:paraId="3EFDEBF2" w14:textId="0BF1CA9A" w:rsidR="0021499B" w:rsidRPr="0021499B" w:rsidRDefault="004264DE" w:rsidP="0021499B">
      <w:pPr>
        <w:numPr>
          <w:ilvl w:val="0"/>
          <w:numId w:val="14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projekt musí být realizovaný mimo území hl. m. Prahy, sídlo společnosti může být v Praze</w:t>
      </w:r>
    </w:p>
    <w:p w14:paraId="5E951D29" w14:textId="198C8603" w:rsidR="0021499B" w:rsidRDefault="0021499B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Výše dotace </w:t>
      </w:r>
    </w:p>
    <w:p w14:paraId="5938DF0F" w14:textId="55F61C4F" w:rsidR="004264DE" w:rsidRDefault="004264DE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 xml:space="preserve">Na projekt bude možné získat dotaci v rozmezí </w:t>
      </w:r>
      <w:proofErr w:type="gramStart"/>
      <w:r w:rsidRPr="004264DE">
        <w:rPr>
          <w:rFonts w:eastAsia="Times New Roman" w:cstheme="minorHAnsi"/>
          <w:color w:val="000000" w:themeColor="text1"/>
          <w:lang w:eastAsia="cs-CZ"/>
        </w:rPr>
        <w:t>2 - 100</w:t>
      </w:r>
      <w:proofErr w:type="gramEnd"/>
      <w:r w:rsidRPr="004264DE">
        <w:rPr>
          <w:rFonts w:eastAsia="Times New Roman" w:cstheme="minorHAnsi"/>
          <w:color w:val="000000" w:themeColor="text1"/>
          <w:lang w:eastAsia="cs-CZ"/>
        </w:rPr>
        <w:t xml:space="preserve"> milionů Kč.</w:t>
      </w:r>
    </w:p>
    <w:p w14:paraId="5DA8DC89" w14:textId="52FCD837" w:rsidR="0021499B" w:rsidRDefault="0021499B" w:rsidP="004264DE">
      <w:pPr>
        <w:shd w:val="clear" w:color="auto" w:fill="FFFFFF"/>
        <w:spacing w:after="300" w:line="360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Základní podmínky pro získání dotace </w:t>
      </w:r>
    </w:p>
    <w:p w14:paraId="64BE9561" w14:textId="5E3115C5" w:rsidR="0021499B" w:rsidRP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Klíčová hodnotící kritéria </w:t>
      </w:r>
    </w:p>
    <w:p w14:paraId="0826ACE1" w14:textId="0EF84011" w:rsidR="004264DE" w:rsidRPr="004264DE" w:rsidRDefault="004264DE" w:rsidP="004264DE">
      <w:pPr>
        <w:numPr>
          <w:ilvl w:val="0"/>
          <w:numId w:val="1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vysoký tržní potenciál a uplatnění vyvíjených produktů</w:t>
      </w:r>
    </w:p>
    <w:p w14:paraId="4EC2EE7B" w14:textId="77777777" w:rsidR="004264DE" w:rsidRPr="004264DE" w:rsidRDefault="004264DE" w:rsidP="004264DE">
      <w:pPr>
        <w:numPr>
          <w:ilvl w:val="0"/>
          <w:numId w:val="1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lastRenderedPageBreak/>
        <w:t>technická proveditelnost záměru</w:t>
      </w:r>
    </w:p>
    <w:p w14:paraId="2743CE1C" w14:textId="77777777" w:rsidR="004264DE" w:rsidRPr="004264DE" w:rsidRDefault="004264DE" w:rsidP="004264DE">
      <w:pPr>
        <w:numPr>
          <w:ilvl w:val="0"/>
          <w:numId w:val="1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kvalitní zpracování, podrobnost a odůvodněnost projektového rozpočtu</w:t>
      </w:r>
    </w:p>
    <w:p w14:paraId="6F46D173" w14:textId="77777777" w:rsidR="004264DE" w:rsidRPr="004264DE" w:rsidRDefault="004264DE" w:rsidP="004264DE">
      <w:pPr>
        <w:numPr>
          <w:ilvl w:val="0"/>
          <w:numId w:val="1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stupeň inovace vyvíjených produktů</w:t>
      </w:r>
    </w:p>
    <w:p w14:paraId="0ADE1B59" w14:textId="77777777" w:rsidR="004264DE" w:rsidRPr="004264DE" w:rsidRDefault="004264DE" w:rsidP="004264DE">
      <w:pPr>
        <w:numPr>
          <w:ilvl w:val="0"/>
          <w:numId w:val="1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zkušenosti žadatele s podnikovým výzkumem a personální zabezpečení</w:t>
      </w:r>
    </w:p>
    <w:p w14:paraId="05CBCE79" w14:textId="69F69590" w:rsidR="004264DE" w:rsidRPr="004264DE" w:rsidRDefault="004264DE" w:rsidP="004264DE">
      <w:pPr>
        <w:numPr>
          <w:ilvl w:val="0"/>
          <w:numId w:val="16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proofErr w:type="spellStart"/>
      <w:r w:rsidRPr="004264DE">
        <w:rPr>
          <w:rFonts w:eastAsia="Times New Roman" w:cstheme="minorHAnsi"/>
          <w:color w:val="000000" w:themeColor="text1"/>
          <w:lang w:eastAsia="cs-CZ"/>
        </w:rPr>
        <w:t>VaV</w:t>
      </w:r>
      <w:proofErr w:type="spellEnd"/>
      <w:r w:rsidRPr="004264DE">
        <w:rPr>
          <w:rFonts w:eastAsia="Times New Roman" w:cstheme="minorHAnsi"/>
          <w:color w:val="000000" w:themeColor="text1"/>
          <w:lang w:eastAsia="cs-CZ"/>
        </w:rPr>
        <w:t xml:space="preserve"> spolupráce s dalšími subjekty</w:t>
      </w:r>
    </w:p>
    <w:p w14:paraId="33D4979F" w14:textId="7DC96E39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33967B24" w14:textId="2EFEE66D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03DAAEFB" w14:textId="77777C51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3DE924EA" w14:textId="3439F7A8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2EDEA8EC" w14:textId="2F0324C0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26A5AA60" w14:textId="3C85E96F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785928E1" w14:textId="0F822C9D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0FF633AB" w14:textId="7328D62C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00AD58E3" w14:textId="1537BC88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16486C80" w14:textId="7377273A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3D28D185" w14:textId="61FABDB2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6B4C4275" w14:textId="679E78D0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458DBC92" w14:textId="6988144A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247F4043" w14:textId="40D11AF7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31043A4B" w14:textId="0A3D0A71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62C6578E" w14:textId="6E19DFDD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71AE1618" w14:textId="3E929DD1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19BD2196" w14:textId="07BE35FC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2729CAC2" w14:textId="45A8D048" w:rsid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784B2468" w14:textId="75C0AA35" w:rsidR="0021499B" w:rsidRDefault="0021499B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7B4E99FA" w14:textId="1C1D165D" w:rsidR="0021499B" w:rsidRDefault="0021499B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22EFA190" w14:textId="5E15D87E" w:rsidR="0021499B" w:rsidRDefault="0021499B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071F490C" w14:textId="77777777" w:rsidR="0021499B" w:rsidRDefault="0021499B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78E611DB" w14:textId="77777777" w:rsidR="0021499B" w:rsidRPr="004264DE" w:rsidRDefault="0021499B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2D47E9B5" w14:textId="6614B8C3" w:rsidR="0021499B" w:rsidRPr="00CF23C3" w:rsidRDefault="0021499B" w:rsidP="0021499B">
      <w:pPr>
        <w:shd w:val="clear" w:color="auto" w:fill="FFFFFF"/>
        <w:spacing w:after="300" w:line="360" w:lineRule="atLeast"/>
        <w:jc w:val="center"/>
        <w:textAlignment w:val="baseline"/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lang w:eastAsia="cs-CZ"/>
        </w:rPr>
      </w:pPr>
      <w:r w:rsidRPr="00CF23C3"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lang w:eastAsia="cs-CZ"/>
        </w:rPr>
        <w:lastRenderedPageBreak/>
        <w:t>INOVA</w:t>
      </w:r>
      <w:r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lang w:eastAsia="cs-CZ"/>
        </w:rPr>
        <w:t>ČNÍ VOUCHERY</w:t>
      </w:r>
    </w:p>
    <w:p w14:paraId="4908D1B8" w14:textId="3753DEC9" w:rsidR="004264DE" w:rsidRPr="004264DE" w:rsidRDefault="004264DE" w:rsidP="004264DE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 w:themeColor="text1"/>
          <w:bdr w:val="none" w:sz="0" w:space="0" w:color="auto" w:frame="1"/>
          <w:lang w:eastAsia="cs-CZ"/>
        </w:rPr>
      </w:pPr>
      <w:r w:rsidRPr="004264DE">
        <w:rPr>
          <w:rFonts w:eastAsia="Times New Roman" w:cstheme="minorHAnsi"/>
          <w:color w:val="000000" w:themeColor="text1"/>
          <w:bdr w:val="none" w:sz="0" w:space="0" w:color="auto" w:frame="1"/>
          <w:lang w:eastAsia="cs-CZ"/>
        </w:rPr>
        <w:t>Primárním cílem programu Inovační vouchery je podpořit možnosti nákupu expertních služeb v oblasti inovací, které povedou ke zvýšení odborného know-how podniku a napomohou tak k jeho dalšímu rozvoji. Celkově je pro tento program alokováno 150 mil. Kč.</w:t>
      </w:r>
    </w:p>
    <w:p w14:paraId="27968AEE" w14:textId="77777777" w:rsidR="004264DE" w:rsidRPr="004264DE" w:rsidRDefault="004264DE" w:rsidP="004264DE">
      <w:pPr>
        <w:shd w:val="clear" w:color="auto" w:fill="FFFFFF"/>
        <w:spacing w:after="0" w:line="360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4652"/>
      </w:tblGrid>
      <w:tr w:rsidR="004264DE" w:rsidRPr="004264DE" w14:paraId="3EFC02B0" w14:textId="77777777" w:rsidTr="004264DE"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7262619F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Obor podnikání: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Zpracovatelský průmysl, Věda a výzkum, Jiné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348128A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Výše dotace: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50 tis. - 1 000 000,- Kč</w:t>
            </w:r>
          </w:p>
        </w:tc>
      </w:tr>
      <w:tr w:rsidR="004264DE" w:rsidRPr="004264DE" w14:paraId="5A8F3419" w14:textId="77777777" w:rsidTr="004264DE"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64FFE982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Velikosti podniků: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Malý podnik, Střední podnik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8AE1CAF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Stav výzvy: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Program je v současné době otevřen</w:t>
            </w:r>
          </w:p>
        </w:tc>
      </w:tr>
      <w:tr w:rsidR="004264DE" w:rsidRPr="004264DE" w14:paraId="4EDEFA0D" w14:textId="77777777" w:rsidTr="004264DE">
        <w:tc>
          <w:tcPr>
            <w:tcW w:w="24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300" w:type="dxa"/>
            </w:tcMar>
            <w:hideMark/>
          </w:tcPr>
          <w:p w14:paraId="42CE8AB5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Dotace na: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 nákup expertních služeb v oblasti inovací</w:t>
            </w:r>
          </w:p>
        </w:tc>
        <w:tc>
          <w:tcPr>
            <w:tcW w:w="25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8AC239D" w14:textId="77777777" w:rsidR="004264DE" w:rsidRPr="004264DE" w:rsidRDefault="004264DE" w:rsidP="004264DE">
            <w:pPr>
              <w:spacing w:after="0" w:line="360" w:lineRule="atLeast"/>
              <w:jc w:val="both"/>
              <w:rPr>
                <w:rFonts w:eastAsia="Times New Roman" w:cstheme="minorHAnsi"/>
                <w:color w:val="000000" w:themeColor="text1"/>
                <w:lang w:eastAsia="cs-CZ"/>
              </w:rPr>
            </w:pPr>
            <w:r w:rsidRPr="004264DE">
              <w:rPr>
                <w:rFonts w:eastAsia="Times New Roman" w:cstheme="minorHAnsi"/>
                <w:b/>
                <w:bCs/>
                <w:color w:val="000000" w:themeColor="text1"/>
                <w:bdr w:val="none" w:sz="0" w:space="0" w:color="auto" w:frame="1"/>
                <w:lang w:eastAsia="cs-CZ"/>
              </w:rPr>
              <w:t>Termín pro plné žádosti: </w:t>
            </w:r>
            <w:r w:rsidRPr="004264DE">
              <w:rPr>
                <w:rFonts w:eastAsia="Times New Roman" w:cstheme="minorHAnsi"/>
                <w:color w:val="000000" w:themeColor="text1"/>
                <w:lang w:eastAsia="cs-CZ"/>
              </w:rPr>
              <w:t>od 15. 7. 2020 do 31. 12. 2022</w:t>
            </w:r>
          </w:p>
        </w:tc>
      </w:tr>
    </w:tbl>
    <w:p w14:paraId="53B8AEDD" w14:textId="77777777" w:rsid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</w:p>
    <w:p w14:paraId="3C3C48E0" w14:textId="3C5CEB39" w:rsidR="0021499B" w:rsidRP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Jaké aktivity budou podporovány? </w:t>
      </w:r>
    </w:p>
    <w:p w14:paraId="36460B44" w14:textId="5641FAB8" w:rsidR="004264DE" w:rsidRPr="004264DE" w:rsidRDefault="004264DE" w:rsidP="004264DE">
      <w:pPr>
        <w:numPr>
          <w:ilvl w:val="0"/>
          <w:numId w:val="17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nákup poradenských, expertních a podpůrných služeb v oblasti inovací od organizací pro výzkum a šíření znalostí nebo akreditovaných laboratoří s cílem zahájení či zintenzivnění inovačních aktivit MSP</w:t>
      </w:r>
    </w:p>
    <w:p w14:paraId="382C775A" w14:textId="1D6810E5" w:rsidR="0021499B" w:rsidRP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Na co se vztahuje dotace? </w:t>
      </w:r>
    </w:p>
    <w:p w14:paraId="650317B6" w14:textId="396D7BA0" w:rsidR="004264DE" w:rsidRPr="004264DE" w:rsidRDefault="004264DE" w:rsidP="004264DE">
      <w:pPr>
        <w:numPr>
          <w:ilvl w:val="0"/>
          <w:numId w:val="18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 xml:space="preserve">externí služby poskytované výzkumnou organizací v souvislosti s vývojem nebo zaváděním nového produktu či procesu, optimalizace procesů, metod, parametrů, design nových </w:t>
      </w:r>
      <w:proofErr w:type="gramStart"/>
      <w:r w:rsidRPr="004264DE">
        <w:rPr>
          <w:rFonts w:eastAsia="Times New Roman" w:cstheme="minorHAnsi"/>
          <w:color w:val="000000" w:themeColor="text1"/>
          <w:lang w:eastAsia="cs-CZ"/>
        </w:rPr>
        <w:t>výrobků - průmyslový</w:t>
      </w:r>
      <w:proofErr w:type="gramEnd"/>
      <w:r w:rsidRPr="004264DE">
        <w:rPr>
          <w:rFonts w:eastAsia="Times New Roman" w:cstheme="minorHAnsi"/>
          <w:color w:val="000000" w:themeColor="text1"/>
          <w:lang w:eastAsia="cs-CZ"/>
        </w:rPr>
        <w:t>, produktový, konzultace, poradenství pro inovace, služby v oblasti nákupu a převodu duševního vlastnictví</w:t>
      </w:r>
    </w:p>
    <w:p w14:paraId="37CE47F9" w14:textId="48BEB113" w:rsidR="0021499B" w:rsidRPr="0021499B" w:rsidRDefault="0021499B" w:rsidP="0021499B">
      <w:pPr>
        <w:spacing w:after="150" w:line="336" w:lineRule="atLeast"/>
        <w:jc w:val="both"/>
        <w:textAlignment w:val="baseline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Pro koho je program určen? </w:t>
      </w:r>
    </w:p>
    <w:p w14:paraId="301F9FA6" w14:textId="6F194739" w:rsidR="004264DE" w:rsidRPr="004264DE" w:rsidRDefault="004264DE" w:rsidP="004264DE">
      <w:pPr>
        <w:numPr>
          <w:ilvl w:val="0"/>
          <w:numId w:val="19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podniky a podnikatelská uskupení</w:t>
      </w:r>
    </w:p>
    <w:p w14:paraId="483C6B63" w14:textId="77777777" w:rsidR="004264DE" w:rsidRPr="004264DE" w:rsidRDefault="004264DE" w:rsidP="004264DE">
      <w:pPr>
        <w:numPr>
          <w:ilvl w:val="0"/>
          <w:numId w:val="19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výzkumné organizace</w:t>
      </w:r>
    </w:p>
    <w:p w14:paraId="50F084C3" w14:textId="77777777" w:rsidR="004264DE" w:rsidRPr="004264DE" w:rsidRDefault="004264DE" w:rsidP="004264DE">
      <w:pPr>
        <w:numPr>
          <w:ilvl w:val="0"/>
          <w:numId w:val="19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orgány státní správy a samosprávy</w:t>
      </w:r>
    </w:p>
    <w:p w14:paraId="362217D7" w14:textId="77777777" w:rsidR="004264DE" w:rsidRPr="004264DE" w:rsidRDefault="004264DE" w:rsidP="004264DE">
      <w:pPr>
        <w:numPr>
          <w:ilvl w:val="0"/>
          <w:numId w:val="19"/>
        </w:num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4264DE">
        <w:rPr>
          <w:rFonts w:eastAsia="Times New Roman" w:cstheme="minorHAnsi"/>
          <w:color w:val="000000" w:themeColor="text1"/>
          <w:lang w:eastAsia="cs-CZ"/>
        </w:rPr>
        <w:t>neziskové organizace</w:t>
      </w:r>
    </w:p>
    <w:p w14:paraId="7DAFE03F" w14:textId="5F3AD668" w:rsidR="004264DE" w:rsidRPr="004264DE" w:rsidRDefault="004264DE" w:rsidP="004264DE">
      <w:pPr>
        <w:spacing w:after="150" w:line="336" w:lineRule="atLeast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</w:p>
    <w:p w14:paraId="7F20D4B1" w14:textId="12821E00" w:rsidR="004264DE" w:rsidRDefault="004264DE" w:rsidP="004264DE">
      <w:pPr>
        <w:jc w:val="both"/>
        <w:rPr>
          <w:rFonts w:cstheme="minorHAnsi"/>
          <w:color w:val="000000" w:themeColor="text1"/>
        </w:rPr>
      </w:pPr>
    </w:p>
    <w:p w14:paraId="24C593C8" w14:textId="4AC338D2" w:rsidR="00A732BF" w:rsidRDefault="00A732BF" w:rsidP="004264DE">
      <w:pPr>
        <w:jc w:val="both"/>
        <w:rPr>
          <w:rFonts w:cstheme="minorHAnsi"/>
          <w:color w:val="000000" w:themeColor="text1"/>
        </w:rPr>
      </w:pPr>
    </w:p>
    <w:p w14:paraId="3E67AFF9" w14:textId="2AD6BB93" w:rsidR="00A732BF" w:rsidRDefault="00A732BF" w:rsidP="004264DE">
      <w:pPr>
        <w:jc w:val="both"/>
        <w:rPr>
          <w:rFonts w:cstheme="minorHAnsi"/>
          <w:color w:val="000000" w:themeColor="text1"/>
        </w:rPr>
      </w:pPr>
    </w:p>
    <w:p w14:paraId="789C89F3" w14:textId="1BB2EB71" w:rsidR="004264DE" w:rsidRPr="004264DE" w:rsidRDefault="00A732BF" w:rsidP="004264DE">
      <w:pPr>
        <w:jc w:val="both"/>
        <w:rPr>
          <w:rFonts w:cstheme="minorHAnsi"/>
          <w:color w:val="000000" w:themeColor="text1"/>
        </w:rPr>
      </w:pPr>
      <w:r>
        <w:rPr>
          <w:rStyle w:val="Siln"/>
          <w:rFonts w:cstheme="minorHAnsi"/>
          <w:b w:val="0"/>
          <w:bCs w:val="0"/>
          <w:color w:val="424248"/>
        </w:rPr>
        <w:t xml:space="preserve">Bližší informací naleznete na </w:t>
      </w:r>
      <w:hyperlink r:id="rId6" w:history="1">
        <w:r>
          <w:rPr>
            <w:rStyle w:val="Hypertextovodkaz"/>
            <w:rFonts w:cstheme="minorHAnsi"/>
          </w:rPr>
          <w:t>https://www.mpo.cz/cz/podnikani/dotace-a-podpora-podnikani/oppik-2014-2020/vyzvy-op-pik-2021/</w:t>
        </w:r>
      </w:hyperlink>
    </w:p>
    <w:sectPr w:rsidR="004264DE" w:rsidRPr="00426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BA5"/>
    <w:multiLevelType w:val="multilevel"/>
    <w:tmpl w:val="929A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22F9A"/>
    <w:multiLevelType w:val="multilevel"/>
    <w:tmpl w:val="E208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1040"/>
    <w:multiLevelType w:val="multilevel"/>
    <w:tmpl w:val="2A12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B6761"/>
    <w:multiLevelType w:val="multilevel"/>
    <w:tmpl w:val="9ED4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C483A"/>
    <w:multiLevelType w:val="multilevel"/>
    <w:tmpl w:val="5D6A3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26645"/>
    <w:multiLevelType w:val="multilevel"/>
    <w:tmpl w:val="42E2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962B8"/>
    <w:multiLevelType w:val="multilevel"/>
    <w:tmpl w:val="CD06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25D26"/>
    <w:multiLevelType w:val="multilevel"/>
    <w:tmpl w:val="763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655D8"/>
    <w:multiLevelType w:val="multilevel"/>
    <w:tmpl w:val="3354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1768DD"/>
    <w:multiLevelType w:val="multilevel"/>
    <w:tmpl w:val="763A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D2AE5"/>
    <w:multiLevelType w:val="multilevel"/>
    <w:tmpl w:val="BD54C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3D5BB1"/>
    <w:multiLevelType w:val="multilevel"/>
    <w:tmpl w:val="B26E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F20AC0"/>
    <w:multiLevelType w:val="multilevel"/>
    <w:tmpl w:val="4D3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A4947"/>
    <w:multiLevelType w:val="multilevel"/>
    <w:tmpl w:val="B710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546499"/>
    <w:multiLevelType w:val="multilevel"/>
    <w:tmpl w:val="08DA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452DB"/>
    <w:multiLevelType w:val="multilevel"/>
    <w:tmpl w:val="BAB2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987B6B"/>
    <w:multiLevelType w:val="multilevel"/>
    <w:tmpl w:val="199C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DF2A88"/>
    <w:multiLevelType w:val="multilevel"/>
    <w:tmpl w:val="B952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A39FA"/>
    <w:multiLevelType w:val="multilevel"/>
    <w:tmpl w:val="D4CC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9"/>
  </w:num>
  <w:num w:numId="5">
    <w:abstractNumId w:val="13"/>
  </w:num>
  <w:num w:numId="6">
    <w:abstractNumId w:val="7"/>
  </w:num>
  <w:num w:numId="7">
    <w:abstractNumId w:val="16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18"/>
  </w:num>
  <w:num w:numId="13">
    <w:abstractNumId w:val="4"/>
  </w:num>
  <w:num w:numId="14">
    <w:abstractNumId w:val="1"/>
  </w:num>
  <w:num w:numId="15">
    <w:abstractNumId w:val="11"/>
  </w:num>
  <w:num w:numId="16">
    <w:abstractNumId w:val="8"/>
  </w:num>
  <w:num w:numId="17">
    <w:abstractNumId w:val="12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D5"/>
    <w:rsid w:val="0021499B"/>
    <w:rsid w:val="004264DE"/>
    <w:rsid w:val="008D28CC"/>
    <w:rsid w:val="00A615D5"/>
    <w:rsid w:val="00A732BF"/>
    <w:rsid w:val="00AF7750"/>
    <w:rsid w:val="00CF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C94B"/>
  <w15:chartTrackingRefBased/>
  <w15:docId w15:val="{BEDAE605-E2FC-4617-90BE-3051BE89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61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615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615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15D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615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615D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61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64D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73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613">
          <w:marLeft w:val="0"/>
          <w:marRight w:val="0"/>
          <w:marTop w:val="225"/>
          <w:marBottom w:val="375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7028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617">
          <w:marLeft w:val="0"/>
          <w:marRight w:val="0"/>
          <w:marTop w:val="225"/>
          <w:marBottom w:val="375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3157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744">
          <w:marLeft w:val="0"/>
          <w:marRight w:val="0"/>
          <w:marTop w:val="225"/>
          <w:marBottom w:val="375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5214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960">
          <w:marLeft w:val="0"/>
          <w:marRight w:val="0"/>
          <w:marTop w:val="225"/>
          <w:marBottom w:val="375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5415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po.cz/cz/podnikani/dotace-a-podpora-podnikani/oppik-2014-2020/vyzvy-op-pik-202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AADE-FA42-438F-9D65-67B4FFF5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Stejnarová</dc:creator>
  <cp:keywords/>
  <dc:description/>
  <cp:lastModifiedBy>Šárka Stejnarová</cp:lastModifiedBy>
  <cp:revision>4</cp:revision>
  <dcterms:created xsi:type="dcterms:W3CDTF">2021-08-03T07:30:00Z</dcterms:created>
  <dcterms:modified xsi:type="dcterms:W3CDTF">2021-08-03T08:45:00Z</dcterms:modified>
</cp:coreProperties>
</file>