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B0E4A" w14:textId="77777777" w:rsidR="000D7F26" w:rsidRPr="006320B2" w:rsidRDefault="000D7F26" w:rsidP="000D7F26">
      <w:pPr>
        <w:spacing w:before="120" w:after="24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Zemědělský výhled do roku 2031 a plnění klimatických cílů – zprávy z OECD</w:t>
      </w:r>
    </w:p>
    <w:p w14:paraId="32A010C3" w14:textId="77777777" w:rsidR="000D7F26" w:rsidRPr="000B02D9" w:rsidRDefault="000D7F26" w:rsidP="000D7F26">
      <w:pPr>
        <w:spacing w:after="0" w:line="240" w:lineRule="auto"/>
        <w:jc w:val="both"/>
        <w:rPr>
          <w:rFonts w:ascii="Arial" w:hAnsi="Arial" w:cs="Arial"/>
        </w:rPr>
      </w:pPr>
    </w:p>
    <w:p w14:paraId="41AFE78D" w14:textId="6FEE0611" w:rsidR="000D7F26" w:rsidRPr="00076C3E" w:rsidRDefault="000D7F26" w:rsidP="000D7F26">
      <w:pPr>
        <w:jc w:val="both"/>
        <w:rPr>
          <w:rFonts w:ascii="Arial" w:hAnsi="Arial" w:cs="Arial"/>
          <w:color w:val="000000"/>
          <w:spacing w:val="2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BA1E88A" wp14:editId="4D62BD77">
            <wp:simplePos x="0" y="0"/>
            <wp:positionH relativeFrom="margin">
              <wp:align>right</wp:align>
            </wp:positionH>
            <wp:positionV relativeFrom="paragraph">
              <wp:posOffset>34290</wp:posOffset>
            </wp:positionV>
            <wp:extent cx="1371600" cy="1823720"/>
            <wp:effectExtent l="19050" t="19050" r="19050" b="24130"/>
            <wp:wrapTight wrapText="bothSides">
              <wp:wrapPolygon edited="0">
                <wp:start x="-300" y="-226"/>
                <wp:lineTo x="-300" y="21660"/>
                <wp:lineTo x="21600" y="21660"/>
                <wp:lineTo x="21600" y="-226"/>
                <wp:lineTo x="-300" y="-226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237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6C3E">
        <w:rPr>
          <w:rFonts w:ascii="Arial" w:hAnsi="Arial" w:cs="Arial"/>
          <w:color w:val="000000"/>
          <w:spacing w:val="2"/>
        </w:rPr>
        <w:t xml:space="preserve">Dle projekcí střednědobého zemědělského výhledu OECD a FAO do roku 2031 by mohlo v následující dekádě dojít k nebývalým změnám </w:t>
      </w:r>
      <w:r w:rsidRPr="00273B27">
        <w:rPr>
          <w:rFonts w:ascii="Arial" w:hAnsi="Arial" w:cs="Arial"/>
          <w:color w:val="000000"/>
          <w:spacing w:val="2"/>
        </w:rPr>
        <w:t>ve</w:t>
      </w:r>
      <w:r w:rsidRPr="00076C3E">
        <w:rPr>
          <w:rFonts w:ascii="Arial" w:hAnsi="Arial" w:cs="Arial"/>
          <w:color w:val="000000"/>
          <w:spacing w:val="2"/>
        </w:rPr>
        <w:t xml:space="preserve"> </w:t>
      </w:r>
      <w:r w:rsidR="00273B27">
        <w:rPr>
          <w:rFonts w:ascii="Arial" w:hAnsi="Arial" w:cs="Arial"/>
          <w:color w:val="000000"/>
          <w:spacing w:val="2"/>
        </w:rPr>
        <w:t>spotřebě</w:t>
      </w:r>
      <w:r w:rsidRPr="00076C3E">
        <w:rPr>
          <w:rFonts w:ascii="Arial" w:hAnsi="Arial" w:cs="Arial"/>
          <w:color w:val="000000"/>
          <w:spacing w:val="2"/>
        </w:rPr>
        <w:t xml:space="preserve"> potravin. Několik zemí zavedlo (nebo plánuje zavést) politiky zaměřené na snížení celkové spotřeby kalorií nebo na podporu přechodu ke</w:t>
      </w:r>
      <w:bookmarkStart w:id="0" w:name="_GoBack"/>
      <w:bookmarkEnd w:id="0"/>
      <w:r w:rsidRPr="00076C3E">
        <w:rPr>
          <w:rFonts w:ascii="Arial" w:hAnsi="Arial" w:cs="Arial"/>
          <w:color w:val="000000"/>
          <w:spacing w:val="2"/>
        </w:rPr>
        <w:t xml:space="preserve"> zdravé výživě. Tato opatření zahrnují fiskální nástroje (např. daň z</w:t>
      </w:r>
      <w:r>
        <w:rPr>
          <w:rFonts w:ascii="Arial" w:hAnsi="Arial" w:cs="Arial"/>
          <w:color w:val="000000"/>
          <w:spacing w:val="2"/>
        </w:rPr>
        <w:t> </w:t>
      </w:r>
      <w:r w:rsidRPr="00076C3E">
        <w:rPr>
          <w:rFonts w:ascii="Arial" w:hAnsi="Arial" w:cs="Arial"/>
          <w:color w:val="000000"/>
          <w:spacing w:val="2"/>
        </w:rPr>
        <w:t>cukru</w:t>
      </w:r>
      <w:r>
        <w:rPr>
          <w:rFonts w:ascii="Arial" w:hAnsi="Arial" w:cs="Arial"/>
          <w:color w:val="000000"/>
          <w:spacing w:val="2"/>
        </w:rPr>
        <w:t>/tuku</w:t>
      </w:r>
      <w:r w:rsidRPr="00076C3E">
        <w:rPr>
          <w:rFonts w:ascii="Arial" w:hAnsi="Arial" w:cs="Arial"/>
          <w:color w:val="000000"/>
          <w:spacing w:val="2"/>
        </w:rPr>
        <w:t>), systémy označování, změnu složení výrobků ve spolupráci s výrobci, aktualizované výživové směrnice a vzdělávací programy (např. pro školní stravování). Tyto politiky by mohly ovlivnit celkovou poptávku po potravinách způsobem, který je obtížné předvídat. Uživit rostoucí populaci a zároveň snížit emise skleníkových plynů ze zemědělství (tj. účinně přispět k dosažení SDG 2 "nulový hlad" a zároveň přispět ke zmírnění změny klimatu) vyžaduje trojnásobné zvýšení produktivity zemědělství oproti poslední dekádě. K</w:t>
      </w:r>
      <w:r>
        <w:rPr>
          <w:rFonts w:ascii="Arial" w:hAnsi="Arial" w:cs="Arial"/>
          <w:color w:val="000000"/>
          <w:spacing w:val="2"/>
        </w:rPr>
        <w:t> </w:t>
      </w:r>
      <w:r w:rsidRPr="00076C3E">
        <w:rPr>
          <w:rFonts w:ascii="Arial" w:hAnsi="Arial" w:cs="Arial"/>
          <w:color w:val="000000"/>
          <w:spacing w:val="2"/>
        </w:rPr>
        <w:t xml:space="preserve">tomu je nutné ve velkém měřítku zavést výrobní postupy a technologie šetrné ke klimatu. Ceny sledovaných komodit v reálném vyjádření v období 2020-21 rostly (mj. z důvodu omezení celosvětových dodávek, zvýšených výrobních nákladů v důsledku narušení dodavatelských řetězců, špatné sklizně v důležitých producentských zemích a zpomalení hospodářského růstu). Projekce však po </w:t>
      </w:r>
      <w:r w:rsidR="00E72E11">
        <w:rPr>
          <w:rFonts w:ascii="Arial" w:hAnsi="Arial" w:cs="Arial"/>
          <w:color w:val="000000"/>
          <w:spacing w:val="2"/>
        </w:rPr>
        <w:t>růstu cen</w:t>
      </w:r>
      <w:r w:rsidRPr="00076C3E">
        <w:rPr>
          <w:rFonts w:ascii="Arial" w:hAnsi="Arial" w:cs="Arial"/>
          <w:color w:val="000000"/>
          <w:spacing w:val="2"/>
        </w:rPr>
        <w:t xml:space="preserve"> v hospodářském roce 2022/23 indikují, že ceny zůstanou stejné nebo mírně klesnou a dojde tak k návratu k dlouhodobému klesajícímu trendu. V příštím desetiletí se také předpokládá prudké zpomalení poptávky po biopalivech (růst 4 % ročně v předchozí dekádě klesne na 0,6 % ročně) zejména v důsledku klesající spotřeby paliv a slabších politických pobídek v zemích s vysokými příjmy. </w:t>
      </w:r>
    </w:p>
    <w:p w14:paraId="1452D67B" w14:textId="77777777" w:rsidR="000D7F26" w:rsidRPr="00AE104A" w:rsidRDefault="00372247" w:rsidP="000D7F26">
      <w:pPr>
        <w:autoSpaceDE w:val="0"/>
        <w:autoSpaceDN w:val="0"/>
        <w:adjustRightInd w:val="0"/>
        <w:spacing w:before="120" w:after="0" w:line="240" w:lineRule="auto"/>
        <w:jc w:val="both"/>
        <w:rPr>
          <w:rStyle w:val="Hypertextovodkaz"/>
          <w:sz w:val="20"/>
        </w:rPr>
      </w:pPr>
      <w:hyperlink r:id="rId7" w:history="1">
        <w:r w:rsidR="000D7F26" w:rsidRPr="00AE104A">
          <w:rPr>
            <w:rStyle w:val="Hypertextovodkaz"/>
            <w:rFonts w:ascii="Arial" w:hAnsi="Arial" w:cs="Arial"/>
            <w:sz w:val="20"/>
          </w:rPr>
          <w:t>https://www.oecd-ilibrary.org/agriculture-and-food/oecd-fao-agricultural-outlook-2022-2031_f1b0b29c-en</w:t>
        </w:r>
      </w:hyperlink>
    </w:p>
    <w:p w14:paraId="48FAE062" w14:textId="77777777" w:rsidR="000D7F26" w:rsidRDefault="000D7F26" w:rsidP="000D7F26">
      <w:pPr>
        <w:spacing w:after="0" w:line="240" w:lineRule="auto"/>
        <w:jc w:val="both"/>
        <w:rPr>
          <w:rFonts w:ascii="Arial" w:hAnsi="Arial" w:cs="Arial"/>
        </w:rPr>
      </w:pPr>
    </w:p>
    <w:p w14:paraId="5B7EF62D" w14:textId="77777777" w:rsidR="000D7F26" w:rsidRDefault="000D7F26" w:rsidP="000D7F26">
      <w:pPr>
        <w:spacing w:after="0" w:line="240" w:lineRule="auto"/>
        <w:jc w:val="both"/>
        <w:rPr>
          <w:rFonts w:ascii="Arial" w:hAnsi="Arial" w:cs="Arial"/>
        </w:rPr>
      </w:pPr>
    </w:p>
    <w:p w14:paraId="30B70FBD" w14:textId="77777777" w:rsidR="000D7F26" w:rsidRPr="00287485" w:rsidRDefault="000D7F26" w:rsidP="000D7F26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00B5512" wp14:editId="2DCB8163">
            <wp:simplePos x="0" y="0"/>
            <wp:positionH relativeFrom="margin">
              <wp:posOffset>4533265</wp:posOffset>
            </wp:positionH>
            <wp:positionV relativeFrom="paragraph">
              <wp:posOffset>24765</wp:posOffset>
            </wp:positionV>
            <wp:extent cx="1216025" cy="1726565"/>
            <wp:effectExtent l="19050" t="19050" r="22225" b="26035"/>
            <wp:wrapTight wrapText="bothSides">
              <wp:wrapPolygon edited="0">
                <wp:start x="-338" y="-238"/>
                <wp:lineTo x="-338" y="21687"/>
                <wp:lineTo x="21656" y="21687"/>
                <wp:lineTo x="21656" y="-238"/>
                <wp:lineTo x="-338" y="-238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7265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7485">
        <w:rPr>
          <w:rFonts w:ascii="Arial" w:eastAsia="Times New Roman" w:hAnsi="Arial" w:cs="Arial"/>
          <w:color w:val="000000"/>
          <w:spacing w:val="2"/>
          <w:lang w:eastAsia="cs-CZ"/>
        </w:rPr>
        <w:t xml:space="preserve">Udržet oteplování pod dvěma stupni Celsia po roce 2030 není </w:t>
      </w:r>
      <w:r w:rsidR="00E72E11">
        <w:rPr>
          <w:rFonts w:ascii="Arial" w:eastAsia="Times New Roman" w:hAnsi="Arial" w:cs="Arial"/>
          <w:color w:val="000000"/>
          <w:spacing w:val="2"/>
          <w:lang w:eastAsia="cs-CZ"/>
        </w:rPr>
        <w:t>na základě</w:t>
      </w:r>
      <w:r w:rsidR="00E72E11" w:rsidRPr="00287485">
        <w:rPr>
          <w:rFonts w:ascii="Arial" w:eastAsia="Times New Roman" w:hAnsi="Arial" w:cs="Arial"/>
          <w:color w:val="000000"/>
          <w:spacing w:val="2"/>
          <w:lang w:eastAsia="cs-CZ"/>
        </w:rPr>
        <w:t xml:space="preserve"> </w:t>
      </w:r>
      <w:r w:rsidRPr="00F61212">
        <w:rPr>
          <w:rFonts w:ascii="Arial" w:hAnsi="Arial" w:cs="Arial"/>
          <w:color w:val="000000"/>
          <w:spacing w:val="2"/>
        </w:rPr>
        <w:t xml:space="preserve">dosavadních národních závazků týkajících se redukce emisí skleníkových plynů dosažitelné. Ukazují to dostupné projekce globálních emisí od </w:t>
      </w:r>
      <w:r w:rsidR="00E72E11">
        <w:rPr>
          <w:rFonts w:ascii="Arial" w:hAnsi="Arial" w:cs="Arial"/>
          <w:color w:val="000000"/>
          <w:spacing w:val="2"/>
        </w:rPr>
        <w:t>Mezivládního panelu pro změnu klimatu (</w:t>
      </w:r>
      <w:r w:rsidRPr="00F61212">
        <w:rPr>
          <w:rFonts w:ascii="Arial" w:hAnsi="Arial" w:cs="Arial"/>
          <w:color w:val="000000"/>
          <w:spacing w:val="2"/>
        </w:rPr>
        <w:t>IPCC</w:t>
      </w:r>
      <w:r w:rsidR="00E72E11">
        <w:rPr>
          <w:rFonts w:ascii="Arial" w:hAnsi="Arial" w:cs="Arial"/>
          <w:color w:val="000000"/>
          <w:spacing w:val="2"/>
        </w:rPr>
        <w:t>)</w:t>
      </w:r>
      <w:r w:rsidRPr="00F61212">
        <w:rPr>
          <w:rFonts w:ascii="Arial" w:hAnsi="Arial" w:cs="Arial"/>
          <w:color w:val="000000"/>
          <w:spacing w:val="2"/>
        </w:rPr>
        <w:t>. Dosažení teplotního cíle, který je zakotven v mezinárodní Pařížské dohodě z roku 2015, vyžaduje proto transformaci celé evropské společnosti a ekonomiky. Je nutné ztrojnásobit rychlost přechodu na obnovitelné zdroje energie a výrazné vystupňování klimatických opatření se týká i využívání půdy, lesnictví a zemědělství (LULUCF). EU se zavázala dosáhnout do roku 2050 klimatické neutrality a EK navrhuje, aby zemědělství a lesnictví byly klimaticky neutrální (ukládaly více uhlíku, než kolik budou uvolňovat) už od roku 2035. Tak by byla</w:t>
      </w:r>
      <w:r w:rsidRPr="00287485">
        <w:rPr>
          <w:rFonts w:ascii="Arial" w:eastAsia="Times New Roman" w:hAnsi="Arial" w:cs="Arial"/>
          <w:color w:val="000000"/>
          <w:spacing w:val="2"/>
          <w:lang w:eastAsia="cs-CZ"/>
        </w:rPr>
        <w:t xml:space="preserve"> šance splnit závazky vyplývající z Pařížské dohody. Pro dosažení výše uvedeného teplotního cíle byl zaveden pravidelný mechanismus globálního bilancování společného pokroku a aktualizace národních závazků. Přesto v říjnu 2021</w:t>
      </w:r>
      <w:r w:rsidR="00624639">
        <w:rPr>
          <w:rFonts w:ascii="Arial" w:eastAsia="Times New Roman" w:hAnsi="Arial" w:cs="Arial"/>
          <w:color w:val="000000"/>
          <w:spacing w:val="2"/>
          <w:lang w:eastAsia="cs-CZ"/>
        </w:rPr>
        <w:t xml:space="preserve"> organizace</w:t>
      </w:r>
      <w:r w:rsidRPr="00287485">
        <w:rPr>
          <w:rFonts w:ascii="Arial" w:eastAsia="Times New Roman" w:hAnsi="Arial" w:cs="Arial"/>
          <w:color w:val="000000"/>
          <w:spacing w:val="2"/>
          <w:lang w:eastAsia="cs-CZ"/>
        </w:rPr>
        <w:t xml:space="preserve"> UNDP </w:t>
      </w:r>
      <w:r w:rsidR="00624639">
        <w:rPr>
          <w:rFonts w:ascii="Arial" w:eastAsia="Times New Roman" w:hAnsi="Arial" w:cs="Arial"/>
          <w:color w:val="000000"/>
          <w:spacing w:val="2"/>
          <w:lang w:eastAsia="cs-CZ"/>
        </w:rPr>
        <w:t xml:space="preserve">(Mezinárodní rozvojový program) </w:t>
      </w:r>
      <w:r w:rsidRPr="00287485">
        <w:rPr>
          <w:rFonts w:ascii="Arial" w:eastAsia="Times New Roman" w:hAnsi="Arial" w:cs="Arial"/>
          <w:color w:val="000000"/>
          <w:spacing w:val="2"/>
          <w:lang w:eastAsia="cs-CZ"/>
        </w:rPr>
        <w:t xml:space="preserve">konstatovala, že základní zásady Pařížské dohody </w:t>
      </w:r>
      <w:r w:rsidR="00624639">
        <w:rPr>
          <w:rFonts w:ascii="Arial" w:eastAsia="Times New Roman" w:hAnsi="Arial" w:cs="Arial"/>
          <w:color w:val="000000"/>
          <w:spacing w:val="2"/>
          <w:lang w:eastAsia="cs-CZ"/>
        </w:rPr>
        <w:t xml:space="preserve">týkající se </w:t>
      </w:r>
      <w:r w:rsidRPr="00287485">
        <w:rPr>
          <w:rFonts w:ascii="Arial" w:eastAsia="Times New Roman" w:hAnsi="Arial" w:cs="Arial"/>
          <w:color w:val="000000"/>
          <w:spacing w:val="2"/>
          <w:lang w:eastAsia="cs-CZ"/>
        </w:rPr>
        <w:t>zvyšování národních cílů v</w:t>
      </w:r>
      <w:r w:rsidR="00624639">
        <w:rPr>
          <w:rFonts w:ascii="Arial" w:eastAsia="Times New Roman" w:hAnsi="Arial" w:cs="Arial"/>
          <w:color w:val="000000"/>
          <w:spacing w:val="2"/>
          <w:lang w:eastAsia="cs-CZ"/>
        </w:rPr>
        <w:t> </w:t>
      </w:r>
      <w:r w:rsidRPr="00287485">
        <w:rPr>
          <w:rFonts w:ascii="Arial" w:eastAsia="Times New Roman" w:hAnsi="Arial" w:cs="Arial"/>
          <w:color w:val="000000"/>
          <w:spacing w:val="2"/>
          <w:lang w:eastAsia="cs-CZ"/>
        </w:rPr>
        <w:t>oblasti emisí skleníkových plynů nedodržuje téměř polovina zemí G20. Proto mezinárodní organizace ve svých zprávách analyzují způsoby, jak zajistit náležité uvedení závazků do praxe. Tato zpráva OECD je jednou z nich.</w:t>
      </w:r>
    </w:p>
    <w:p w14:paraId="79E39502" w14:textId="77777777" w:rsidR="000D7F26" w:rsidRPr="00A2456C" w:rsidRDefault="00372247" w:rsidP="000D7F26">
      <w:pPr>
        <w:autoSpaceDE w:val="0"/>
        <w:autoSpaceDN w:val="0"/>
        <w:adjustRightInd w:val="0"/>
        <w:spacing w:before="120" w:after="0" w:line="240" w:lineRule="auto"/>
        <w:jc w:val="both"/>
        <w:rPr>
          <w:rStyle w:val="Hypertextovodkaz"/>
          <w:rFonts w:ascii="Arial" w:hAnsi="Arial" w:cs="Arial"/>
          <w:sz w:val="20"/>
        </w:rPr>
      </w:pPr>
      <w:hyperlink r:id="rId9" w:history="1">
        <w:r w:rsidR="000D7F26" w:rsidRPr="00A2456C">
          <w:rPr>
            <w:rStyle w:val="Hypertextovodkaz"/>
            <w:rFonts w:ascii="Arial" w:hAnsi="Arial" w:cs="Arial"/>
            <w:sz w:val="20"/>
          </w:rPr>
          <w:t>https://www.oecd-ilibrary.org/environment/translating-outputs-to-outcomes-under-the-global-stocktake-of-the-paris-agreement_e06c61f0-en</w:t>
        </w:r>
      </w:hyperlink>
    </w:p>
    <w:p w14:paraId="2AD85547" w14:textId="77777777" w:rsidR="000D7F26" w:rsidRDefault="000D7F26" w:rsidP="000D7F26">
      <w:pPr>
        <w:spacing w:after="0" w:line="240" w:lineRule="auto"/>
        <w:jc w:val="both"/>
        <w:rPr>
          <w:rFonts w:ascii="Arial" w:hAnsi="Arial" w:cs="Arial"/>
        </w:rPr>
      </w:pPr>
    </w:p>
    <w:p w14:paraId="484C5FD5" w14:textId="77777777" w:rsidR="000D7F26" w:rsidRPr="003F7CAF" w:rsidRDefault="000D7F26" w:rsidP="000D7F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Mgr. Radek Stránský</w:t>
      </w:r>
    </w:p>
    <w:p w14:paraId="35053C75" w14:textId="77777777" w:rsidR="000D7F26" w:rsidRPr="003F7CAF" w:rsidRDefault="000D7F26" w:rsidP="000D7F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 xml:space="preserve">Odbor zahraničně obchodní spolupráce, </w:t>
      </w:r>
      <w:proofErr w:type="spellStart"/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MZe</w:t>
      </w:r>
      <w:proofErr w:type="spellEnd"/>
    </w:p>
    <w:p w14:paraId="24ED1252" w14:textId="77777777" w:rsidR="000D7F26" w:rsidRDefault="000D7F26" w:rsidP="000D7F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+420 221 812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 </w:t>
      </w: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310</w:t>
      </w:r>
    </w:p>
    <w:p w14:paraId="35E4A802" w14:textId="77777777" w:rsidR="000D7F26" w:rsidRDefault="000D7F26" w:rsidP="000D7F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200E34DD" w14:textId="77777777" w:rsidR="000D7F26" w:rsidRDefault="000D7F26" w:rsidP="000D7F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5C0EB77C" w14:textId="77777777" w:rsidR="004D3B48" w:rsidRDefault="004D3B48"/>
    <w:sectPr w:rsidR="004D3B48" w:rsidSect="004F7E14">
      <w:headerReference w:type="default" r:id="rId10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1B25A" w14:textId="77777777" w:rsidR="00372247" w:rsidRDefault="00372247" w:rsidP="000D7F26">
      <w:pPr>
        <w:spacing w:after="0" w:line="240" w:lineRule="auto"/>
      </w:pPr>
      <w:r>
        <w:separator/>
      </w:r>
    </w:p>
  </w:endnote>
  <w:endnote w:type="continuationSeparator" w:id="0">
    <w:p w14:paraId="5F3CCEA2" w14:textId="77777777" w:rsidR="00372247" w:rsidRDefault="00372247" w:rsidP="000D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420E8" w14:textId="77777777" w:rsidR="00372247" w:rsidRDefault="00372247" w:rsidP="000D7F26">
      <w:pPr>
        <w:spacing w:after="0" w:line="240" w:lineRule="auto"/>
      </w:pPr>
      <w:r>
        <w:separator/>
      </w:r>
    </w:p>
  </w:footnote>
  <w:footnote w:type="continuationSeparator" w:id="0">
    <w:p w14:paraId="7A6BCC31" w14:textId="77777777" w:rsidR="00372247" w:rsidRDefault="00372247" w:rsidP="000D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3DAE1" w14:textId="77777777" w:rsidR="009D2E73" w:rsidRDefault="00AE052A">
    <w:pPr>
      <w:pStyle w:val="Zhlav"/>
    </w:pPr>
    <w:r>
      <w:tab/>
    </w:r>
    <w:r>
      <w:tab/>
      <w:t>29. 6. 2022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26"/>
    <w:rsid w:val="000D7F26"/>
    <w:rsid w:val="00273B27"/>
    <w:rsid w:val="00372247"/>
    <w:rsid w:val="004D3B48"/>
    <w:rsid w:val="0058775F"/>
    <w:rsid w:val="00624639"/>
    <w:rsid w:val="00AE052A"/>
    <w:rsid w:val="00E72E11"/>
    <w:rsid w:val="00EB3A0E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2D88"/>
  <w15:chartTrackingRefBased/>
  <w15:docId w15:val="{95D0459E-7401-40FE-B467-CC42CB06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7F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7F2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D7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7F26"/>
  </w:style>
  <w:style w:type="paragraph" w:styleId="Zpat">
    <w:name w:val="footer"/>
    <w:basedOn w:val="Normln"/>
    <w:link w:val="ZpatChar"/>
    <w:uiPriority w:val="99"/>
    <w:unhideWhenUsed/>
    <w:rsid w:val="000D7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7F26"/>
  </w:style>
  <w:style w:type="character" w:styleId="Odkaznakoment">
    <w:name w:val="annotation reference"/>
    <w:basedOn w:val="Standardnpsmoodstavce"/>
    <w:uiPriority w:val="99"/>
    <w:semiHidden/>
    <w:unhideWhenUsed/>
    <w:rsid w:val="00E72E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E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E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E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E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oecd-ilibrary.org/agriculture-and-food/oecd-fao-agricultural-outlook-2022-2031_f1b0b29c-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oecd-ilibrary.org/environment/translating-outputs-to-outcomes-under-the-global-stocktake-of-the-paris-agreement_e06c61f0-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Stránský Radek</dc:creator>
  <cp:keywords/>
  <dc:description/>
  <cp:lastModifiedBy>Blinka Roman</cp:lastModifiedBy>
  <cp:revision>2</cp:revision>
  <dcterms:created xsi:type="dcterms:W3CDTF">2022-06-30T10:22:00Z</dcterms:created>
  <dcterms:modified xsi:type="dcterms:W3CDTF">2022-06-30T10:22:00Z</dcterms:modified>
</cp:coreProperties>
</file>