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00AA" w14:textId="77777777" w:rsidR="007A1745" w:rsidRPr="00AF4268" w:rsidRDefault="00D63432" w:rsidP="00EC2C25">
      <w:pPr>
        <w:jc w:val="right"/>
        <w:rPr>
          <w:rFonts w:ascii="Tahoma" w:hAnsi="Tahoma" w:cs="Tahoma"/>
          <w:color w:val="0D1957"/>
          <w:sz w:val="36"/>
          <w:szCs w:val="36"/>
          <w:lang w:val="en-US"/>
        </w:rPr>
      </w:pPr>
      <w:r w:rsidRPr="00AF4268">
        <w:rPr>
          <w:rFonts w:ascii="Tahoma" w:hAnsi="Tahoma" w:cs="Tahoma"/>
          <w:color w:val="0D1957"/>
          <w:sz w:val="36"/>
          <w:szCs w:val="36"/>
          <w:lang w:val="en-US"/>
        </w:rPr>
        <w:t xml:space="preserve">FOR </w:t>
      </w:r>
      <w:r w:rsidR="00242C81" w:rsidRPr="00AF4268">
        <w:rPr>
          <w:rFonts w:ascii="Tahoma" w:hAnsi="Tahoma" w:cs="Tahoma"/>
          <w:color w:val="0D1957"/>
          <w:sz w:val="36"/>
          <w:szCs w:val="36"/>
          <w:lang w:val="en-US"/>
        </w:rPr>
        <w:t xml:space="preserve">INFO </w:t>
      </w:r>
    </w:p>
    <w:p w14:paraId="5F32AB8C" w14:textId="62FA3414" w:rsidR="00AF4268" w:rsidRDefault="00AF4268" w:rsidP="00AF4268">
      <w:pPr>
        <w:tabs>
          <w:tab w:val="left" w:pos="7088"/>
        </w:tabs>
        <w:jc w:val="right"/>
        <w:rPr>
          <w:rFonts w:cs="Arial"/>
          <w:szCs w:val="22"/>
          <w:lang w:val="en-US"/>
        </w:rPr>
      </w:pPr>
      <w:r>
        <w:rPr>
          <w:rFonts w:cs="Arial"/>
          <w:szCs w:val="22"/>
          <w:lang w:val="en-US"/>
        </w:rPr>
        <w:t xml:space="preserve">Brussels, </w:t>
      </w:r>
      <w:r w:rsidR="00DC082D">
        <w:rPr>
          <w:rFonts w:cs="Arial"/>
          <w:szCs w:val="22"/>
          <w:lang w:val="en-US"/>
        </w:rPr>
        <w:t>30</w:t>
      </w:r>
      <w:r>
        <w:rPr>
          <w:rFonts w:cs="Arial"/>
          <w:szCs w:val="22"/>
          <w:lang w:val="en-US"/>
        </w:rPr>
        <w:t xml:space="preserve"> </w:t>
      </w:r>
      <w:r w:rsidR="00DC082D">
        <w:rPr>
          <w:rFonts w:cs="Arial"/>
          <w:szCs w:val="22"/>
          <w:lang w:val="en-US"/>
        </w:rPr>
        <w:t>May</w:t>
      </w:r>
      <w:r>
        <w:rPr>
          <w:rFonts w:cs="Arial"/>
          <w:szCs w:val="22"/>
          <w:lang w:val="en-US"/>
        </w:rPr>
        <w:t xml:space="preserve"> 202</w:t>
      </w:r>
      <w:r w:rsidR="00DC082D">
        <w:rPr>
          <w:rFonts w:cs="Arial"/>
          <w:szCs w:val="22"/>
          <w:lang w:val="en-US"/>
        </w:rPr>
        <w:t>2</w:t>
      </w:r>
    </w:p>
    <w:p w14:paraId="35EC0502" w14:textId="77777777" w:rsidR="00AF4268" w:rsidRDefault="00AF4268" w:rsidP="00AF4268">
      <w:pPr>
        <w:tabs>
          <w:tab w:val="left" w:pos="7088"/>
        </w:tabs>
        <w:jc w:val="right"/>
        <w:rPr>
          <w:rFonts w:cs="Arial"/>
          <w:szCs w:val="22"/>
          <w:lang w:val="en-US"/>
        </w:rPr>
      </w:pPr>
    </w:p>
    <w:p w14:paraId="3A88EDD3" w14:textId="77777777" w:rsidR="00AF4268" w:rsidRDefault="00AF4268" w:rsidP="00AF4268">
      <w:pPr>
        <w:rPr>
          <w:lang w:val="en-US"/>
        </w:rPr>
      </w:pPr>
    </w:p>
    <w:p w14:paraId="749234EF" w14:textId="77777777" w:rsidR="00AF4268" w:rsidRDefault="00AF4268" w:rsidP="00AF4268">
      <w:pPr>
        <w:rPr>
          <w:lang w:val="en-US"/>
        </w:rPr>
      </w:pPr>
    </w:p>
    <w:p w14:paraId="28059F13" w14:textId="77777777" w:rsidR="00AF4268" w:rsidRDefault="00AF4268" w:rsidP="00AF4268">
      <w:pPr>
        <w:rPr>
          <w:lang w:val="en-US"/>
        </w:rPr>
      </w:pPr>
    </w:p>
    <w:p w14:paraId="759D6825" w14:textId="3C14E341" w:rsidR="00AF4268" w:rsidRDefault="00AF4268" w:rsidP="00AF4268">
      <w:pPr>
        <w:spacing w:line="276" w:lineRule="auto"/>
        <w:jc w:val="both"/>
        <w:rPr>
          <w:rFonts w:eastAsia="Times New Roman" w:cs="Arial"/>
          <w:szCs w:val="22"/>
          <w:lang w:val="en-US" w:eastAsia="en-US"/>
        </w:rPr>
      </w:pPr>
      <w:r w:rsidRPr="00AF4268">
        <w:rPr>
          <w:rFonts w:cs="Arial"/>
          <w:b/>
          <w:bCs/>
          <w:color w:val="0D1957"/>
          <w:sz w:val="28"/>
          <w:szCs w:val="28"/>
          <w:lang w:val="en-US"/>
        </w:rPr>
        <w:t>Follow-up on the Draft joint statement of the Member States regarding the presence of Mineral Oil Aromatic Hydrocarbons (MOAH) in food, including food for infants and young children</w:t>
      </w:r>
    </w:p>
    <w:p w14:paraId="32B14542" w14:textId="77777777" w:rsidR="00AF4268" w:rsidRDefault="00AF4268" w:rsidP="00AF4268">
      <w:pPr>
        <w:spacing w:line="276" w:lineRule="auto"/>
        <w:ind w:left="1410" w:hanging="1410"/>
        <w:jc w:val="both"/>
        <w:rPr>
          <w:rFonts w:eastAsia="Times New Roman" w:cs="Arial"/>
          <w:szCs w:val="22"/>
          <w:lang w:val="en-US" w:eastAsia="en-US"/>
        </w:rPr>
      </w:pPr>
    </w:p>
    <w:p w14:paraId="77C6F46E" w14:textId="77777777" w:rsidR="00AF4268" w:rsidRDefault="00AF4268" w:rsidP="00AF4268">
      <w:pPr>
        <w:spacing w:line="276" w:lineRule="auto"/>
        <w:ind w:left="1410" w:hanging="1410"/>
        <w:jc w:val="both"/>
        <w:rPr>
          <w:rFonts w:eastAsia="Times New Roman" w:cs="Arial"/>
          <w:szCs w:val="22"/>
          <w:lang w:val="en-US" w:eastAsia="en-US"/>
        </w:rPr>
      </w:pPr>
    </w:p>
    <w:p w14:paraId="55BACB85" w14:textId="6ED8371B" w:rsidR="00AF4268" w:rsidRDefault="00AF4268" w:rsidP="0024787B">
      <w:pPr>
        <w:spacing w:line="276" w:lineRule="auto"/>
        <w:ind w:left="1410" w:hanging="1410"/>
        <w:jc w:val="both"/>
        <w:rPr>
          <w:rFonts w:eastAsia="Times New Roman" w:cs="Arial"/>
          <w:szCs w:val="22"/>
          <w:lang w:val="en-US" w:eastAsia="en-US"/>
        </w:rPr>
      </w:pPr>
      <w:r>
        <w:rPr>
          <w:rFonts w:eastAsia="Times New Roman" w:cs="Arial"/>
          <w:szCs w:val="22"/>
          <w:lang w:val="en-US" w:eastAsia="en-US"/>
        </w:rPr>
        <w:t>Dear all,</w:t>
      </w:r>
    </w:p>
    <w:p w14:paraId="7A1E7F49" w14:textId="77777777" w:rsidR="00AF4268" w:rsidRDefault="00AF4268" w:rsidP="0024787B">
      <w:pPr>
        <w:spacing w:line="276" w:lineRule="auto"/>
        <w:jc w:val="both"/>
        <w:rPr>
          <w:lang w:val="en-US"/>
        </w:rPr>
      </w:pPr>
    </w:p>
    <w:p w14:paraId="53A48FBB" w14:textId="32E9AF3F" w:rsidR="00AF4268" w:rsidRDefault="00AF4268" w:rsidP="0024787B">
      <w:pPr>
        <w:spacing w:line="276" w:lineRule="auto"/>
        <w:jc w:val="both"/>
        <w:rPr>
          <w:lang w:val="en-US"/>
        </w:rPr>
      </w:pPr>
      <w:r>
        <w:rPr>
          <w:lang w:val="en-US"/>
        </w:rPr>
        <w:t>As follow-up to the updates on mineral oils</w:t>
      </w:r>
      <w:r w:rsidR="0024787B">
        <w:rPr>
          <w:lang w:val="en-US"/>
        </w:rPr>
        <w:t>, including</w:t>
      </w:r>
      <w:r>
        <w:rPr>
          <w:lang w:val="en-US"/>
        </w:rPr>
        <w:t xml:space="preserve"> </w:t>
      </w:r>
      <w:r w:rsidR="0024787B">
        <w:rPr>
          <w:lang w:val="en-US"/>
        </w:rPr>
        <w:t>t</w:t>
      </w:r>
      <w:r w:rsidR="00632AC0">
        <w:rPr>
          <w:lang w:val="en-US"/>
        </w:rPr>
        <w:t xml:space="preserve">he </w:t>
      </w:r>
      <w:proofErr w:type="spellStart"/>
      <w:r w:rsidR="00632AC0">
        <w:rPr>
          <w:lang w:val="en-US"/>
        </w:rPr>
        <w:t>Foodwatch</w:t>
      </w:r>
      <w:proofErr w:type="spellEnd"/>
      <w:r w:rsidR="00632AC0">
        <w:rPr>
          <w:lang w:val="en-US"/>
        </w:rPr>
        <w:t xml:space="preserve"> report</w:t>
      </w:r>
      <w:r w:rsidR="0024787B">
        <w:rPr>
          <w:lang w:val="en-US"/>
        </w:rPr>
        <w:t>,</w:t>
      </w:r>
      <w:r w:rsidR="00632AC0">
        <w:rPr>
          <w:lang w:val="en-US"/>
        </w:rPr>
        <w:t xml:space="preserve"> given </w:t>
      </w:r>
      <w:r>
        <w:rPr>
          <w:lang w:val="en-US"/>
        </w:rPr>
        <w:t xml:space="preserve">in </w:t>
      </w:r>
      <w:r w:rsidRPr="00AF4268">
        <w:rPr>
          <w:b/>
          <w:bCs/>
          <w:lang w:val="en-US"/>
        </w:rPr>
        <w:t>FCP/MINO/005/21</w:t>
      </w:r>
      <w:r>
        <w:rPr>
          <w:lang w:val="en-US"/>
        </w:rPr>
        <w:t xml:space="preserve">, you will be aware of the </w:t>
      </w:r>
      <w:r w:rsidRPr="00AF4268">
        <w:rPr>
          <w:lang w:val="en-US"/>
        </w:rPr>
        <w:t>Draft joint statement of the Member States regarding the presence of Mineral Oil Aromatic Hydrocarbons (MOAH) in food, including food for infants and young children</w:t>
      </w:r>
      <w:r>
        <w:rPr>
          <w:lang w:val="en-US"/>
        </w:rPr>
        <w:t xml:space="preserve"> that was published in the report of the </w:t>
      </w:r>
      <w:proofErr w:type="spellStart"/>
      <w:r>
        <w:rPr>
          <w:lang w:val="en-US"/>
        </w:rPr>
        <w:t>SCoPAFF</w:t>
      </w:r>
      <w:proofErr w:type="spellEnd"/>
      <w:r>
        <w:rPr>
          <w:lang w:val="en-US"/>
        </w:rPr>
        <w:t xml:space="preserve"> of 21 April</w:t>
      </w:r>
      <w:r w:rsidR="00513782">
        <w:rPr>
          <w:lang w:val="en-US"/>
        </w:rPr>
        <w:t xml:space="preserve"> </w:t>
      </w:r>
      <w:r w:rsidR="00513782">
        <w:rPr>
          <w:b/>
          <w:bCs/>
          <w:lang w:val="en-US"/>
        </w:rPr>
        <w:t>(FCP/016/22)</w:t>
      </w:r>
      <w:r w:rsidR="00632AC0">
        <w:rPr>
          <w:lang w:val="en-US"/>
        </w:rPr>
        <w:t xml:space="preserve">. </w:t>
      </w:r>
      <w:proofErr w:type="spellStart"/>
      <w:r w:rsidR="00560CBC">
        <w:rPr>
          <w:lang w:val="en-US"/>
        </w:rPr>
        <w:t>FoodDrinkEurope</w:t>
      </w:r>
      <w:proofErr w:type="spellEnd"/>
      <w:r w:rsidR="00560CBC">
        <w:rPr>
          <w:lang w:val="en-US"/>
        </w:rPr>
        <w:t xml:space="preserve"> had spoken with the Commission beforehand and expressed its concerns in a letter as input to the </w:t>
      </w:r>
      <w:proofErr w:type="spellStart"/>
      <w:r w:rsidR="00560CBC">
        <w:rPr>
          <w:lang w:val="en-US"/>
        </w:rPr>
        <w:t>SCoPAFF</w:t>
      </w:r>
      <w:proofErr w:type="spellEnd"/>
      <w:r w:rsidR="00560CBC">
        <w:rPr>
          <w:lang w:val="en-US"/>
        </w:rPr>
        <w:t xml:space="preserve"> April Meeting; see </w:t>
      </w:r>
      <w:r w:rsidR="0024787B">
        <w:rPr>
          <w:lang w:val="en-US"/>
        </w:rPr>
        <w:t xml:space="preserve">the </w:t>
      </w:r>
      <w:r w:rsidR="00560CBC" w:rsidRPr="00560CBC">
        <w:rPr>
          <w:lang w:val="en-US"/>
        </w:rPr>
        <w:t xml:space="preserve">Final </w:t>
      </w:r>
      <w:proofErr w:type="spellStart"/>
      <w:r w:rsidR="00560CBC" w:rsidRPr="00560CBC">
        <w:rPr>
          <w:lang w:val="en-US"/>
        </w:rPr>
        <w:t>FoodDrinkEurope</w:t>
      </w:r>
      <w:proofErr w:type="spellEnd"/>
      <w:r w:rsidR="00560CBC" w:rsidRPr="00560CBC">
        <w:rPr>
          <w:lang w:val="en-US"/>
        </w:rPr>
        <w:t xml:space="preserve"> letter on Mineral Oils </w:t>
      </w:r>
      <w:r w:rsidR="00560CBC">
        <w:rPr>
          <w:lang w:val="en-US"/>
        </w:rPr>
        <w:t xml:space="preserve">in </w:t>
      </w:r>
      <w:r w:rsidR="00560CBC" w:rsidRPr="00AF4268">
        <w:rPr>
          <w:b/>
          <w:bCs/>
          <w:lang w:val="en-US"/>
        </w:rPr>
        <w:t>FCP/MINO/00</w:t>
      </w:r>
      <w:r w:rsidR="00560CBC">
        <w:rPr>
          <w:b/>
          <w:bCs/>
          <w:lang w:val="en-US"/>
        </w:rPr>
        <w:t>3</w:t>
      </w:r>
      <w:r w:rsidR="00560CBC" w:rsidRPr="00AF4268">
        <w:rPr>
          <w:b/>
          <w:bCs/>
          <w:lang w:val="en-US"/>
        </w:rPr>
        <w:t>/21</w:t>
      </w:r>
      <w:r w:rsidR="00560CBC">
        <w:rPr>
          <w:b/>
          <w:bCs/>
          <w:lang w:val="en-US"/>
        </w:rPr>
        <w:t>.</w:t>
      </w:r>
    </w:p>
    <w:p w14:paraId="13B53048" w14:textId="77777777" w:rsidR="00632AC0" w:rsidRDefault="00632AC0" w:rsidP="0024787B">
      <w:pPr>
        <w:spacing w:line="276" w:lineRule="auto"/>
        <w:jc w:val="both"/>
        <w:rPr>
          <w:lang w:val="en-US"/>
        </w:rPr>
      </w:pPr>
    </w:p>
    <w:p w14:paraId="6620A993" w14:textId="6E39FA50" w:rsidR="00632AC0" w:rsidRPr="00AF4268" w:rsidRDefault="00632AC0" w:rsidP="0024787B">
      <w:pPr>
        <w:spacing w:line="276" w:lineRule="auto"/>
        <w:jc w:val="both"/>
        <w:rPr>
          <w:lang w:val="en-US"/>
        </w:rPr>
      </w:pPr>
      <w:r>
        <w:rPr>
          <w:lang w:val="en-US"/>
        </w:rPr>
        <w:t>See complete statement below:</w:t>
      </w:r>
    </w:p>
    <w:p w14:paraId="258BC4D6" w14:textId="77777777" w:rsidR="00AF4268" w:rsidRDefault="00AF4268" w:rsidP="00AF4268">
      <w:pPr>
        <w:spacing w:line="276" w:lineRule="auto"/>
        <w:jc w:val="both"/>
        <w:rPr>
          <w:lang w:val="en-US"/>
        </w:rPr>
      </w:pPr>
    </w:p>
    <w:p w14:paraId="53DB67BF" w14:textId="77777777" w:rsidR="00632AC0" w:rsidRDefault="00632AC0" w:rsidP="00632AC0">
      <w:pPr>
        <w:pStyle w:val="Default"/>
        <w:rPr>
          <w:sz w:val="16"/>
          <w:szCs w:val="16"/>
        </w:rPr>
      </w:pPr>
      <w:r>
        <w:rPr>
          <w:b/>
          <w:bCs/>
          <w:sz w:val="23"/>
          <w:szCs w:val="23"/>
        </w:rPr>
        <w:t>Draft joint statement of the Member States regarding the presence of Mineral Oil Aromatic Hydrocarbons (MOAH) in food, including food for infants and young children</w:t>
      </w:r>
      <w:r>
        <w:rPr>
          <w:b/>
          <w:bCs/>
          <w:sz w:val="16"/>
          <w:szCs w:val="16"/>
        </w:rPr>
        <w:t xml:space="preserve">2 </w:t>
      </w:r>
    </w:p>
    <w:p w14:paraId="2327F7EF" w14:textId="77777777" w:rsidR="00632AC0" w:rsidRDefault="00632AC0" w:rsidP="00632AC0">
      <w:pPr>
        <w:pStyle w:val="Default"/>
        <w:jc w:val="both"/>
        <w:rPr>
          <w:sz w:val="23"/>
          <w:szCs w:val="23"/>
        </w:rPr>
      </w:pPr>
      <w:r>
        <w:rPr>
          <w:i/>
          <w:iCs/>
          <w:sz w:val="23"/>
          <w:szCs w:val="23"/>
        </w:rPr>
        <w:t xml:space="preserve">Following recent findings of the presence of mineral oil aromatic hydrocarbons (MOAH) in certain foods, the Commission services requested the relevant competent authorities and food business operators to follow-up on the findings and to sample and to analyse the products (stock cubes and other products) which have been found to contain MOAH, to perform investigations on the source of contamination (ingredients, food additives, food contact materials, lubricants and others) and to report on the outcome of the investigations. It is appropriate that Member States and food business operators perform controls on the presence of MOAH in microcrystalline wax (petroleum wax, synthetic paraffin) and its potential migration to food, to confirm whether the use of microcrystalline wax in food contact materials is a source of the contamination of food by MOAH and take, if necessary, measures to prevent the occurrence of MOAH in food. It should also be checked whether microcrystalline wax, used in food contact materials is claimed to be E905 (microcrystalline wax authorised for specific food additive uses) and, if this is the case, whether it complies with the specifications of E905, in particular as regards the presence of benzo[a]pyrene. </w:t>
      </w:r>
    </w:p>
    <w:p w14:paraId="4F5F54BB" w14:textId="77777777" w:rsidR="00632AC0" w:rsidRDefault="00632AC0" w:rsidP="00632AC0">
      <w:pPr>
        <w:pStyle w:val="Default"/>
        <w:jc w:val="both"/>
        <w:rPr>
          <w:sz w:val="23"/>
          <w:szCs w:val="23"/>
        </w:rPr>
      </w:pPr>
      <w:r>
        <w:rPr>
          <w:i/>
          <w:iCs/>
          <w:sz w:val="23"/>
          <w:szCs w:val="23"/>
        </w:rPr>
        <w:t xml:space="preserve">For the sampling and analysis, the JRC has published a “Guidance on </w:t>
      </w:r>
      <w:r>
        <w:rPr>
          <w:sz w:val="23"/>
          <w:szCs w:val="23"/>
        </w:rPr>
        <w:t xml:space="preserve">sampling </w:t>
      </w:r>
      <w:r>
        <w:rPr>
          <w:i/>
          <w:iCs/>
          <w:sz w:val="23"/>
          <w:szCs w:val="23"/>
        </w:rPr>
        <w:t>methods, on the performance criteria for the analytical methods and on the reporting of the analytical results (</w:t>
      </w:r>
      <w:hyperlink r:id="rId7" w:history="1">
        <w:r>
          <w:rPr>
            <w:rStyle w:val="Hypertextovodkaz"/>
            <w:i/>
            <w:iCs/>
            <w:sz w:val="23"/>
            <w:szCs w:val="23"/>
          </w:rPr>
          <w:t>https://publications.jrc.ec.europa.eu/repository/handle/JRC115694</w:t>
        </w:r>
      </w:hyperlink>
      <w:r>
        <w:rPr>
          <w:i/>
          <w:iCs/>
          <w:sz w:val="23"/>
          <w:szCs w:val="23"/>
        </w:rPr>
        <w:t xml:space="preserve">). </w:t>
      </w:r>
    </w:p>
    <w:p w14:paraId="174259A9" w14:textId="77777777" w:rsidR="00632AC0" w:rsidRDefault="00632AC0" w:rsidP="00632AC0">
      <w:pPr>
        <w:pStyle w:val="Default"/>
        <w:jc w:val="both"/>
        <w:rPr>
          <w:sz w:val="23"/>
          <w:szCs w:val="23"/>
        </w:rPr>
      </w:pPr>
      <w:r>
        <w:rPr>
          <w:i/>
          <w:iCs/>
          <w:sz w:val="23"/>
          <w:szCs w:val="23"/>
        </w:rPr>
        <w:lastRenderedPageBreak/>
        <w:t xml:space="preserve">If the quantified presence of MOAH, which are possible genotoxic carcinogens, in food including food for infants and young children is confirmed by an official control, the products concerned should be withdrawn and, if necessary, recalled from the market on the basis of Article 14 of the General Food Law (Regulation (EC) No 178/2002), to ensure a high level of human health protection. In this regard the Member States also stress the responsibilities of food business operators in accordance with Article 19 of the General Food Law. </w:t>
      </w:r>
    </w:p>
    <w:p w14:paraId="6776660F" w14:textId="77777777" w:rsidR="00632AC0" w:rsidRDefault="00632AC0" w:rsidP="00632AC0">
      <w:pPr>
        <w:pStyle w:val="Default"/>
        <w:jc w:val="both"/>
        <w:rPr>
          <w:sz w:val="23"/>
          <w:szCs w:val="23"/>
        </w:rPr>
      </w:pPr>
      <w:r>
        <w:rPr>
          <w:i/>
          <w:iCs/>
          <w:sz w:val="23"/>
          <w:szCs w:val="23"/>
        </w:rPr>
        <w:t xml:space="preserve">In order to ensure a uniform enforcement approach throughout the EU, the Member States agreed to withdraw and, if necessary, to recall products from the market, when the sum of the concentrations of MOAH in food are at or above the following maximum LOQs: </w:t>
      </w:r>
    </w:p>
    <w:p w14:paraId="44363A18" w14:textId="77777777" w:rsidR="00632AC0" w:rsidRDefault="00632AC0" w:rsidP="00632AC0">
      <w:pPr>
        <w:pStyle w:val="Default"/>
        <w:numPr>
          <w:ilvl w:val="0"/>
          <w:numId w:val="5"/>
        </w:numPr>
        <w:spacing w:after="164"/>
        <w:jc w:val="both"/>
        <w:rPr>
          <w:rFonts w:eastAsia="Times New Roman"/>
          <w:sz w:val="23"/>
          <w:szCs w:val="23"/>
        </w:rPr>
      </w:pPr>
      <w:r>
        <w:rPr>
          <w:rFonts w:eastAsia="Times New Roman"/>
          <w:i/>
          <w:iCs/>
          <w:sz w:val="23"/>
          <w:szCs w:val="23"/>
        </w:rPr>
        <w:t xml:space="preserve">0.5 mg/kg for dry foods with a low fat/oil content (≤ 4% fat/oil) </w:t>
      </w:r>
    </w:p>
    <w:p w14:paraId="6F5F9317" w14:textId="77777777" w:rsidR="00632AC0" w:rsidRDefault="00632AC0" w:rsidP="00632AC0">
      <w:pPr>
        <w:pStyle w:val="Default"/>
        <w:numPr>
          <w:ilvl w:val="0"/>
          <w:numId w:val="5"/>
        </w:numPr>
        <w:jc w:val="both"/>
        <w:rPr>
          <w:rFonts w:eastAsia="Times New Roman"/>
          <w:i/>
          <w:iCs/>
          <w:sz w:val="23"/>
          <w:szCs w:val="23"/>
        </w:rPr>
      </w:pPr>
      <w:r>
        <w:rPr>
          <w:rFonts w:eastAsia="Times New Roman"/>
          <w:i/>
          <w:iCs/>
          <w:sz w:val="23"/>
          <w:szCs w:val="23"/>
        </w:rPr>
        <w:t xml:space="preserve">1 mg/kg for foods with a higher fat/oil content (&gt; 4% fat/oil) </w:t>
      </w:r>
    </w:p>
    <w:p w14:paraId="409ADA88" w14:textId="77777777" w:rsidR="00632AC0" w:rsidRDefault="00632AC0" w:rsidP="00632AC0">
      <w:pPr>
        <w:pStyle w:val="Default"/>
        <w:numPr>
          <w:ilvl w:val="0"/>
          <w:numId w:val="5"/>
        </w:numPr>
        <w:jc w:val="both"/>
        <w:rPr>
          <w:rFonts w:eastAsia="Times New Roman"/>
          <w:i/>
          <w:iCs/>
          <w:sz w:val="23"/>
          <w:szCs w:val="23"/>
        </w:rPr>
      </w:pPr>
      <w:r>
        <w:rPr>
          <w:rFonts w:eastAsia="Times New Roman"/>
          <w:i/>
          <w:iCs/>
          <w:sz w:val="23"/>
          <w:szCs w:val="23"/>
        </w:rPr>
        <w:t xml:space="preserve">2 mg/kg for fats/ oils </w:t>
      </w:r>
    </w:p>
    <w:p w14:paraId="0FBE72F1" w14:textId="77777777" w:rsidR="00632AC0" w:rsidRDefault="00632AC0" w:rsidP="00632AC0">
      <w:pPr>
        <w:pStyle w:val="Default"/>
        <w:numPr>
          <w:ilvl w:val="0"/>
          <w:numId w:val="5"/>
        </w:numPr>
        <w:jc w:val="both"/>
        <w:rPr>
          <w:rFonts w:eastAsia="Times New Roman"/>
          <w:i/>
          <w:iCs/>
          <w:sz w:val="23"/>
          <w:szCs w:val="23"/>
        </w:rPr>
      </w:pPr>
    </w:p>
    <w:p w14:paraId="17257D8F" w14:textId="1CD9EA6D" w:rsidR="00AF4268" w:rsidRDefault="00632AC0" w:rsidP="00632AC0">
      <w:pPr>
        <w:pStyle w:val="Default"/>
        <w:jc w:val="both"/>
        <w:rPr>
          <w:i/>
          <w:iCs/>
          <w:sz w:val="23"/>
          <w:szCs w:val="23"/>
        </w:rPr>
      </w:pPr>
      <w:r>
        <w:rPr>
          <w:i/>
          <w:iCs/>
          <w:sz w:val="23"/>
          <w:szCs w:val="23"/>
        </w:rPr>
        <w:t>Analysis and sampling should be done according to the provisions of Regulation (EC) No 333/2007.</w:t>
      </w:r>
    </w:p>
    <w:p w14:paraId="236C9BE4" w14:textId="18A535EC" w:rsidR="00632AC0" w:rsidRDefault="00632AC0" w:rsidP="00632AC0">
      <w:pPr>
        <w:pStyle w:val="Default"/>
        <w:jc w:val="both"/>
        <w:rPr>
          <w:i/>
          <w:iCs/>
          <w:sz w:val="23"/>
          <w:szCs w:val="23"/>
        </w:rPr>
      </w:pPr>
    </w:p>
    <w:p w14:paraId="0EE431D5" w14:textId="77777777" w:rsidR="00513782" w:rsidRDefault="00513782" w:rsidP="0024787B">
      <w:pPr>
        <w:spacing w:line="276" w:lineRule="auto"/>
        <w:jc w:val="both"/>
        <w:rPr>
          <w:lang w:val="en-US"/>
        </w:rPr>
      </w:pPr>
      <w:r>
        <w:rPr>
          <w:lang w:val="en-US"/>
        </w:rPr>
        <w:t>The Subgroup on Mineral oils discussed the issue last 25 May as to gather intelligence on the status.</w:t>
      </w:r>
    </w:p>
    <w:p w14:paraId="638E1E19" w14:textId="2F8A82E5" w:rsidR="00513782" w:rsidRDefault="00513782" w:rsidP="0024787B">
      <w:pPr>
        <w:pStyle w:val="Odstavecseseznamem"/>
        <w:numPr>
          <w:ilvl w:val="0"/>
          <w:numId w:val="6"/>
        </w:numPr>
        <w:spacing w:line="276" w:lineRule="auto"/>
        <w:jc w:val="both"/>
        <w:rPr>
          <w:lang w:val="en-US"/>
        </w:rPr>
      </w:pPr>
      <w:r>
        <w:rPr>
          <w:lang w:val="en-US"/>
        </w:rPr>
        <w:t>T</w:t>
      </w:r>
      <w:r w:rsidRPr="00513782">
        <w:rPr>
          <w:lang w:val="en-US"/>
        </w:rPr>
        <w:t>here is still a lot of unclarity on the statement</w:t>
      </w:r>
      <w:r>
        <w:rPr>
          <w:lang w:val="en-US"/>
        </w:rPr>
        <w:t xml:space="preserve"> and its</w:t>
      </w:r>
      <w:r w:rsidRPr="00513782">
        <w:rPr>
          <w:lang w:val="en-US"/>
        </w:rPr>
        <w:t xml:space="preserve"> scop</w:t>
      </w:r>
      <w:r>
        <w:rPr>
          <w:lang w:val="en-US"/>
        </w:rPr>
        <w:t>e</w:t>
      </w:r>
      <w:r w:rsidR="0024787B">
        <w:rPr>
          <w:lang w:val="en-US"/>
        </w:rPr>
        <w:t>.</w:t>
      </w:r>
    </w:p>
    <w:p w14:paraId="66D520D8" w14:textId="6FCC5E49" w:rsidR="00513782" w:rsidRDefault="00513782" w:rsidP="0024787B">
      <w:pPr>
        <w:pStyle w:val="Odstavecseseznamem"/>
        <w:numPr>
          <w:ilvl w:val="0"/>
          <w:numId w:val="6"/>
        </w:numPr>
        <w:spacing w:line="276" w:lineRule="auto"/>
        <w:jc w:val="both"/>
        <w:rPr>
          <w:lang w:val="en-US"/>
        </w:rPr>
      </w:pPr>
      <w:r>
        <w:rPr>
          <w:lang w:val="en-US"/>
        </w:rPr>
        <w:t>P</w:t>
      </w:r>
      <w:r w:rsidRPr="00513782">
        <w:rPr>
          <w:lang w:val="en-US"/>
        </w:rPr>
        <w:t xml:space="preserve">otential enforcements by Member States, considering </w:t>
      </w:r>
      <w:r w:rsidR="0024787B">
        <w:rPr>
          <w:lang w:val="en-US"/>
        </w:rPr>
        <w:t>the legal status of the draft statement.</w:t>
      </w:r>
    </w:p>
    <w:p w14:paraId="7BDD286C" w14:textId="77777777" w:rsidR="00513782" w:rsidRDefault="00513782" w:rsidP="0024787B">
      <w:pPr>
        <w:pStyle w:val="Odstavecseseznamem"/>
        <w:numPr>
          <w:ilvl w:val="0"/>
          <w:numId w:val="6"/>
        </w:numPr>
        <w:spacing w:line="276" w:lineRule="auto"/>
        <w:jc w:val="both"/>
        <w:rPr>
          <w:lang w:val="en-US"/>
        </w:rPr>
      </w:pPr>
      <w:r>
        <w:rPr>
          <w:lang w:val="en-US"/>
        </w:rPr>
        <w:t>We hear from s</w:t>
      </w:r>
      <w:r w:rsidRPr="00513782">
        <w:rPr>
          <w:lang w:val="en-US"/>
        </w:rPr>
        <w:t xml:space="preserve">ome Member States like Germany </w:t>
      </w:r>
      <w:r>
        <w:rPr>
          <w:lang w:val="en-US"/>
        </w:rPr>
        <w:t>and Belgium that are not yet</w:t>
      </w:r>
      <w:r w:rsidRPr="00513782">
        <w:rPr>
          <w:lang w:val="en-US"/>
        </w:rPr>
        <w:t xml:space="preserve"> acting on it as there has no official communication being issued to the Ministries on this regard.</w:t>
      </w:r>
    </w:p>
    <w:p w14:paraId="69634278" w14:textId="46A265EE" w:rsidR="00513782" w:rsidRDefault="00513782" w:rsidP="0024787B">
      <w:pPr>
        <w:pStyle w:val="Odstavecseseznamem"/>
        <w:numPr>
          <w:ilvl w:val="0"/>
          <w:numId w:val="6"/>
        </w:numPr>
        <w:spacing w:line="276" w:lineRule="auto"/>
        <w:jc w:val="both"/>
        <w:rPr>
          <w:lang w:val="en-US"/>
        </w:rPr>
      </w:pPr>
      <w:r w:rsidRPr="00513782">
        <w:rPr>
          <w:lang w:val="en-US"/>
        </w:rPr>
        <w:t>One big point is that the statement skips the normal procedure to set food control limits, does not wait for the EFSA assessment to be finished, and disregards the different gaps still existing in terms of analytics of mineral oils.</w:t>
      </w:r>
    </w:p>
    <w:p w14:paraId="5F2D4808" w14:textId="744DDFF5" w:rsidR="004B3217" w:rsidRDefault="004B3217" w:rsidP="0024787B">
      <w:pPr>
        <w:pStyle w:val="Odstavecseseznamem"/>
        <w:numPr>
          <w:ilvl w:val="0"/>
          <w:numId w:val="6"/>
        </w:numPr>
        <w:spacing w:line="276" w:lineRule="auto"/>
        <w:jc w:val="both"/>
        <w:rPr>
          <w:lang w:val="en-US"/>
        </w:rPr>
      </w:pPr>
      <w:r>
        <w:rPr>
          <w:lang w:val="en-US"/>
        </w:rPr>
        <w:t xml:space="preserve">The different points of action were discussed among the group and the need to raise the issue before the next </w:t>
      </w:r>
      <w:proofErr w:type="spellStart"/>
      <w:r>
        <w:rPr>
          <w:lang w:val="en-US"/>
        </w:rPr>
        <w:t>SCoPAFF</w:t>
      </w:r>
      <w:proofErr w:type="spellEnd"/>
      <w:r>
        <w:rPr>
          <w:lang w:val="en-US"/>
        </w:rPr>
        <w:t xml:space="preserve"> meeting.</w:t>
      </w:r>
    </w:p>
    <w:p w14:paraId="6A959E8E" w14:textId="1D6631BD" w:rsidR="00560CBC" w:rsidRDefault="00560CBC" w:rsidP="0024787B">
      <w:pPr>
        <w:pStyle w:val="Odstavecseseznamem"/>
        <w:numPr>
          <w:ilvl w:val="0"/>
          <w:numId w:val="6"/>
        </w:numPr>
        <w:spacing w:line="276" w:lineRule="auto"/>
        <w:jc w:val="both"/>
        <w:rPr>
          <w:lang w:val="en-US"/>
        </w:rPr>
      </w:pPr>
      <w:proofErr w:type="spellStart"/>
      <w:r>
        <w:rPr>
          <w:lang w:val="en-US"/>
        </w:rPr>
        <w:t>FoodDrinkEurope</w:t>
      </w:r>
      <w:proofErr w:type="spellEnd"/>
      <w:r>
        <w:rPr>
          <w:lang w:val="en-US"/>
        </w:rPr>
        <w:t xml:space="preserve"> has already exchanged views with FEDIOL in view of a coordinated action.</w:t>
      </w:r>
      <w:r w:rsidR="00EC09FE">
        <w:rPr>
          <w:lang w:val="en-US"/>
        </w:rPr>
        <w:t xml:space="preserve"> </w:t>
      </w:r>
    </w:p>
    <w:p w14:paraId="1FD4F9C4" w14:textId="61CD7E59" w:rsidR="00560CBC" w:rsidRDefault="00DC082D" w:rsidP="0024787B">
      <w:pPr>
        <w:pStyle w:val="Odstavecseseznamem"/>
        <w:numPr>
          <w:ilvl w:val="0"/>
          <w:numId w:val="6"/>
        </w:numPr>
        <w:spacing w:line="276" w:lineRule="auto"/>
        <w:jc w:val="both"/>
        <w:rPr>
          <w:lang w:val="en-US"/>
        </w:rPr>
      </w:pPr>
      <w:r w:rsidRPr="00DC082D">
        <w:rPr>
          <w:b/>
          <w:bCs/>
          <w:lang w:val="en-US"/>
        </w:rPr>
        <w:t>ACTION</w:t>
      </w:r>
      <w:r>
        <w:rPr>
          <w:lang w:val="en-US"/>
        </w:rPr>
        <w:t xml:space="preserve">: </w:t>
      </w:r>
      <w:r w:rsidR="00560CBC">
        <w:rPr>
          <w:lang w:val="en-US"/>
        </w:rPr>
        <w:t xml:space="preserve">A draft document will be circulated to members addressing the concerns </w:t>
      </w:r>
      <w:r w:rsidR="0024787B">
        <w:rPr>
          <w:lang w:val="en-US"/>
        </w:rPr>
        <w:t>discussed by the group.</w:t>
      </w:r>
      <w:r w:rsidR="00560CBC">
        <w:rPr>
          <w:lang w:val="en-US"/>
        </w:rPr>
        <w:t xml:space="preserve"> </w:t>
      </w:r>
      <w:r w:rsidR="0024787B">
        <w:rPr>
          <w:lang w:val="en-US"/>
        </w:rPr>
        <w:t xml:space="preserve">The </w:t>
      </w:r>
      <w:r w:rsidR="00EC09FE">
        <w:rPr>
          <w:lang w:val="en-US"/>
        </w:rPr>
        <w:t xml:space="preserve">finished document will be used for further actions and </w:t>
      </w:r>
      <w:r w:rsidR="00560CBC">
        <w:rPr>
          <w:lang w:val="en-US"/>
        </w:rPr>
        <w:t>can also be used by members to discuss with their MS authorities.</w:t>
      </w:r>
    </w:p>
    <w:p w14:paraId="34E32AAE" w14:textId="1E8BAE22" w:rsidR="00560CBC" w:rsidRDefault="00560CBC" w:rsidP="0024787B">
      <w:pPr>
        <w:pStyle w:val="Odstavecseseznamem"/>
        <w:numPr>
          <w:ilvl w:val="0"/>
          <w:numId w:val="6"/>
        </w:numPr>
        <w:spacing w:line="276" w:lineRule="auto"/>
        <w:jc w:val="both"/>
        <w:rPr>
          <w:lang w:val="en-US"/>
        </w:rPr>
      </w:pPr>
      <w:r>
        <w:rPr>
          <w:lang w:val="en-US"/>
        </w:rPr>
        <w:t xml:space="preserve">Please see list of </w:t>
      </w:r>
      <w:r w:rsidRPr="00560CBC">
        <w:rPr>
          <w:b/>
          <w:bCs/>
          <w:lang w:val="en-US"/>
        </w:rPr>
        <w:t>statements below for reactive purposes only</w:t>
      </w:r>
      <w:r>
        <w:rPr>
          <w:lang w:val="en-US"/>
        </w:rPr>
        <w:t>.</w:t>
      </w:r>
    </w:p>
    <w:p w14:paraId="65EBCC61" w14:textId="77777777" w:rsidR="004B3217" w:rsidRPr="004B3217" w:rsidRDefault="004B3217" w:rsidP="0024787B">
      <w:pPr>
        <w:spacing w:line="276" w:lineRule="auto"/>
        <w:jc w:val="both"/>
        <w:rPr>
          <w:lang w:val="en-US"/>
        </w:rPr>
      </w:pPr>
    </w:p>
    <w:p w14:paraId="6B306087" w14:textId="77777777" w:rsidR="00AF4268" w:rsidRDefault="00AF4268" w:rsidP="0024787B">
      <w:pPr>
        <w:spacing w:line="276" w:lineRule="auto"/>
        <w:jc w:val="both"/>
        <w:rPr>
          <w:lang w:val="en-US"/>
        </w:rPr>
      </w:pPr>
    </w:p>
    <w:p w14:paraId="3516CC25" w14:textId="75070DB8" w:rsidR="004B3217" w:rsidRDefault="004B3217" w:rsidP="0024787B">
      <w:pPr>
        <w:spacing w:line="276" w:lineRule="auto"/>
        <w:jc w:val="both"/>
        <w:rPr>
          <w:lang w:val="en-US"/>
        </w:rPr>
      </w:pPr>
      <w:r>
        <w:rPr>
          <w:b/>
          <w:bCs/>
          <w:color w:val="FF0000"/>
          <w:lang w:val="en-US"/>
        </w:rPr>
        <w:t>ACTION</w:t>
      </w:r>
      <w:r w:rsidR="00AF4268">
        <w:rPr>
          <w:b/>
          <w:bCs/>
          <w:color w:val="FF0000"/>
          <w:lang w:val="en-US"/>
        </w:rPr>
        <w:t>:</w:t>
      </w:r>
      <w:r w:rsidR="00AF4268">
        <w:rPr>
          <w:color w:val="FF0000"/>
          <w:lang w:val="en-US"/>
        </w:rPr>
        <w:t xml:space="preserve"> </w:t>
      </w:r>
    </w:p>
    <w:p w14:paraId="1F666D31" w14:textId="6141DEA2" w:rsidR="00AF4268" w:rsidRDefault="00560CBC" w:rsidP="0024787B">
      <w:pPr>
        <w:spacing w:line="276" w:lineRule="auto"/>
        <w:jc w:val="both"/>
        <w:rPr>
          <w:lang w:val="en-US"/>
        </w:rPr>
      </w:pPr>
      <w:r>
        <w:rPr>
          <w:lang w:val="en-US"/>
        </w:rPr>
        <w:t xml:space="preserve">We kindly ask </w:t>
      </w:r>
      <w:r w:rsidR="00DC082D">
        <w:rPr>
          <w:lang w:val="en-US"/>
        </w:rPr>
        <w:t xml:space="preserve">all national federations and sectors to gather information on respective actions and potential enforcement in your </w:t>
      </w:r>
      <w:r w:rsidR="00EC09FE">
        <w:rPr>
          <w:lang w:val="en-US"/>
        </w:rPr>
        <w:t xml:space="preserve">respective </w:t>
      </w:r>
      <w:r w:rsidR="00DC082D">
        <w:rPr>
          <w:lang w:val="en-US"/>
        </w:rPr>
        <w:t>member states and report back to the Secretariat</w:t>
      </w:r>
      <w:r w:rsidR="00AF4268">
        <w:rPr>
          <w:lang w:val="en-US"/>
        </w:rPr>
        <w:t xml:space="preserve"> (</w:t>
      </w:r>
      <w:hyperlink r:id="rId8" w:history="1">
        <w:r w:rsidRPr="00C75764">
          <w:rPr>
            <w:rStyle w:val="Hypertextovodkaz"/>
            <w:lang w:val="en-US"/>
          </w:rPr>
          <w:t>a.rodarte@fooddrinkeurope.eu</w:t>
        </w:r>
      </w:hyperlink>
      <w:r w:rsidR="00AF4268">
        <w:rPr>
          <w:lang w:val="en-US"/>
        </w:rPr>
        <w:t>)</w:t>
      </w:r>
      <w:r w:rsidR="00DC082D">
        <w:rPr>
          <w:lang w:val="en-US"/>
        </w:rPr>
        <w:t xml:space="preserve">. All information is needed to have the complete picture and be able to coordinate actions and raise the issue to the Commission. </w:t>
      </w:r>
    </w:p>
    <w:p w14:paraId="098B1436" w14:textId="3793050E" w:rsidR="00DC082D" w:rsidRDefault="00DC082D" w:rsidP="00AF4268">
      <w:pPr>
        <w:spacing w:line="276" w:lineRule="auto"/>
        <w:jc w:val="both"/>
        <w:rPr>
          <w:lang w:val="en-US"/>
        </w:rPr>
      </w:pPr>
    </w:p>
    <w:p w14:paraId="1E35AEB9" w14:textId="32D4347F" w:rsidR="00DC082D" w:rsidRDefault="00DC082D" w:rsidP="00AF4268">
      <w:pPr>
        <w:spacing w:line="276" w:lineRule="auto"/>
        <w:jc w:val="both"/>
        <w:rPr>
          <w:lang w:val="en-US"/>
        </w:rPr>
      </w:pPr>
      <w:r>
        <w:rPr>
          <w:lang w:val="en-US"/>
        </w:rPr>
        <w:t>Thank you for your collaboration.</w:t>
      </w:r>
    </w:p>
    <w:p w14:paraId="05057C89" w14:textId="77777777" w:rsidR="00AF4268" w:rsidRDefault="00AF4268" w:rsidP="00AF4268">
      <w:pPr>
        <w:spacing w:line="276" w:lineRule="auto"/>
        <w:jc w:val="both"/>
        <w:rPr>
          <w:lang w:val="en-US"/>
        </w:rPr>
      </w:pPr>
      <w:r>
        <w:rPr>
          <w:lang w:val="en-US"/>
        </w:rPr>
        <w:t>Kind Regards,</w:t>
      </w:r>
    </w:p>
    <w:p w14:paraId="682F3D43" w14:textId="77777777" w:rsidR="00AF4268" w:rsidRDefault="00AF4268" w:rsidP="00AF4268">
      <w:pPr>
        <w:spacing w:line="276" w:lineRule="auto"/>
        <w:jc w:val="both"/>
        <w:rPr>
          <w:lang w:val="en-US"/>
        </w:rPr>
      </w:pPr>
      <w:r>
        <w:rPr>
          <w:lang w:val="en-US"/>
        </w:rPr>
        <w:t>The Secretariat</w:t>
      </w:r>
    </w:p>
    <w:p w14:paraId="774E1E8F" w14:textId="77777777" w:rsidR="00AF4268" w:rsidRDefault="00AF4268" w:rsidP="00AF4268">
      <w:pPr>
        <w:spacing w:line="276" w:lineRule="auto"/>
        <w:jc w:val="both"/>
        <w:rPr>
          <w:lang w:val="en-US"/>
        </w:rPr>
      </w:pPr>
    </w:p>
    <w:p w14:paraId="2717DC49" w14:textId="77777777" w:rsidR="00AF4268" w:rsidRDefault="00AF4268" w:rsidP="00AF4268">
      <w:pPr>
        <w:spacing w:line="276" w:lineRule="auto"/>
        <w:jc w:val="both"/>
        <w:rPr>
          <w:b/>
          <w:bCs/>
          <w:color w:val="FF0000"/>
          <w:u w:val="single"/>
          <w:lang w:val="en-US"/>
        </w:rPr>
      </w:pPr>
      <w:r>
        <w:rPr>
          <w:b/>
          <w:bCs/>
          <w:color w:val="FF0000"/>
          <w:u w:val="single"/>
          <w:lang w:val="en-US"/>
        </w:rPr>
        <w:t xml:space="preserve">FOR REACTIVE PURPOSES ONLY </w:t>
      </w:r>
    </w:p>
    <w:p w14:paraId="596A94A4" w14:textId="77777777" w:rsidR="00AF4268" w:rsidRDefault="00AF4268" w:rsidP="00AF4268">
      <w:pPr>
        <w:spacing w:line="276" w:lineRule="auto"/>
        <w:jc w:val="both"/>
        <w:rPr>
          <w:lang w:val="en-US"/>
        </w:rPr>
      </w:pPr>
    </w:p>
    <w:p w14:paraId="68D5334A" w14:textId="77777777" w:rsidR="00AF4268" w:rsidRDefault="00AF4268" w:rsidP="00AF4268">
      <w:pPr>
        <w:pStyle w:val="Odstavecseseznamem"/>
        <w:numPr>
          <w:ilvl w:val="0"/>
          <w:numId w:val="3"/>
        </w:numPr>
        <w:spacing w:after="120" w:line="276" w:lineRule="auto"/>
        <w:ind w:left="360"/>
        <w:jc w:val="both"/>
        <w:rPr>
          <w:lang w:val="en-US"/>
        </w:rPr>
      </w:pPr>
      <w:proofErr w:type="spellStart"/>
      <w:r>
        <w:rPr>
          <w:lang w:val="en-US"/>
        </w:rPr>
        <w:t>FoodDrinkEurope</w:t>
      </w:r>
      <w:proofErr w:type="spellEnd"/>
      <w:r>
        <w:rPr>
          <w:lang w:val="en-US"/>
        </w:rPr>
        <w:t xml:space="preserve"> members are committed to deliver the highest level of safety for foods.</w:t>
      </w:r>
    </w:p>
    <w:p w14:paraId="561D844F" w14:textId="77777777" w:rsidR="00AF4268" w:rsidRDefault="00AF4268" w:rsidP="00AF4268">
      <w:pPr>
        <w:pStyle w:val="Odstavecseseznamem"/>
        <w:numPr>
          <w:ilvl w:val="0"/>
          <w:numId w:val="3"/>
        </w:numPr>
        <w:spacing w:after="120" w:line="276" w:lineRule="auto"/>
        <w:ind w:left="360"/>
        <w:jc w:val="both"/>
        <w:rPr>
          <w:lang w:val="en-US"/>
        </w:rPr>
      </w:pPr>
      <w:proofErr w:type="spellStart"/>
      <w:r>
        <w:rPr>
          <w:lang w:val="en-US"/>
        </w:rPr>
        <w:t>FoodDrinkEurope</w:t>
      </w:r>
      <w:proofErr w:type="spellEnd"/>
      <w:r>
        <w:rPr>
          <w:lang w:val="en-US"/>
        </w:rPr>
        <w:t xml:space="preserve"> works closely together with all stakeholders in the supply chain, national and European </w:t>
      </w:r>
      <w:proofErr w:type="gramStart"/>
      <w:r>
        <w:rPr>
          <w:lang w:val="en-US"/>
        </w:rPr>
        <w:t>authorities</w:t>
      </w:r>
      <w:proofErr w:type="gramEnd"/>
      <w:r>
        <w:rPr>
          <w:lang w:val="en-US"/>
        </w:rPr>
        <w:t xml:space="preserve"> and related branch </w:t>
      </w:r>
      <w:proofErr w:type="spellStart"/>
      <w:r>
        <w:rPr>
          <w:lang w:val="en-US"/>
        </w:rPr>
        <w:t>organisations</w:t>
      </w:r>
      <w:proofErr w:type="spellEnd"/>
      <w:r>
        <w:rPr>
          <w:lang w:val="en-US"/>
        </w:rPr>
        <w:t xml:space="preserve"> to follow up on this topic as much as possible. </w:t>
      </w:r>
    </w:p>
    <w:p w14:paraId="4569B027" w14:textId="77777777" w:rsidR="00AF4268" w:rsidRDefault="00AF4268" w:rsidP="00AF4268">
      <w:pPr>
        <w:pStyle w:val="Odstavecseseznamem"/>
        <w:numPr>
          <w:ilvl w:val="0"/>
          <w:numId w:val="3"/>
        </w:numPr>
        <w:spacing w:after="120" w:line="276" w:lineRule="auto"/>
        <w:ind w:left="360"/>
        <w:jc w:val="both"/>
        <w:rPr>
          <w:lang w:val="en-US"/>
        </w:rPr>
      </w:pPr>
      <w:r>
        <w:rPr>
          <w:lang w:val="en-US"/>
        </w:rPr>
        <w:t>In 2012, the European Food Safety Authority (EFSA) published a scientific opinion on mineral oil hydrocarbons (MOH) in food. Although, due to insufficient data, no Tolerable Daily Intake (TDI) could be established, it was concluded that the exposure was of potential concern.</w:t>
      </w:r>
    </w:p>
    <w:p w14:paraId="02979FC3" w14:textId="77777777" w:rsidR="00AF4268" w:rsidRDefault="00AF4268" w:rsidP="00AF4268">
      <w:pPr>
        <w:pStyle w:val="Odstavecseseznamem"/>
        <w:numPr>
          <w:ilvl w:val="0"/>
          <w:numId w:val="3"/>
        </w:numPr>
        <w:spacing w:after="120" w:line="276" w:lineRule="auto"/>
        <w:ind w:left="360"/>
        <w:jc w:val="both"/>
        <w:rPr>
          <w:lang w:val="en-US"/>
        </w:rPr>
      </w:pPr>
      <w:r>
        <w:rPr>
          <w:lang w:val="en-US"/>
        </w:rPr>
        <w:t xml:space="preserve">To better understand the presence of MOH in food commodities, the European Commission issued in 2017 a Recommendation for monitoring MOH in food and in materials intended to </w:t>
      </w:r>
      <w:proofErr w:type="gramStart"/>
      <w:r>
        <w:rPr>
          <w:lang w:val="en-US"/>
        </w:rPr>
        <w:t>come into contact with</w:t>
      </w:r>
      <w:proofErr w:type="gramEnd"/>
      <w:r>
        <w:rPr>
          <w:lang w:val="en-US"/>
        </w:rPr>
        <w:t xml:space="preserve"> food. </w:t>
      </w:r>
    </w:p>
    <w:p w14:paraId="0DD8BC48" w14:textId="77777777" w:rsidR="00AF4268" w:rsidRDefault="00AF4268" w:rsidP="00AF4268">
      <w:pPr>
        <w:pStyle w:val="Odstavecseseznamem"/>
        <w:numPr>
          <w:ilvl w:val="0"/>
          <w:numId w:val="3"/>
        </w:numPr>
        <w:spacing w:after="120" w:line="276" w:lineRule="auto"/>
        <w:ind w:left="360"/>
        <w:jc w:val="both"/>
        <w:rPr>
          <w:lang w:val="en-US"/>
        </w:rPr>
      </w:pPr>
      <w:r>
        <w:rPr>
          <w:lang w:val="en-US"/>
        </w:rPr>
        <w:t>Based on the data gathered in the framework of this Commission Recommendation (to which the food industry contributed with occurrence data) EFSA will update its risk assessment on MOH by end of 2022. Then discussions on a possible regulatory follow-up can be started.</w:t>
      </w:r>
    </w:p>
    <w:p w14:paraId="4EBBD1BA" w14:textId="77777777" w:rsidR="00AF4268" w:rsidRDefault="00AF4268" w:rsidP="00AF4268">
      <w:pPr>
        <w:pStyle w:val="Odstavecseseznamem"/>
        <w:numPr>
          <w:ilvl w:val="0"/>
          <w:numId w:val="3"/>
        </w:numPr>
        <w:spacing w:after="120" w:line="276" w:lineRule="auto"/>
        <w:ind w:left="360"/>
        <w:jc w:val="both"/>
        <w:rPr>
          <w:lang w:val="en-US"/>
        </w:rPr>
      </w:pPr>
      <w:r>
        <w:rPr>
          <w:lang w:val="en-US"/>
        </w:rPr>
        <w:t>In parallel, work is still ongoing to ensure the reliability of analytical data in complex matrices. This is crucial to detect contaminations, identify sources, and apply measures throughout the supply chain.</w:t>
      </w:r>
    </w:p>
    <w:p w14:paraId="1669A690" w14:textId="77777777" w:rsidR="00AF4268" w:rsidRDefault="00AF4268" w:rsidP="00AF4268">
      <w:pPr>
        <w:pStyle w:val="Odstavecseseznamem"/>
        <w:numPr>
          <w:ilvl w:val="0"/>
          <w:numId w:val="4"/>
        </w:numPr>
        <w:tabs>
          <w:tab w:val="left" w:pos="7088"/>
        </w:tabs>
        <w:spacing w:after="120" w:line="276" w:lineRule="auto"/>
        <w:ind w:left="283" w:hanging="357"/>
        <w:jc w:val="both"/>
        <w:rPr>
          <w:rFonts w:eastAsia="Times New Roman" w:cs="Arial"/>
          <w:szCs w:val="22"/>
          <w:lang w:val="en-US" w:eastAsia="en-US"/>
        </w:rPr>
      </w:pPr>
      <w:proofErr w:type="spellStart"/>
      <w:r>
        <w:rPr>
          <w:lang w:val="en-US"/>
        </w:rPr>
        <w:t>FoodDrinkEurope</w:t>
      </w:r>
      <w:proofErr w:type="spellEnd"/>
      <w:r>
        <w:rPr>
          <w:lang w:val="en-US"/>
        </w:rPr>
        <w:t xml:space="preserve"> looks forward to continuing working to identify sources of MOH and implement preventive measures throughout the supply chain. </w:t>
      </w:r>
    </w:p>
    <w:p w14:paraId="6E279B8E" w14:textId="77777777" w:rsidR="00AF4268" w:rsidRDefault="00AF4268" w:rsidP="00AF4268">
      <w:pPr>
        <w:pStyle w:val="Odstavecseseznamem"/>
        <w:numPr>
          <w:ilvl w:val="0"/>
          <w:numId w:val="4"/>
        </w:numPr>
        <w:tabs>
          <w:tab w:val="left" w:pos="7088"/>
        </w:tabs>
        <w:spacing w:after="120" w:line="276" w:lineRule="auto"/>
        <w:ind w:left="283" w:hanging="357"/>
        <w:jc w:val="both"/>
        <w:rPr>
          <w:rFonts w:eastAsia="Times New Roman" w:cs="Arial"/>
          <w:szCs w:val="22"/>
          <w:lang w:val="en-US" w:eastAsia="en-US"/>
        </w:rPr>
      </w:pPr>
      <w:r>
        <w:rPr>
          <w:rFonts w:eastAsia="Cambria" w:cs="Arial"/>
          <w:szCs w:val="22"/>
          <w:lang w:val="en-US" w:eastAsia="en-US"/>
        </w:rPr>
        <w:t xml:space="preserve">Industry initiatives like the </w:t>
      </w:r>
      <w:proofErr w:type="spellStart"/>
      <w:r>
        <w:rPr>
          <w:rFonts w:eastAsia="Cambria" w:cs="Arial"/>
          <w:szCs w:val="22"/>
          <w:lang w:val="en-US" w:eastAsia="en-US"/>
        </w:rPr>
        <w:t>FoodDrinkEurope</w:t>
      </w:r>
      <w:proofErr w:type="spellEnd"/>
      <w:r>
        <w:rPr>
          <w:rFonts w:eastAsia="Cambria" w:cs="Arial"/>
          <w:szCs w:val="22"/>
          <w:lang w:val="en-US" w:eastAsia="en-US"/>
        </w:rPr>
        <w:t xml:space="preserve"> </w:t>
      </w:r>
      <w:hyperlink r:id="rId9" w:history="1">
        <w:r>
          <w:rPr>
            <w:rStyle w:val="Hypertextovodkaz"/>
            <w:rFonts w:eastAsia="Cambria" w:cs="Arial"/>
            <w:color w:val="0000FF"/>
            <w:szCs w:val="22"/>
            <w:lang w:val="en-US" w:eastAsia="en-US"/>
          </w:rPr>
          <w:t>2018 toolbox</w:t>
        </w:r>
      </w:hyperlink>
      <w:r>
        <w:rPr>
          <w:rFonts w:eastAsia="Cambria" w:cs="Arial"/>
          <w:color w:val="0000FF"/>
          <w:szCs w:val="22"/>
          <w:u w:val="single"/>
          <w:lang w:val="en-US" w:eastAsia="en-US"/>
        </w:rPr>
        <w:t xml:space="preserve"> </w:t>
      </w:r>
      <w:r>
        <w:rPr>
          <w:rFonts w:eastAsia="Cambria" w:cs="Arial"/>
          <w:szCs w:val="22"/>
          <w:lang w:val="en-US" w:eastAsia="en-US"/>
        </w:rPr>
        <w:t>to help companies prevent the transfer of MOH in food, or Food Federation Germany’s joint recommendation with the food control authorities of the federal states in Germany on the use of “</w:t>
      </w:r>
      <w:hyperlink r:id="rId10" w:history="1">
        <w:r>
          <w:rPr>
            <w:rStyle w:val="Hypertextovodkaz"/>
            <w:rFonts w:eastAsia="Cambria" w:cs="Arial"/>
            <w:color w:val="0000FF"/>
            <w:szCs w:val="22"/>
            <w:lang w:val="en-US" w:eastAsia="en-US"/>
          </w:rPr>
          <w:t>benchmark values</w:t>
        </w:r>
      </w:hyperlink>
      <w:r>
        <w:rPr>
          <w:rFonts w:eastAsia="Cambria" w:cs="Arial"/>
          <w:szCs w:val="22"/>
          <w:lang w:val="en-US" w:eastAsia="en-US"/>
        </w:rPr>
        <w:t>” for contents of MOH represent a years-long and ongoing work to identify sources of MOH and implement preventive measures throughout the supply chain and to ultimately reduce the occurrence of MOH as low as technically feasible.</w:t>
      </w:r>
    </w:p>
    <w:p w14:paraId="00878E1A" w14:textId="77777777" w:rsidR="00AF4268" w:rsidRPr="00632AC0" w:rsidRDefault="00AF4268" w:rsidP="00AF4268">
      <w:pPr>
        <w:pStyle w:val="Odstavecseseznamem"/>
        <w:numPr>
          <w:ilvl w:val="0"/>
          <w:numId w:val="4"/>
        </w:numPr>
        <w:tabs>
          <w:tab w:val="left" w:pos="7088"/>
        </w:tabs>
        <w:spacing w:after="120" w:line="276" w:lineRule="auto"/>
        <w:ind w:left="283" w:hanging="357"/>
        <w:jc w:val="both"/>
        <w:rPr>
          <w:rFonts w:eastAsia="Times New Roman" w:cs="Arial"/>
          <w:color w:val="000000" w:themeColor="text1"/>
          <w:szCs w:val="22"/>
          <w:lang w:val="en-US" w:eastAsia="en-US"/>
        </w:rPr>
      </w:pPr>
      <w:r w:rsidRPr="00632AC0">
        <w:rPr>
          <w:color w:val="000000" w:themeColor="text1"/>
          <w:lang w:val="en-US"/>
        </w:rPr>
        <w:t xml:space="preserve">The food industry takes the problem of inputs of undesirable mineral oil hydrocarbons in food very seriously, and any individual measurement results reported by </w:t>
      </w:r>
      <w:proofErr w:type="spellStart"/>
      <w:r w:rsidRPr="00632AC0">
        <w:rPr>
          <w:color w:val="000000" w:themeColor="text1"/>
          <w:lang w:val="en-US"/>
        </w:rPr>
        <w:t>organisations</w:t>
      </w:r>
      <w:proofErr w:type="spellEnd"/>
      <w:r w:rsidRPr="00632AC0">
        <w:rPr>
          <w:color w:val="000000" w:themeColor="text1"/>
          <w:lang w:val="en-US"/>
        </w:rPr>
        <w:t xml:space="preserve"> and institutions must be taken seriously and be checked </w:t>
      </w:r>
      <w:proofErr w:type="gramStart"/>
      <w:r w:rsidRPr="00632AC0">
        <w:rPr>
          <w:color w:val="000000" w:themeColor="text1"/>
          <w:lang w:val="en-US"/>
        </w:rPr>
        <w:t>in regard to</w:t>
      </w:r>
      <w:proofErr w:type="gramEnd"/>
      <w:r w:rsidRPr="00632AC0">
        <w:rPr>
          <w:color w:val="000000" w:themeColor="text1"/>
          <w:lang w:val="en-US"/>
        </w:rPr>
        <w:t xml:space="preserve"> analytics and sources of contamination. </w:t>
      </w:r>
    </w:p>
    <w:p w14:paraId="6B632421" w14:textId="77777777" w:rsidR="00AF4268" w:rsidRPr="00632AC0" w:rsidRDefault="00AF4268" w:rsidP="00AF4268">
      <w:pPr>
        <w:pStyle w:val="Odstavecseseznamem"/>
        <w:numPr>
          <w:ilvl w:val="0"/>
          <w:numId w:val="4"/>
        </w:numPr>
        <w:tabs>
          <w:tab w:val="left" w:pos="7088"/>
        </w:tabs>
        <w:spacing w:after="120" w:line="276" w:lineRule="auto"/>
        <w:ind w:left="283" w:hanging="357"/>
        <w:jc w:val="both"/>
        <w:rPr>
          <w:rFonts w:eastAsia="Times New Roman" w:cs="Arial"/>
          <w:color w:val="000000" w:themeColor="text1"/>
          <w:szCs w:val="22"/>
          <w:lang w:val="en-US" w:eastAsia="en-US"/>
        </w:rPr>
      </w:pPr>
      <w:r w:rsidRPr="00632AC0">
        <w:rPr>
          <w:rFonts w:eastAsia="Times New Roman" w:cs="Arial"/>
          <w:color w:val="000000" w:themeColor="text1"/>
          <w:szCs w:val="22"/>
          <w:lang w:val="en-US" w:eastAsia="en-US"/>
        </w:rPr>
        <w:t>We want to reiterate that companies are committed to identify the sources of MOH and minimize them. Risk management measures are only justified if it is scientifically proven that there is a food safety problem: risk assessors and managers need to examine the overall exposure independently of the sources and whether the final product poses a health risk for consumers. Considering all potential sources of possible contamination of MOH, unilateral intervention at one possible source does little to solve the problem but creates much burden.</w:t>
      </w:r>
    </w:p>
    <w:p w14:paraId="4F171518" w14:textId="0A179DA2" w:rsidR="00AF4268" w:rsidRPr="00DC082D" w:rsidRDefault="00AF4268" w:rsidP="00AC4153">
      <w:pPr>
        <w:pStyle w:val="Odstavecseseznamem"/>
        <w:numPr>
          <w:ilvl w:val="0"/>
          <w:numId w:val="4"/>
        </w:numPr>
        <w:tabs>
          <w:tab w:val="left" w:pos="7088"/>
        </w:tabs>
        <w:spacing w:after="120" w:line="276" w:lineRule="auto"/>
        <w:ind w:left="284" w:hanging="357"/>
        <w:jc w:val="both"/>
        <w:rPr>
          <w:rFonts w:eastAsia="Times New Roman" w:cs="Arial"/>
          <w:szCs w:val="22"/>
          <w:lang w:val="en-US" w:eastAsia="en-US"/>
        </w:rPr>
      </w:pPr>
      <w:r w:rsidRPr="00DC082D">
        <w:rPr>
          <w:color w:val="000000" w:themeColor="text1"/>
          <w:lang w:val="en-US"/>
        </w:rPr>
        <w:t xml:space="preserve">Thus, thorough investigations should be taken for each incident to elucidate if there </w:t>
      </w:r>
      <w:proofErr w:type="gramStart"/>
      <w:r w:rsidRPr="00DC082D">
        <w:rPr>
          <w:color w:val="000000" w:themeColor="text1"/>
          <w:lang w:val="en-US"/>
        </w:rPr>
        <w:t>is</w:t>
      </w:r>
      <w:proofErr w:type="gramEnd"/>
      <w:r w:rsidRPr="00DC082D">
        <w:rPr>
          <w:color w:val="000000" w:themeColor="text1"/>
          <w:lang w:val="en-US"/>
        </w:rPr>
        <w:t xml:space="preserve"> an acute food safety problem that would justify risk management measures. Nevertheless, and in general, there is no acute food safety problem based on normal consumption habits.</w:t>
      </w:r>
    </w:p>
    <w:p w14:paraId="47070AAC" w14:textId="77777777" w:rsidR="00DC082D" w:rsidRPr="00DC082D" w:rsidRDefault="00DC082D" w:rsidP="00DC082D">
      <w:pPr>
        <w:tabs>
          <w:tab w:val="left" w:pos="7088"/>
        </w:tabs>
        <w:spacing w:after="120" w:line="276" w:lineRule="auto"/>
        <w:ind w:left="-73"/>
        <w:jc w:val="both"/>
        <w:rPr>
          <w:rFonts w:eastAsia="Times New Roman" w:cs="Arial"/>
          <w:szCs w:val="22"/>
          <w:lang w:val="en-US" w:eastAsia="en-US"/>
        </w:rPr>
      </w:pPr>
    </w:p>
    <w:sectPr w:rsidR="00DC082D" w:rsidRPr="00DC082D" w:rsidSect="00CF405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B00C" w14:textId="77777777" w:rsidR="004B3217" w:rsidRDefault="004B3217" w:rsidP="004B3217">
      <w:r>
        <w:separator/>
      </w:r>
    </w:p>
  </w:endnote>
  <w:endnote w:type="continuationSeparator" w:id="0">
    <w:p w14:paraId="0ADCDE3B" w14:textId="77777777" w:rsidR="004B3217" w:rsidRDefault="004B3217" w:rsidP="004B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6E7C" w14:textId="77777777" w:rsidR="00CF405E" w:rsidRDefault="00CF40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0FEE" w14:textId="58EB2157" w:rsidR="004B3217" w:rsidRPr="00CF405E" w:rsidRDefault="00CF405E" w:rsidP="00CF405E">
    <w:pPr>
      <w:pStyle w:val="Zpat"/>
      <w:jc w:val="right"/>
      <w:rPr>
        <w:rFonts w:cs="Arial"/>
        <w:color w:val="333399"/>
        <w:sz w:val="18"/>
      </w:rPr>
    </w:pPr>
    <w:r w:rsidRPr="00CF405E">
      <w:rPr>
        <w:rFonts w:cs="Arial"/>
        <w:color w:val="333399"/>
        <w:sz w:val="18"/>
      </w:rPr>
      <w:fldChar w:fldCharType="begin"/>
    </w:r>
    <w:r w:rsidRPr="00CF405E">
      <w:rPr>
        <w:rFonts w:cs="Arial"/>
        <w:color w:val="333399"/>
        <w:sz w:val="18"/>
      </w:rPr>
      <w:instrText xml:space="preserve"> PAGE \* MERGEFORMAT </w:instrText>
    </w:r>
    <w:r w:rsidRPr="00CF405E">
      <w:rPr>
        <w:rFonts w:cs="Arial"/>
        <w:color w:val="333399"/>
        <w:sz w:val="18"/>
      </w:rPr>
      <w:fldChar w:fldCharType="separate"/>
    </w:r>
    <w:r w:rsidRPr="00CF405E">
      <w:rPr>
        <w:rFonts w:cs="Arial"/>
        <w:noProof/>
        <w:color w:val="333399"/>
        <w:sz w:val="18"/>
      </w:rPr>
      <w:t>2</w:t>
    </w:r>
    <w:r w:rsidRPr="00CF405E">
      <w:rPr>
        <w:rFonts w:cs="Arial"/>
        <w:color w:val="333399"/>
        <w:sz w:val="18"/>
      </w:rPr>
      <w:fldChar w:fldCharType="end"/>
    </w:r>
    <w:r w:rsidRPr="00CF405E">
      <w:rPr>
        <w:rFonts w:cs="Arial"/>
        <w:color w:val="333399"/>
        <w:sz w:val="18"/>
      </w:rPr>
      <w:t>/</w:t>
    </w:r>
    <w:r w:rsidRPr="00CF405E">
      <w:rPr>
        <w:rFonts w:cs="Arial"/>
        <w:color w:val="333399"/>
        <w:sz w:val="18"/>
      </w:rPr>
      <w:fldChar w:fldCharType="begin"/>
    </w:r>
    <w:r w:rsidRPr="00CF405E">
      <w:rPr>
        <w:rFonts w:cs="Arial"/>
        <w:color w:val="333399"/>
        <w:sz w:val="18"/>
      </w:rPr>
      <w:instrText xml:space="preserve"> NUMPAGES \* MERGEFORMAT </w:instrText>
    </w:r>
    <w:r w:rsidRPr="00CF405E">
      <w:rPr>
        <w:rFonts w:cs="Arial"/>
        <w:color w:val="333399"/>
        <w:sz w:val="18"/>
      </w:rPr>
      <w:fldChar w:fldCharType="separate"/>
    </w:r>
    <w:r w:rsidRPr="00CF405E">
      <w:rPr>
        <w:rFonts w:cs="Arial"/>
        <w:noProof/>
        <w:color w:val="333399"/>
        <w:sz w:val="18"/>
      </w:rPr>
      <w:t>3</w:t>
    </w:r>
    <w:r w:rsidRPr="00CF405E">
      <w:rPr>
        <w:rFonts w:cs="Arial"/>
        <w:color w:val="333399"/>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C9D9" w14:textId="77777777" w:rsidR="00CF405E" w:rsidRPr="00CF405E" w:rsidRDefault="00CF405E" w:rsidP="00CF405E">
    <w:pPr>
      <w:pStyle w:val="Zpat"/>
      <w:rPr>
        <w:rFonts w:cs="Arial"/>
        <w:color w:val="333399"/>
        <w:sz w:val="18"/>
      </w:rPr>
    </w:pPr>
    <w:r w:rsidRPr="00CF405E">
      <w:rPr>
        <w:rFonts w:cs="Arial"/>
        <w:color w:val="333399"/>
        <w:sz w:val="18"/>
      </w:rPr>
      <w:t xml:space="preserve">Avenue des Nerviens 9-31 - 1040 Brussels - BELGIUM - Tel. +32 2 514 11 11 </w:t>
    </w:r>
  </w:p>
  <w:p w14:paraId="293BDBE3" w14:textId="77777777" w:rsidR="00CF405E" w:rsidRPr="00CF405E" w:rsidRDefault="00CF405E" w:rsidP="00CF405E">
    <w:pPr>
      <w:pStyle w:val="Zpat"/>
      <w:rPr>
        <w:rFonts w:cs="Arial"/>
        <w:color w:val="333399"/>
        <w:sz w:val="18"/>
      </w:rPr>
    </w:pPr>
    <w:r w:rsidRPr="00CF405E">
      <w:rPr>
        <w:rFonts w:cs="Arial"/>
        <w:color w:val="333399"/>
        <w:sz w:val="18"/>
      </w:rPr>
      <w:t xml:space="preserve">info@fooddrinkeurope.eu - www.fooddrinkeurope.eu - ETI </w:t>
    </w:r>
    <w:proofErr w:type="spellStart"/>
    <w:r w:rsidRPr="00CF405E">
      <w:rPr>
        <w:rFonts w:cs="Arial"/>
        <w:color w:val="333399"/>
        <w:sz w:val="18"/>
      </w:rPr>
      <w:t>Register</w:t>
    </w:r>
    <w:proofErr w:type="spellEnd"/>
    <w:r w:rsidRPr="00CF405E">
      <w:rPr>
        <w:rFonts w:cs="Arial"/>
        <w:color w:val="333399"/>
        <w:sz w:val="18"/>
      </w:rPr>
      <w:t xml:space="preserve"> 75818824519-45</w:t>
    </w:r>
  </w:p>
  <w:p w14:paraId="14851EED" w14:textId="786F6CA0" w:rsidR="004B3217" w:rsidRPr="00CF405E" w:rsidRDefault="00CF405E" w:rsidP="00CF405E">
    <w:pPr>
      <w:pStyle w:val="Zpat"/>
      <w:rPr>
        <w:rFonts w:cs="Arial"/>
        <w:color w:val="333399"/>
        <w:sz w:val="18"/>
      </w:rPr>
    </w:pPr>
    <w:r w:rsidRPr="00CF405E">
      <w:rPr>
        <w:rFonts w:cs="Arial"/>
        <w:color w:val="333399"/>
        <w:sz w:val="18"/>
      </w:rPr>
      <w:t xml:space="preserve">Copyright </w:t>
    </w:r>
    <w:proofErr w:type="spellStart"/>
    <w:r w:rsidRPr="00CF405E">
      <w:rPr>
        <w:rFonts w:cs="Arial"/>
        <w:color w:val="333399"/>
        <w:sz w:val="18"/>
      </w:rPr>
      <w:t>FoodDrinkEurope</w:t>
    </w:r>
    <w:proofErr w:type="spellEnd"/>
    <w:r w:rsidRPr="00CF405E">
      <w:rPr>
        <w:rFonts w:cs="Arial"/>
        <w:color w:val="333399"/>
        <w:sz w:val="18"/>
      </w:rPr>
      <w:t xml:space="preserve"> </w:t>
    </w:r>
    <w:proofErr w:type="spellStart"/>
    <w:proofErr w:type="gramStart"/>
    <w:r w:rsidRPr="00CF405E">
      <w:rPr>
        <w:rFonts w:cs="Arial"/>
        <w:color w:val="333399"/>
        <w:sz w:val="18"/>
      </w:rPr>
      <w:t>aisbl</w:t>
    </w:r>
    <w:proofErr w:type="spellEnd"/>
    <w:r w:rsidRPr="00CF405E">
      <w:rPr>
        <w:rFonts w:cs="Arial"/>
        <w:color w:val="333399"/>
        <w:sz w:val="18"/>
      </w:rPr>
      <w:t>;</w:t>
    </w:r>
    <w:proofErr w:type="gramEnd"/>
    <w:r w:rsidRPr="00CF405E">
      <w:rPr>
        <w:rFonts w:cs="Arial"/>
        <w:color w:val="333399"/>
        <w:sz w:val="18"/>
      </w:rPr>
      <w:t xml:space="preserve"> </w:t>
    </w:r>
    <w:proofErr w:type="spellStart"/>
    <w:r w:rsidRPr="00CF405E">
      <w:rPr>
        <w:rFonts w:cs="Arial"/>
        <w:color w:val="333399"/>
        <w:sz w:val="18"/>
      </w:rPr>
      <w:t>photocopying</w:t>
    </w:r>
    <w:proofErr w:type="spellEnd"/>
    <w:r w:rsidRPr="00CF405E">
      <w:rPr>
        <w:rFonts w:cs="Arial"/>
        <w:color w:val="333399"/>
        <w:sz w:val="18"/>
      </w:rPr>
      <w:t xml:space="preserve"> or </w:t>
    </w:r>
    <w:proofErr w:type="spellStart"/>
    <w:r w:rsidRPr="00CF405E">
      <w:rPr>
        <w:rFonts w:cs="Arial"/>
        <w:color w:val="333399"/>
        <w:sz w:val="18"/>
      </w:rPr>
      <w:t>electronic</w:t>
    </w:r>
    <w:proofErr w:type="spellEnd"/>
    <w:r w:rsidRPr="00CF405E">
      <w:rPr>
        <w:rFonts w:cs="Arial"/>
        <w:color w:val="333399"/>
        <w:sz w:val="18"/>
      </w:rPr>
      <w:t xml:space="preserve"> </w:t>
    </w:r>
    <w:proofErr w:type="spellStart"/>
    <w:r w:rsidRPr="00CF405E">
      <w:rPr>
        <w:rFonts w:cs="Arial"/>
        <w:color w:val="333399"/>
        <w:sz w:val="18"/>
      </w:rPr>
      <w:t>copying</w:t>
    </w:r>
    <w:proofErr w:type="spellEnd"/>
    <w:r w:rsidRPr="00CF405E">
      <w:rPr>
        <w:rFonts w:cs="Arial"/>
        <w:color w:val="333399"/>
        <w:sz w:val="18"/>
      </w:rPr>
      <w:t xml:space="preserve"> </w:t>
    </w:r>
    <w:proofErr w:type="spellStart"/>
    <w:r w:rsidRPr="00CF405E">
      <w:rPr>
        <w:rFonts w:cs="Arial"/>
        <w:color w:val="333399"/>
        <w:sz w:val="18"/>
      </w:rPr>
      <w:t>is</w:t>
    </w:r>
    <w:proofErr w:type="spellEnd"/>
    <w:r w:rsidRPr="00CF405E">
      <w:rPr>
        <w:rFonts w:cs="Arial"/>
        <w:color w:val="333399"/>
        <w:sz w:val="18"/>
      </w:rPr>
      <w:t xml:space="preserve"> </w:t>
    </w:r>
    <w:proofErr w:type="spellStart"/>
    <w:r w:rsidRPr="00CF405E">
      <w:rPr>
        <w:rFonts w:cs="Arial"/>
        <w:color w:val="333399"/>
        <w:sz w:val="18"/>
      </w:rPr>
      <w:t>illegal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AB41" w14:textId="77777777" w:rsidR="004B3217" w:rsidRDefault="004B3217" w:rsidP="004B3217">
      <w:r>
        <w:separator/>
      </w:r>
    </w:p>
  </w:footnote>
  <w:footnote w:type="continuationSeparator" w:id="0">
    <w:p w14:paraId="60C66885" w14:textId="77777777" w:rsidR="004B3217" w:rsidRDefault="004B3217" w:rsidP="004B3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86D1" w14:textId="77777777" w:rsidR="00CF405E" w:rsidRDefault="00CF40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gridCol w:w="2376"/>
    </w:tblGrid>
    <w:tr w:rsidR="00CF405E" w:rsidRPr="00CF405E" w14:paraId="05D5FB3F" w14:textId="77777777" w:rsidTr="00CF405E">
      <w:tc>
        <w:tcPr>
          <w:tcW w:w="4531" w:type="dxa"/>
          <w:shd w:val="clear" w:color="auto" w:fill="auto"/>
        </w:tcPr>
        <w:p w14:paraId="14F72082" w14:textId="10B1FE3E" w:rsidR="00CF405E" w:rsidRPr="00CF405E" w:rsidRDefault="00CF405E" w:rsidP="00CF405E">
          <w:pPr>
            <w:pStyle w:val="Zhlav"/>
            <w:jc w:val="right"/>
            <w:rPr>
              <w:rFonts w:cs="Arial"/>
              <w:sz w:val="18"/>
            </w:rPr>
          </w:pPr>
          <w:r w:rsidRPr="00CF405E">
            <w:rPr>
              <w:rFonts w:cs="Arial"/>
              <w:noProof/>
              <w:sz w:val="18"/>
            </w:rPr>
            <w:drawing>
              <wp:inline distT="0" distB="0" distL="0" distR="0" wp14:anchorId="17735755" wp14:editId="377663EA">
                <wp:extent cx="4114800" cy="8477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114800" cy="847725"/>
                        </a:xfrm>
                        <a:prstGeom prst="rect">
                          <a:avLst/>
                        </a:prstGeom>
                      </pic:spPr>
                    </pic:pic>
                  </a:graphicData>
                </a:graphic>
              </wp:inline>
            </w:drawing>
          </w:r>
        </w:p>
      </w:tc>
      <w:tc>
        <w:tcPr>
          <w:tcW w:w="4531" w:type="dxa"/>
          <w:shd w:val="clear" w:color="auto" w:fill="auto"/>
        </w:tcPr>
        <w:p w14:paraId="681156DD" w14:textId="77777777" w:rsidR="00CF405E" w:rsidRPr="00CF405E" w:rsidRDefault="00CF405E" w:rsidP="00CF405E">
          <w:pPr>
            <w:pStyle w:val="Zhlav"/>
            <w:jc w:val="right"/>
            <w:rPr>
              <w:rFonts w:cs="Arial"/>
              <w:sz w:val="18"/>
            </w:rPr>
          </w:pPr>
        </w:p>
        <w:p w14:paraId="7E2D0790" w14:textId="77777777" w:rsidR="00CF405E" w:rsidRPr="00CF405E" w:rsidRDefault="00CF405E" w:rsidP="00CF405E">
          <w:pPr>
            <w:pStyle w:val="Zhlav"/>
            <w:jc w:val="right"/>
            <w:rPr>
              <w:rFonts w:cs="Arial"/>
              <w:sz w:val="18"/>
            </w:rPr>
          </w:pPr>
        </w:p>
        <w:p w14:paraId="67A6D212" w14:textId="2088206B" w:rsidR="00CF405E" w:rsidRPr="00CF405E" w:rsidRDefault="00CF405E" w:rsidP="00CF405E">
          <w:pPr>
            <w:pStyle w:val="Zhlav"/>
            <w:jc w:val="right"/>
            <w:rPr>
              <w:rFonts w:cs="Arial"/>
              <w:sz w:val="18"/>
            </w:rPr>
          </w:pPr>
          <w:r w:rsidRPr="00CF405E">
            <w:rPr>
              <w:rFonts w:cs="Arial"/>
              <w:sz w:val="18"/>
            </w:rPr>
            <w:t>FCP/MINO/004/22E</w:t>
          </w:r>
        </w:p>
      </w:tc>
    </w:tr>
  </w:tbl>
  <w:p w14:paraId="2EB830E9" w14:textId="77777777" w:rsidR="004B3217" w:rsidRPr="00CF405E" w:rsidRDefault="004B3217" w:rsidP="00CF405E">
    <w:pPr>
      <w:pStyle w:val="Zhlav"/>
      <w:jc w:val="right"/>
      <w:rPr>
        <w:rFonts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gridCol w:w="2376"/>
    </w:tblGrid>
    <w:tr w:rsidR="00CF405E" w:rsidRPr="00CF405E" w14:paraId="1B5048A9" w14:textId="77777777" w:rsidTr="00CF405E">
      <w:tc>
        <w:tcPr>
          <w:tcW w:w="4531" w:type="dxa"/>
          <w:shd w:val="clear" w:color="auto" w:fill="auto"/>
        </w:tcPr>
        <w:p w14:paraId="5F02E4F1" w14:textId="10B05D89" w:rsidR="00CF405E" w:rsidRPr="00CF405E" w:rsidRDefault="00CF405E" w:rsidP="00CF405E">
          <w:pPr>
            <w:pStyle w:val="Zhlav"/>
            <w:jc w:val="right"/>
            <w:rPr>
              <w:rFonts w:cs="Arial"/>
              <w:sz w:val="18"/>
            </w:rPr>
          </w:pPr>
          <w:r w:rsidRPr="00CF405E">
            <w:rPr>
              <w:rFonts w:cs="Arial"/>
              <w:noProof/>
              <w:sz w:val="18"/>
            </w:rPr>
            <w:drawing>
              <wp:inline distT="0" distB="0" distL="0" distR="0" wp14:anchorId="5900FE1A" wp14:editId="43FED834">
                <wp:extent cx="4114800" cy="16859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14800" cy="1685925"/>
                        </a:xfrm>
                        <a:prstGeom prst="rect">
                          <a:avLst/>
                        </a:prstGeom>
                      </pic:spPr>
                    </pic:pic>
                  </a:graphicData>
                </a:graphic>
              </wp:inline>
            </w:drawing>
          </w:r>
        </w:p>
      </w:tc>
      <w:tc>
        <w:tcPr>
          <w:tcW w:w="4531" w:type="dxa"/>
          <w:shd w:val="clear" w:color="auto" w:fill="auto"/>
        </w:tcPr>
        <w:p w14:paraId="337BB900" w14:textId="77777777" w:rsidR="00CF405E" w:rsidRPr="00CF405E" w:rsidRDefault="00CF405E" w:rsidP="00CF405E">
          <w:pPr>
            <w:pStyle w:val="Zhlav"/>
            <w:jc w:val="right"/>
            <w:rPr>
              <w:rFonts w:cs="Arial"/>
              <w:sz w:val="18"/>
            </w:rPr>
          </w:pPr>
        </w:p>
        <w:p w14:paraId="22CF93E2" w14:textId="77777777" w:rsidR="00CF405E" w:rsidRPr="00CF405E" w:rsidRDefault="00CF405E" w:rsidP="00CF405E">
          <w:pPr>
            <w:pStyle w:val="Zhlav"/>
            <w:jc w:val="right"/>
            <w:rPr>
              <w:rFonts w:cs="Arial"/>
              <w:sz w:val="18"/>
            </w:rPr>
          </w:pPr>
        </w:p>
        <w:p w14:paraId="0D15E073" w14:textId="1068FCA0" w:rsidR="00CF405E" w:rsidRPr="00CF405E" w:rsidRDefault="00CF405E" w:rsidP="00CF405E">
          <w:pPr>
            <w:pStyle w:val="Zhlav"/>
            <w:jc w:val="right"/>
            <w:rPr>
              <w:rFonts w:cs="Arial"/>
              <w:sz w:val="18"/>
            </w:rPr>
          </w:pPr>
          <w:r w:rsidRPr="00CF405E">
            <w:rPr>
              <w:rFonts w:cs="Arial"/>
              <w:sz w:val="18"/>
            </w:rPr>
            <w:t>FCP/MINO/004/22E</w:t>
          </w:r>
        </w:p>
      </w:tc>
    </w:tr>
  </w:tbl>
  <w:p w14:paraId="50116A34" w14:textId="77777777" w:rsidR="004B3217" w:rsidRPr="00CF405E" w:rsidRDefault="004B3217" w:rsidP="00CF405E">
    <w:pPr>
      <w:pStyle w:val="Zhlav"/>
      <w:jc w:val="right"/>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23A"/>
    <w:multiLevelType w:val="hybridMultilevel"/>
    <w:tmpl w:val="2F88FA32"/>
    <w:lvl w:ilvl="0" w:tplc="36C82664">
      <w:start w:val="1"/>
      <w:numFmt w:val="decimal"/>
      <w:pStyle w:val="Nadpis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E9B21B4"/>
    <w:multiLevelType w:val="hybridMultilevel"/>
    <w:tmpl w:val="49B65114"/>
    <w:lvl w:ilvl="0" w:tplc="5044B6AA">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FD81A22"/>
    <w:multiLevelType w:val="hybridMultilevel"/>
    <w:tmpl w:val="71DC84F4"/>
    <w:lvl w:ilvl="0" w:tplc="B06E20A8">
      <w:start w:val="1"/>
      <w:numFmt w:val="bullet"/>
      <w:lvlText w:val=""/>
      <w:lvlJc w:val="left"/>
      <w:pPr>
        <w:ind w:left="720" w:hanging="360"/>
      </w:pPr>
      <w:rPr>
        <w:rFonts w:ascii="Symbol" w:hAnsi="Symbol" w:hint="default"/>
        <w:color w:val="000000" w:themeColor="text1"/>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60AA23B5"/>
    <w:multiLevelType w:val="hybridMultilevel"/>
    <w:tmpl w:val="EAB49CA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70815A69"/>
    <w:multiLevelType w:val="hybridMultilevel"/>
    <w:tmpl w:val="5642A9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7AA4272C"/>
    <w:multiLevelType w:val="hybridMultilevel"/>
    <w:tmpl w:val="18E4675A"/>
    <w:lvl w:ilvl="0" w:tplc="D73CAB2A">
      <w:numFmt w:val="bullet"/>
      <w:lvlText w:val="-"/>
      <w:lvlJc w:val="left"/>
      <w:pPr>
        <w:ind w:left="720" w:hanging="360"/>
      </w:pPr>
      <w:rPr>
        <w:rFonts w:ascii="Arial" w:eastAsia="Calibr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25"/>
    <w:rsid w:val="00162965"/>
    <w:rsid w:val="00242C81"/>
    <w:rsid w:val="0024787B"/>
    <w:rsid w:val="00286747"/>
    <w:rsid w:val="002D7C69"/>
    <w:rsid w:val="004B3217"/>
    <w:rsid w:val="00513782"/>
    <w:rsid w:val="00560CBC"/>
    <w:rsid w:val="00632AC0"/>
    <w:rsid w:val="00753BA4"/>
    <w:rsid w:val="007A1745"/>
    <w:rsid w:val="00826C08"/>
    <w:rsid w:val="009B0B91"/>
    <w:rsid w:val="009B6E5B"/>
    <w:rsid w:val="00AF4268"/>
    <w:rsid w:val="00B772D4"/>
    <w:rsid w:val="00BF1FD6"/>
    <w:rsid w:val="00CF405E"/>
    <w:rsid w:val="00D63432"/>
    <w:rsid w:val="00DC082D"/>
    <w:rsid w:val="00E7365A"/>
    <w:rsid w:val="00EC09FE"/>
    <w:rsid w:val="00EC2C25"/>
    <w:rsid w:val="00EC5ADF"/>
    <w:rsid w:val="00F216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46E2"/>
  <w15:chartTrackingRefBased/>
  <w15:docId w15:val="{A6357EB2-16C8-49AC-B39F-8A82043E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69D"/>
    <w:rPr>
      <w:sz w:val="22"/>
    </w:rPr>
  </w:style>
  <w:style w:type="paragraph" w:styleId="Nadpis1">
    <w:name w:val="heading 1"/>
    <w:basedOn w:val="Normln"/>
    <w:next w:val="Normln"/>
    <w:link w:val="Nadpis1Char"/>
    <w:uiPriority w:val="9"/>
    <w:qFormat/>
    <w:rsid w:val="00E7365A"/>
    <w:pPr>
      <w:keepNext/>
      <w:outlineLvl w:val="0"/>
    </w:pPr>
    <w:rPr>
      <w:rFonts w:eastAsia="Times New Roman"/>
      <w:b/>
      <w:bCs/>
      <w:color w:val="0D1957"/>
      <w:kern w:val="32"/>
      <w:sz w:val="28"/>
      <w:szCs w:val="32"/>
    </w:rPr>
  </w:style>
  <w:style w:type="paragraph" w:styleId="Nadpis2">
    <w:name w:val="heading 2"/>
    <w:basedOn w:val="Normln"/>
    <w:next w:val="Normln"/>
    <w:link w:val="Nadpis2Char"/>
    <w:uiPriority w:val="9"/>
    <w:unhideWhenUsed/>
    <w:qFormat/>
    <w:rsid w:val="00E7365A"/>
    <w:pPr>
      <w:keepNext/>
      <w:numPr>
        <w:numId w:val="1"/>
      </w:numPr>
      <w:ind w:left="360"/>
      <w:outlineLvl w:val="1"/>
    </w:pPr>
    <w:rPr>
      <w:rFonts w:eastAsia="Times New Roman"/>
      <w:b/>
      <w:bCs/>
      <w:iCs/>
      <w:color w:val="005A24"/>
      <w:sz w:val="24"/>
      <w:szCs w:val="28"/>
    </w:rPr>
  </w:style>
  <w:style w:type="paragraph" w:styleId="Nadpis3">
    <w:name w:val="heading 3"/>
    <w:aliases w:val="Conclusion"/>
    <w:basedOn w:val="Normln"/>
    <w:next w:val="Normln"/>
    <w:link w:val="Nadpis3Char"/>
    <w:uiPriority w:val="9"/>
    <w:unhideWhenUsed/>
    <w:qFormat/>
    <w:rsid w:val="00E7365A"/>
    <w:pPr>
      <w:keepNext/>
      <w:framePr w:wrap="around" w:vAnchor="text" w:hAnchor="text" w:y="1"/>
      <w:pBdr>
        <w:top w:val="single" w:sz="24" w:space="4" w:color="0D1957"/>
        <w:left w:val="single" w:sz="24" w:space="4" w:color="0D1957"/>
        <w:bottom w:val="single" w:sz="24" w:space="4" w:color="0D1957"/>
        <w:right w:val="single" w:sz="24" w:space="4" w:color="0D1957"/>
      </w:pBdr>
      <w:outlineLvl w:val="2"/>
    </w:pPr>
    <w:rPr>
      <w:rFonts w:eastAsia="Times New Roman"/>
      <w:b/>
      <w:bCs/>
      <w:color w:val="0D1957"/>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7365A"/>
    <w:rPr>
      <w:rFonts w:eastAsia="Times New Roman"/>
      <w:b/>
      <w:bCs/>
      <w:color w:val="0D1957"/>
      <w:kern w:val="32"/>
      <w:sz w:val="28"/>
      <w:szCs w:val="32"/>
    </w:rPr>
  </w:style>
  <w:style w:type="character" w:customStyle="1" w:styleId="Nadpis2Char">
    <w:name w:val="Nadpis 2 Char"/>
    <w:link w:val="Nadpis2"/>
    <w:uiPriority w:val="9"/>
    <w:rsid w:val="00E7365A"/>
    <w:rPr>
      <w:rFonts w:eastAsia="Times New Roman"/>
      <w:b/>
      <w:bCs/>
      <w:iCs/>
      <w:color w:val="005A24"/>
      <w:sz w:val="24"/>
      <w:szCs w:val="28"/>
    </w:rPr>
  </w:style>
  <w:style w:type="character" w:customStyle="1" w:styleId="Nadpis3Char">
    <w:name w:val="Nadpis 3 Char"/>
    <w:aliases w:val="Conclusion Char"/>
    <w:link w:val="Nadpis3"/>
    <w:uiPriority w:val="9"/>
    <w:rsid w:val="00E7365A"/>
    <w:rPr>
      <w:rFonts w:eastAsia="Times New Roman"/>
      <w:b/>
      <w:bCs/>
      <w:color w:val="0D1957"/>
      <w:sz w:val="22"/>
      <w:szCs w:val="26"/>
    </w:rPr>
  </w:style>
  <w:style w:type="character" w:styleId="Hypertextovodkaz">
    <w:name w:val="Hyperlink"/>
    <w:basedOn w:val="Standardnpsmoodstavce"/>
    <w:uiPriority w:val="99"/>
    <w:unhideWhenUsed/>
    <w:rsid w:val="00AF4268"/>
    <w:rPr>
      <w:color w:val="0563C1" w:themeColor="hyperlink"/>
      <w:u w:val="single"/>
    </w:rPr>
  </w:style>
  <w:style w:type="paragraph" w:styleId="Odstavecseseznamem">
    <w:name w:val="List Paragraph"/>
    <w:basedOn w:val="Normln"/>
    <w:uiPriority w:val="34"/>
    <w:qFormat/>
    <w:rsid w:val="00AF4268"/>
    <w:pPr>
      <w:ind w:left="720"/>
      <w:contextualSpacing/>
    </w:pPr>
  </w:style>
  <w:style w:type="paragraph" w:customStyle="1" w:styleId="Default">
    <w:name w:val="Default"/>
    <w:basedOn w:val="Normln"/>
    <w:rsid w:val="00632AC0"/>
    <w:pPr>
      <w:autoSpaceDE w:val="0"/>
      <w:autoSpaceDN w:val="0"/>
    </w:pPr>
    <w:rPr>
      <w:rFonts w:ascii="Times New Roman" w:eastAsiaTheme="minorHAnsi" w:hAnsi="Times New Roman"/>
      <w:color w:val="000000"/>
      <w:sz w:val="24"/>
      <w:szCs w:val="24"/>
      <w:lang/>
    </w:rPr>
  </w:style>
  <w:style w:type="paragraph" w:styleId="Zhlav">
    <w:name w:val="header"/>
    <w:basedOn w:val="Normln"/>
    <w:link w:val="ZhlavChar"/>
    <w:uiPriority w:val="99"/>
    <w:unhideWhenUsed/>
    <w:rsid w:val="004B3217"/>
    <w:pPr>
      <w:tabs>
        <w:tab w:val="center" w:pos="4513"/>
        <w:tab w:val="right" w:pos="9026"/>
      </w:tabs>
    </w:pPr>
  </w:style>
  <w:style w:type="character" w:customStyle="1" w:styleId="ZhlavChar">
    <w:name w:val="Záhlaví Char"/>
    <w:basedOn w:val="Standardnpsmoodstavce"/>
    <w:link w:val="Zhlav"/>
    <w:uiPriority w:val="99"/>
    <w:rsid w:val="004B3217"/>
    <w:rPr>
      <w:sz w:val="22"/>
    </w:rPr>
  </w:style>
  <w:style w:type="paragraph" w:styleId="Zpat">
    <w:name w:val="footer"/>
    <w:basedOn w:val="Normln"/>
    <w:link w:val="ZpatChar"/>
    <w:uiPriority w:val="99"/>
    <w:unhideWhenUsed/>
    <w:rsid w:val="004B3217"/>
    <w:pPr>
      <w:tabs>
        <w:tab w:val="center" w:pos="4513"/>
        <w:tab w:val="right" w:pos="9026"/>
      </w:tabs>
    </w:pPr>
  </w:style>
  <w:style w:type="character" w:customStyle="1" w:styleId="ZpatChar">
    <w:name w:val="Zápatí Char"/>
    <w:basedOn w:val="Standardnpsmoodstavce"/>
    <w:link w:val="Zpat"/>
    <w:uiPriority w:val="99"/>
    <w:rsid w:val="004B3217"/>
    <w:rPr>
      <w:sz w:val="22"/>
    </w:rPr>
  </w:style>
  <w:style w:type="table" w:styleId="Mkatabulky">
    <w:name w:val="Table Grid"/>
    <w:basedOn w:val="Normlntabulka"/>
    <w:uiPriority w:val="59"/>
    <w:rsid w:val="004B3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60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84387">
      <w:bodyDiv w:val="1"/>
      <w:marLeft w:val="0"/>
      <w:marRight w:val="0"/>
      <w:marTop w:val="0"/>
      <w:marBottom w:val="0"/>
      <w:divBdr>
        <w:top w:val="none" w:sz="0" w:space="0" w:color="auto"/>
        <w:left w:val="none" w:sz="0" w:space="0" w:color="auto"/>
        <w:bottom w:val="none" w:sz="0" w:space="0" w:color="auto"/>
        <w:right w:val="none" w:sz="0" w:space="0" w:color="auto"/>
      </w:divBdr>
    </w:div>
    <w:div w:id="1081751279">
      <w:bodyDiv w:val="1"/>
      <w:marLeft w:val="0"/>
      <w:marRight w:val="0"/>
      <w:marTop w:val="0"/>
      <w:marBottom w:val="0"/>
      <w:divBdr>
        <w:top w:val="none" w:sz="0" w:space="0" w:color="auto"/>
        <w:left w:val="none" w:sz="0" w:space="0" w:color="auto"/>
        <w:bottom w:val="none" w:sz="0" w:space="0" w:color="auto"/>
        <w:right w:val="none" w:sz="0" w:space="0" w:color="auto"/>
      </w:divBdr>
    </w:div>
    <w:div w:id="1378432783">
      <w:bodyDiv w:val="1"/>
      <w:marLeft w:val="0"/>
      <w:marRight w:val="0"/>
      <w:marTop w:val="0"/>
      <w:marBottom w:val="0"/>
      <w:divBdr>
        <w:top w:val="none" w:sz="0" w:space="0" w:color="auto"/>
        <w:left w:val="none" w:sz="0" w:space="0" w:color="auto"/>
        <w:bottom w:val="none" w:sz="0" w:space="0" w:color="auto"/>
        <w:right w:val="none" w:sz="0" w:space="0" w:color="auto"/>
      </w:divBdr>
    </w:div>
    <w:div w:id="163394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odarte@fooddrinkeurope.e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lications.jrc.ec.europa.eu/repository/handle/JRC11569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ebensmittelverband.de/download/benchmark-levels-moh-in-foods" TargetMode="External"/><Relationship Id="rId4" Type="http://schemas.openxmlformats.org/officeDocument/2006/relationships/webSettings" Target="webSettings.xml"/><Relationship Id="rId9" Type="http://schemas.openxmlformats.org/officeDocument/2006/relationships/hyperlink" Target="https://www.fooddrinkeurope.eu/wp-content/uploads/publications_documents/Preventing_transfer_of_undesired_Mineral_Oil_Hydrocarbons_into_food_FoodDrinkEurope_BLL_Toolbox.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cp:lastModifiedBy>Simova.Martina</cp:lastModifiedBy>
  <cp:revision>2</cp:revision>
  <dcterms:created xsi:type="dcterms:W3CDTF">2022-05-30T12:13:00Z</dcterms:created>
  <dcterms:modified xsi:type="dcterms:W3CDTF">2022-05-30T12:13:00Z</dcterms:modified>
</cp:coreProperties>
</file>