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01E89" w14:textId="66A919A8" w:rsidR="0012221A" w:rsidRPr="0012221A" w:rsidRDefault="00FA766C" w:rsidP="00B00150">
      <w:pPr>
        <w:pStyle w:val="Bezmezer"/>
        <w:jc w:val="right"/>
        <w:rPr>
          <w:rFonts w:ascii="Times New Roman" w:hAnsi="Times New Roman" w:cs="Times New Roman"/>
          <w:color w:val="FF0000"/>
          <w:sz w:val="23"/>
          <w:szCs w:val="23"/>
        </w:rPr>
      </w:pPr>
      <w:bookmarkStart w:id="0" w:name="_Hlk163225776"/>
      <w:bookmarkEnd w:id="0"/>
      <w:r w:rsidRPr="0012221A">
        <w:rPr>
          <w:rFonts w:ascii="Times New Roman" w:hAnsi="Times New Roman" w:cs="Times New Roman"/>
          <w:color w:val="FF0000"/>
          <w:sz w:val="23"/>
          <w:szCs w:val="23"/>
        </w:rPr>
        <w:t xml:space="preserve">          </w:t>
      </w:r>
    </w:p>
    <w:p w14:paraId="21C8AB63" w14:textId="51E8114F" w:rsidR="0012221A" w:rsidRPr="0012221A" w:rsidRDefault="00252F70" w:rsidP="00F1574A">
      <w:pPr>
        <w:pStyle w:val="Bezmezer"/>
        <w:ind w:right="440"/>
        <w:rPr>
          <w:rFonts w:ascii="Times New Roman" w:hAnsi="Times New Roman" w:cs="Times New Roman"/>
          <w:color w:val="FF0000"/>
          <w:sz w:val="23"/>
          <w:szCs w:val="23"/>
        </w:rPr>
      </w:pPr>
      <w:r w:rsidRPr="008F206D">
        <w:rPr>
          <w:noProof/>
        </w:rPr>
        <w:drawing>
          <wp:inline distT="0" distB="0" distL="0" distR="0" wp14:anchorId="10B1A25B" wp14:editId="51446EBB">
            <wp:extent cx="2933700" cy="74215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432" cy="74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06D">
        <w:rPr>
          <w:noProof/>
        </w:rPr>
        <w:drawing>
          <wp:inline distT="0" distB="0" distL="0" distR="0" wp14:anchorId="412ADBB9" wp14:editId="1D752F1D">
            <wp:extent cx="3200400" cy="76845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65" cy="77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50740" w14:textId="4D0B0B41" w:rsidR="0012221A" w:rsidRDefault="0012221A" w:rsidP="00197662">
      <w:pPr>
        <w:pStyle w:val="Bezmezer"/>
        <w:ind w:right="440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p w14:paraId="206BC2DD" w14:textId="77777777" w:rsidR="006B441F" w:rsidRPr="004C4072" w:rsidRDefault="006B441F" w:rsidP="006B441F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C4072">
        <w:rPr>
          <w:rFonts w:ascii="Times New Roman" w:hAnsi="Times New Roman" w:cs="Times New Roman"/>
          <w:b/>
          <w:sz w:val="27"/>
          <w:szCs w:val="27"/>
          <w:u w:val="single"/>
        </w:rPr>
        <w:t>HKTDC Food Expo PRO &amp;</w:t>
      </w:r>
    </w:p>
    <w:p w14:paraId="611F52A7" w14:textId="370F79F4" w:rsidR="006B441F" w:rsidRPr="004C4072" w:rsidRDefault="006B441F" w:rsidP="006B441F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C4072">
        <w:rPr>
          <w:rFonts w:ascii="Times New Roman" w:hAnsi="Times New Roman" w:cs="Times New Roman"/>
          <w:b/>
          <w:sz w:val="27"/>
          <w:szCs w:val="27"/>
          <w:u w:val="single"/>
        </w:rPr>
        <w:t>HKTDC Hong Kong International Tea Fair (15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Pr="004C4072">
        <w:rPr>
          <w:rFonts w:ascii="Times New Roman" w:hAnsi="Times New Roman" w:cs="Times New Roman"/>
          <w:b/>
          <w:sz w:val="27"/>
          <w:szCs w:val="27"/>
          <w:u w:val="single"/>
        </w:rPr>
        <w:t>-17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Pr="004C407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  <w:u w:val="single"/>
        </w:rPr>
        <w:t>srpna</w:t>
      </w:r>
      <w:proofErr w:type="spellEnd"/>
      <w:r w:rsidRPr="004C4072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2024)</w:t>
      </w:r>
    </w:p>
    <w:p w14:paraId="29210DEC" w14:textId="77777777" w:rsidR="006B441F" w:rsidRPr="005B3C21" w:rsidRDefault="006B441F" w:rsidP="006B441F">
      <w:pPr>
        <w:widowControl w:val="0"/>
        <w:spacing w:after="0" w:line="260" w:lineRule="exact"/>
        <w:ind w:rightChars="38" w:right="84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</w:p>
    <w:p w14:paraId="741FE10F" w14:textId="41B5B10A" w:rsidR="006B441F" w:rsidRPr="005B3C21" w:rsidRDefault="006B441F" w:rsidP="006B441F">
      <w:pPr>
        <w:widowControl w:val="0"/>
        <w:spacing w:after="0" w:line="260" w:lineRule="exact"/>
        <w:ind w:rightChars="38" w:right="84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S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rdečně 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Vás zveme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na mezinárodní veletrh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y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</w:t>
      </w:r>
      <w:r w:rsidRPr="00315619">
        <w:rPr>
          <w:rFonts w:ascii="Times New Roman" w:eastAsia="PMingLiU" w:hAnsi="Times New Roman" w:cs="Times New Roman"/>
          <w:b/>
          <w:bCs/>
          <w:kern w:val="2"/>
          <w:sz w:val="24"/>
          <w:szCs w:val="24"/>
          <w:lang w:val="cs-CZ"/>
        </w:rPr>
        <w:t>HKTDC Food Expo PRO a HKTDC Hong Kong International Tea Fair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, kter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é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se bud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ou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konat na Hong Kong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Convention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and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Exhibition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Centre od 1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5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. – 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17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. srpna 202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4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, z toho první dva dny jsou obchodní. </w:t>
      </w:r>
    </w:p>
    <w:p w14:paraId="060A03D9" w14:textId="77777777" w:rsidR="006B441F" w:rsidRPr="005B3C21" w:rsidRDefault="006B441F" w:rsidP="006B441F">
      <w:pPr>
        <w:widowControl w:val="0"/>
        <w:spacing w:after="0" w:line="260" w:lineRule="exact"/>
        <w:ind w:rightChars="38" w:right="84"/>
        <w:jc w:val="both"/>
        <w:rPr>
          <w:rFonts w:ascii="Times New Roman" w:eastAsia="PMingLiU" w:hAnsi="Times New Roman" w:cs="Times New Roman"/>
          <w:b/>
          <w:kern w:val="2"/>
          <w:sz w:val="24"/>
          <w:szCs w:val="24"/>
          <w:lang w:val="cs-CZ"/>
        </w:rPr>
      </w:pPr>
    </w:p>
    <w:p w14:paraId="49425800" w14:textId="77777777" w:rsidR="006B441F" w:rsidRPr="005B3C21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eastAsia="PMingLiU" w:hAnsi="Times New Roman" w:cs="Times New Roman"/>
          <w:b/>
          <w:color w:val="E36C0A"/>
          <w:kern w:val="2"/>
          <w:sz w:val="24"/>
          <w:szCs w:val="24"/>
          <w:lang w:val="cs-CZ"/>
        </w:rPr>
      </w:pPr>
      <w:r w:rsidRPr="005B3C21">
        <w:rPr>
          <w:rFonts w:ascii="Times New Roman" w:eastAsia="PMingLiU" w:hAnsi="Times New Roman" w:cs="Times New Roman"/>
          <w:b/>
          <w:color w:val="E36C0A"/>
          <w:kern w:val="2"/>
          <w:sz w:val="24"/>
          <w:szCs w:val="24"/>
          <w:lang w:val="cs-CZ"/>
        </w:rPr>
        <w:t>Food Expo PRO 202</w:t>
      </w:r>
      <w:r>
        <w:rPr>
          <w:rFonts w:ascii="Times New Roman" w:eastAsia="PMingLiU" w:hAnsi="Times New Roman" w:cs="Times New Roman"/>
          <w:b/>
          <w:color w:val="E36C0A"/>
          <w:kern w:val="2"/>
          <w:sz w:val="24"/>
          <w:szCs w:val="24"/>
          <w:lang w:val="cs-CZ"/>
        </w:rPr>
        <w:t>4</w:t>
      </w:r>
    </w:p>
    <w:p w14:paraId="1136CC5F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Očekáváme, že bude vystavovat více než 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850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vystavovatelů včetně mezinárodních pavilónů, jako je Japonsko, Korea, Polsko, Saudská Arábie atd.</w:t>
      </w:r>
    </w:p>
    <w:p w14:paraId="7E4B2037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Trade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Hall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se zaměřuje výhradně na obchodní odběratele ve dnech 1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5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.-1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6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. srpna. V Public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Hall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bude </w:t>
      </w:r>
      <w:r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i</w:t>
      </w: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nadále k vidění speciální sekce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Gourmet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</w:t>
      </w:r>
      <w:proofErr w:type="spellStart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Zone</w:t>
      </w:r>
      <w:proofErr w:type="spellEnd"/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 xml:space="preserve"> s vystavovateli luxusního jídla z různých zemí a regionů.</w:t>
      </w:r>
    </w:p>
    <w:p w14:paraId="231FD7AB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  <w:r w:rsidRPr="005B3C21"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  <w:t>Událost, kterou si nesmí nechat ujít distributoři, dovozci, supermarkety, hotely a restaurační řetězce, které získávají širokou škálu potravinářských výrobků viz</w:t>
      </w:r>
      <w:r w:rsidRPr="005B3C21">
        <w:rPr>
          <w:sz w:val="24"/>
          <w:szCs w:val="24"/>
          <w:lang w:val="cs-CZ"/>
        </w:rPr>
        <w:t xml:space="preserve"> </w:t>
      </w:r>
      <w:hyperlink r:id="rId10" w:history="1">
        <w:r w:rsidRPr="005B3C21">
          <w:rPr>
            <w:rStyle w:val="Hypertextovodkaz"/>
            <w:rFonts w:ascii="Times New Roman" w:eastAsia="PMingLiU" w:hAnsi="Times New Roman" w:cs="Times New Roman"/>
            <w:kern w:val="2"/>
            <w:sz w:val="24"/>
            <w:szCs w:val="24"/>
            <w:lang w:val="cs-CZ"/>
          </w:rPr>
          <w:t>https://www.hktdc.com/event/foodexpopro/en</w:t>
        </w:r>
      </w:hyperlink>
    </w:p>
    <w:p w14:paraId="17A16E00" w14:textId="77777777" w:rsidR="006B441F" w:rsidRPr="005B3C21" w:rsidRDefault="006B441F" w:rsidP="006B441F">
      <w:pPr>
        <w:widowControl w:val="0"/>
        <w:tabs>
          <w:tab w:val="left" w:pos="426"/>
        </w:tabs>
        <w:snapToGrid w:val="0"/>
        <w:spacing w:after="0" w:line="240" w:lineRule="auto"/>
        <w:ind w:left="426"/>
        <w:jc w:val="both"/>
        <w:rPr>
          <w:rFonts w:ascii="Times New Roman" w:eastAsia="PMingLiU" w:hAnsi="Times New Roman" w:cs="Times New Roman"/>
          <w:kern w:val="2"/>
          <w:sz w:val="24"/>
          <w:szCs w:val="24"/>
          <w:lang w:val="cs-CZ"/>
        </w:rPr>
      </w:pPr>
    </w:p>
    <w:p w14:paraId="2705B64A" w14:textId="77777777" w:rsidR="006B441F" w:rsidRPr="005B3C21" w:rsidRDefault="006B441F" w:rsidP="006B441F">
      <w:pPr>
        <w:snapToGrid w:val="0"/>
        <w:spacing w:line="240" w:lineRule="auto"/>
        <w:jc w:val="both"/>
        <w:rPr>
          <w:rFonts w:ascii="Times New Roman" w:hAnsi="Times New Roman" w:cs="Times New Roman"/>
          <w:b/>
          <w:color w:val="E36C0A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b/>
          <w:color w:val="E36C0A"/>
          <w:sz w:val="24"/>
          <w:szCs w:val="24"/>
          <w:lang w:val="cs-CZ"/>
        </w:rPr>
        <w:t>HK International Tea Fair 202</w:t>
      </w:r>
      <w:r>
        <w:rPr>
          <w:rFonts w:ascii="Times New Roman" w:hAnsi="Times New Roman" w:cs="Times New Roman"/>
          <w:b/>
          <w:color w:val="E36C0A"/>
          <w:sz w:val="24"/>
          <w:szCs w:val="24"/>
          <w:lang w:val="cs-CZ"/>
        </w:rPr>
        <w:t>4</w:t>
      </w:r>
    </w:p>
    <w:p w14:paraId="212F08E1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sz w:val="24"/>
          <w:szCs w:val="24"/>
          <w:lang w:val="cs-CZ"/>
        </w:rPr>
        <w:t>Očekává</w:t>
      </w:r>
      <w:r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e, že </w:t>
      </w:r>
      <w:r>
        <w:rPr>
          <w:rFonts w:ascii="Times New Roman" w:hAnsi="Times New Roman" w:cs="Times New Roman"/>
          <w:sz w:val="24"/>
          <w:szCs w:val="24"/>
          <w:lang w:val="cs-CZ"/>
        </w:rPr>
        <w:t>bude vystavovat</w:t>
      </w:r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 více než 2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50 </w:t>
      </w:r>
      <w:r w:rsidRPr="005B3C21">
        <w:rPr>
          <w:rFonts w:ascii="Times New Roman" w:hAnsi="Times New Roman" w:cs="Times New Roman"/>
          <w:sz w:val="24"/>
          <w:szCs w:val="24"/>
          <w:lang w:val="cs-CZ"/>
        </w:rPr>
        <w:t>vystavovatelů.</w:t>
      </w:r>
    </w:p>
    <w:p w14:paraId="24746AF8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sz w:val="24"/>
          <w:szCs w:val="24"/>
          <w:lang w:val="cs-CZ"/>
        </w:rPr>
        <w:t>Ideální mezinárodní platforma pro obchodní odběratele, kteří hledají zásobování z klíčových regionů jako je Indie, Japonsko a Srí Lanka a získat více informací prostřednictvím zajímavých seminářů a fóra.</w:t>
      </w:r>
    </w:p>
    <w:p w14:paraId="21386DA9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sz w:val="24"/>
          <w:szCs w:val="24"/>
          <w:lang w:val="cs-CZ"/>
        </w:rPr>
        <w:t>Široká škála obchodních akcí jako jsou ochutnávky čaje a čajové umělecké představení bude také organizováno s cílem posílit globální obchod s čajem.</w:t>
      </w:r>
    </w:p>
    <w:p w14:paraId="0CD39D67" w14:textId="77777777" w:rsidR="006B441F" w:rsidRPr="005B3C21" w:rsidRDefault="006B441F" w:rsidP="006B441F">
      <w:pPr>
        <w:widowControl w:val="0"/>
        <w:numPr>
          <w:ilvl w:val="0"/>
          <w:numId w:val="19"/>
        </w:numPr>
        <w:tabs>
          <w:tab w:val="left" w:pos="426"/>
        </w:tabs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Událost, kterou si nesmí nechat ujít obchodníci s čajem, dovozci, supermarket, hotely, kavárny restaurační řetězce, kteří získávají širokou škálu čajových výrobků viz. </w:t>
      </w:r>
      <w:hyperlink r:id="rId11" w:history="1">
        <w:r w:rsidRPr="005B3C21">
          <w:rPr>
            <w:rStyle w:val="Hypertextovodkaz"/>
            <w:rFonts w:ascii="Times New Roman" w:eastAsia="SimSun" w:hAnsi="Times New Roman" w:cs="Times New Roman"/>
            <w:sz w:val="24"/>
            <w:szCs w:val="24"/>
            <w:lang w:val="cs-CZ" w:eastAsia="zh-CN"/>
          </w:rPr>
          <w:t>www.hktdc.com/</w:t>
        </w:r>
        <w:r w:rsidRPr="005B3C21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hkteafair</w:t>
        </w:r>
      </w:hyperlink>
    </w:p>
    <w:p w14:paraId="2D4A23F4" w14:textId="77777777" w:rsidR="006B441F" w:rsidRPr="005B3C21" w:rsidRDefault="006B441F" w:rsidP="006B441F">
      <w:pPr>
        <w:widowControl w:val="0"/>
        <w:snapToGrid w:val="0"/>
        <w:spacing w:after="0" w:line="240" w:lineRule="auto"/>
        <w:jc w:val="both"/>
        <w:rPr>
          <w:rFonts w:ascii="Segoe UI" w:hAnsi="Segoe UI" w:cs="Segoe UI"/>
          <w:lang w:val="cs-CZ"/>
        </w:rPr>
      </w:pPr>
    </w:p>
    <w:p w14:paraId="10520F93" w14:textId="77777777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Společně se souběžnými veletrhy HKTDC Food Expo, HKTDC </w:t>
      </w:r>
      <w:proofErr w:type="spellStart"/>
      <w:r w:rsidRPr="005B3C21">
        <w:rPr>
          <w:rFonts w:ascii="Times New Roman" w:hAnsi="Times New Roman" w:cs="Times New Roman"/>
          <w:sz w:val="24"/>
          <w:szCs w:val="24"/>
          <w:lang w:val="cs-CZ"/>
        </w:rPr>
        <w:t>Beauty</w:t>
      </w:r>
      <w:proofErr w:type="spellEnd"/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 &amp; Wellness Expo a HKTDC </w:t>
      </w:r>
      <w:proofErr w:type="spellStart"/>
      <w:r w:rsidRPr="005B3C21">
        <w:rPr>
          <w:rFonts w:ascii="Times New Roman" w:hAnsi="Times New Roman" w:cs="Times New Roman"/>
          <w:sz w:val="24"/>
          <w:szCs w:val="24"/>
          <w:lang w:val="cs-CZ"/>
        </w:rPr>
        <w:t>Home</w:t>
      </w:r>
      <w:proofErr w:type="spellEnd"/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5B3C21">
        <w:rPr>
          <w:rFonts w:ascii="Times New Roman" w:hAnsi="Times New Roman" w:cs="Times New Roman"/>
          <w:sz w:val="24"/>
          <w:szCs w:val="24"/>
          <w:lang w:val="cs-CZ"/>
        </w:rPr>
        <w:t>Delights</w:t>
      </w:r>
      <w:proofErr w:type="spellEnd"/>
      <w:r w:rsidRPr="005B3C21">
        <w:rPr>
          <w:rFonts w:ascii="Times New Roman" w:hAnsi="Times New Roman" w:cs="Times New Roman"/>
          <w:sz w:val="24"/>
          <w:szCs w:val="24"/>
          <w:lang w:val="cs-CZ"/>
        </w:rPr>
        <w:t xml:space="preserve"> Expo se můžete setkat s více než 1 600 vystavovatelů. </w:t>
      </w:r>
    </w:p>
    <w:p w14:paraId="372C3C44" w14:textId="77777777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710C995" w14:textId="77777777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2C3C43">
        <w:rPr>
          <w:rFonts w:ascii="Times New Roman" w:hAnsi="Times New Roman" w:cs="Times New Roman"/>
          <w:b/>
          <w:bCs/>
          <w:sz w:val="24"/>
          <w:szCs w:val="24"/>
          <w:lang w:val="cs-CZ"/>
        </w:rPr>
        <w:t>PRO NÁVŠTĚVNÍKY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nabízíme opět </w:t>
      </w:r>
      <w:r w:rsidRPr="002C3C43">
        <w:rPr>
          <w:rFonts w:ascii="Times New Roman" w:hAnsi="Times New Roman" w:cs="Times New Roman"/>
          <w:b/>
          <w:bCs/>
          <w:sz w:val="24"/>
          <w:szCs w:val="24"/>
          <w:lang w:val="cs-CZ"/>
        </w:rPr>
        <w:t>sponzorský program</w:t>
      </w: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>.</w:t>
      </w:r>
    </w:p>
    <w:p w14:paraId="1A121A8B" w14:textId="77777777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3910FED" w14:textId="77777777" w:rsidR="006B441F" w:rsidRPr="005B3C21" w:rsidRDefault="006B441F" w:rsidP="006B441F">
      <w:pPr>
        <w:pStyle w:val="Odstavecseseznamem"/>
        <w:numPr>
          <w:ilvl w:val="0"/>
          <w:numId w:val="21"/>
        </w:numPr>
        <w:snapToGrid w:val="0"/>
        <w:spacing w:line="240" w:lineRule="auto"/>
        <w:rPr>
          <w:rFonts w:ascii="Times New Roman" w:hAnsi="Times New Roman" w:cs="Times New Roman"/>
          <w:b/>
          <w:i/>
          <w:color w:val="5F497A"/>
          <w:sz w:val="24"/>
          <w:szCs w:val="24"/>
          <w:lang w:val="cs-CZ"/>
        </w:rPr>
      </w:pPr>
      <w:r w:rsidRPr="005B3C21">
        <w:rPr>
          <w:rFonts w:ascii="Times New Roman" w:hAnsi="Times New Roman" w:cs="Times New Roman"/>
          <w:b/>
          <w:bCs/>
          <w:sz w:val="24"/>
          <w:szCs w:val="24"/>
          <w:lang w:val="cs-CZ"/>
        </w:rPr>
        <w:t>Sponzorství hotelu – až 3 noci</w:t>
      </w:r>
    </w:p>
    <w:p w14:paraId="2F1CD13D" w14:textId="77777777" w:rsidR="006B441F" w:rsidRPr="005B3C21" w:rsidRDefault="006B441F" w:rsidP="006B441F">
      <w:pPr>
        <w:numPr>
          <w:ilvl w:val="0"/>
          <w:numId w:val="2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eastAsia="Times New Roman" w:hAnsi="Times New Roman" w:cs="Times New Roman"/>
          <w:sz w:val="24"/>
          <w:szCs w:val="24"/>
          <w:lang w:val="cs-CZ"/>
        </w:rPr>
        <w:t>Návštěva 2 dny&gt; 2 noci v určeném hotelu</w:t>
      </w:r>
    </w:p>
    <w:p w14:paraId="7F93D857" w14:textId="77777777" w:rsidR="006B441F" w:rsidRDefault="006B441F" w:rsidP="006B441F">
      <w:pPr>
        <w:numPr>
          <w:ilvl w:val="0"/>
          <w:numId w:val="2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5B3C21">
        <w:rPr>
          <w:rFonts w:ascii="Times New Roman" w:eastAsia="Times New Roman" w:hAnsi="Times New Roman" w:cs="Times New Roman"/>
          <w:sz w:val="24"/>
          <w:szCs w:val="24"/>
          <w:lang w:val="cs-CZ"/>
        </w:rPr>
        <w:t>Návštěva 3 dny&gt; 3 noci v určeném hotel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+ USD128 cestovní příspěvek</w:t>
      </w:r>
    </w:p>
    <w:p w14:paraId="6595ED20" w14:textId="20A3EA16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Máte-li zájem o registraci případně více informací, kontaktujte nás </w:t>
      </w:r>
      <w:r w:rsidR="00CA025C">
        <w:rPr>
          <w:rFonts w:ascii="Times New Roman" w:hAnsi="Times New Roman" w:cs="Times New Roman"/>
          <w:sz w:val="24"/>
          <w:szCs w:val="24"/>
          <w:lang w:val="cs-CZ"/>
        </w:rPr>
        <w:t xml:space="preserve">neprodleně </w:t>
      </w:r>
      <w:r>
        <w:rPr>
          <w:rFonts w:ascii="Times New Roman" w:hAnsi="Times New Roman" w:cs="Times New Roman"/>
          <w:sz w:val="24"/>
          <w:szCs w:val="24"/>
          <w:lang w:val="cs-CZ"/>
        </w:rPr>
        <w:t>na níže uvedeném telefonním čísle nebo emailové adrese</w:t>
      </w:r>
      <w:r w:rsidR="000201E6">
        <w:rPr>
          <w:rFonts w:ascii="Times New Roman" w:hAnsi="Times New Roman" w:cs="Times New Roman"/>
          <w:sz w:val="24"/>
          <w:szCs w:val="24"/>
          <w:lang w:val="cs-CZ"/>
        </w:rPr>
        <w:t xml:space="preserve">. Počet sponzorských programů je omezený. </w:t>
      </w:r>
    </w:p>
    <w:p w14:paraId="4AA8E42B" w14:textId="77777777" w:rsid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91D4A55" w14:textId="299E5B29" w:rsidR="00DB212D" w:rsidRDefault="00DB212D" w:rsidP="006B441F">
      <w:pPr>
        <w:widowControl w:val="0"/>
        <w:snapToGri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0"/>
          <w:szCs w:val="20"/>
          <w:lang w:val="cs-CZ"/>
        </w:rPr>
      </w:pPr>
      <w:r w:rsidRPr="00DB212D">
        <w:rPr>
          <w:rFonts w:ascii="Arial" w:hAnsi="Arial" w:cs="Arial"/>
          <w:color w:val="262626" w:themeColor="text1" w:themeTint="D9"/>
          <w:sz w:val="20"/>
          <w:szCs w:val="20"/>
          <w:lang w:val="cs-CZ"/>
        </w:rPr>
        <w:t>Sandra Bogarová</w:t>
      </w:r>
    </w:p>
    <w:p w14:paraId="49FC37BB" w14:textId="77777777" w:rsidR="00DB212D" w:rsidRPr="00DB212D" w:rsidRDefault="00DB212D" w:rsidP="006B441F">
      <w:pPr>
        <w:widowControl w:val="0"/>
        <w:snapToGrid w:val="0"/>
        <w:spacing w:after="0" w:line="240" w:lineRule="auto"/>
        <w:jc w:val="both"/>
        <w:rPr>
          <w:rFonts w:ascii="Arial" w:hAnsi="Arial" w:cs="Arial"/>
          <w:color w:val="262626" w:themeColor="text1" w:themeTint="D9"/>
          <w:sz w:val="20"/>
          <w:szCs w:val="20"/>
          <w:lang w:val="cs-CZ"/>
        </w:rPr>
      </w:pPr>
    </w:p>
    <w:p w14:paraId="0D71F548" w14:textId="4FB07A6A" w:rsidR="006B441F" w:rsidRPr="006B441F" w:rsidRDefault="006B441F" w:rsidP="006B441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Arial" w:hAnsi="Arial" w:cs="Arial"/>
          <w:b/>
          <w:bCs/>
          <w:color w:val="333333"/>
          <w:sz w:val="24"/>
          <w:szCs w:val="24"/>
          <w:lang w:val="cs-CZ"/>
        </w:rPr>
        <w:t>HKT</w:t>
      </w:r>
      <w:r>
        <w:rPr>
          <w:rFonts w:ascii="Arial" w:hAnsi="Arial" w:cs="Arial"/>
          <w:b/>
          <w:bCs/>
          <w:color w:val="FF6600"/>
          <w:sz w:val="24"/>
          <w:szCs w:val="24"/>
          <w:lang w:val="cs-CZ"/>
        </w:rPr>
        <w:t xml:space="preserve">DC </w:t>
      </w:r>
      <w:r>
        <w:rPr>
          <w:rFonts w:ascii="Arial" w:hAnsi="Arial" w:cs="Arial"/>
          <w:b/>
          <w:bCs/>
          <w:color w:val="FF6600"/>
          <w:sz w:val="20"/>
          <w:szCs w:val="20"/>
          <w:lang w:val="cs-CZ"/>
        </w:rPr>
        <w:t>Prague Consultant Office</w:t>
      </w:r>
    </w:p>
    <w:p w14:paraId="00B62A30" w14:textId="16ACC6C4" w:rsidR="006B441F" w:rsidRPr="006B441F" w:rsidRDefault="006B441F" w:rsidP="006B441F">
      <w:pPr>
        <w:pStyle w:val="Bezmezer"/>
        <w:rPr>
          <w:lang w:val="en-US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cs-CZ"/>
        </w:rPr>
        <w:t xml:space="preserve">Head of HKTDC for CZ </w:t>
      </w:r>
      <w:r>
        <w:rPr>
          <w:rFonts w:ascii="Helvetica" w:hAnsi="Helvetica" w:cs="Helvetica"/>
          <w:b/>
          <w:bCs/>
          <w:color w:val="444444"/>
          <w:sz w:val="21"/>
          <w:szCs w:val="21"/>
          <w:bdr w:val="none" w:sz="0" w:space="0" w:color="auto" w:frame="1"/>
          <w:shd w:val="clear" w:color="auto" w:fill="FFFFFF"/>
        </w:rPr>
        <w:t>&amp; SK</w:t>
      </w:r>
    </w:p>
    <w:p w14:paraId="677D3380" w14:textId="77777777" w:rsidR="006B441F" w:rsidRDefault="006B441F" w:rsidP="006B441F">
      <w:pPr>
        <w:pStyle w:val="Bezmezer"/>
      </w:pPr>
      <w:r>
        <w:rPr>
          <w:rFonts w:ascii="Arial" w:hAnsi="Arial" w:cs="Arial"/>
          <w:b/>
          <w:bCs/>
          <w:color w:val="333333"/>
          <w:sz w:val="15"/>
          <w:szCs w:val="15"/>
          <w:lang w:val="cs-CZ"/>
        </w:rPr>
        <w:t>Na</w:t>
      </w:r>
      <w:r>
        <w:rPr>
          <w:rFonts w:ascii="Arial" w:hAnsi="Arial" w:cs="Arial"/>
          <w:b/>
          <w:bCs/>
          <w:color w:val="FF66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color w:val="FF6600"/>
          <w:sz w:val="15"/>
          <w:szCs w:val="15"/>
          <w:lang w:val="cs-CZ"/>
        </w:rPr>
        <w:t>Kocínce</w:t>
      </w:r>
      <w:proofErr w:type="spellEnd"/>
      <w:r>
        <w:rPr>
          <w:rFonts w:ascii="Arial" w:hAnsi="Arial" w:cs="Arial"/>
          <w:b/>
          <w:bCs/>
          <w:color w:val="FF6600"/>
          <w:sz w:val="15"/>
          <w:szCs w:val="15"/>
          <w:lang w:val="cs-CZ"/>
        </w:rPr>
        <w:t xml:space="preserve"> 3, Praha 6</w:t>
      </w:r>
    </w:p>
    <w:p w14:paraId="492D9AF4" w14:textId="77777777" w:rsidR="006B441F" w:rsidRDefault="006B441F" w:rsidP="006B441F">
      <w:pPr>
        <w:pStyle w:val="Bezmezer"/>
      </w:pPr>
      <w:r>
        <w:rPr>
          <w:rFonts w:ascii="Arial" w:hAnsi="Arial" w:cs="Arial"/>
          <w:b/>
          <w:bCs/>
          <w:color w:val="333333"/>
          <w:sz w:val="15"/>
          <w:szCs w:val="15"/>
          <w:lang w:val="cs-CZ"/>
        </w:rPr>
        <w:t>Czech</w:t>
      </w:r>
      <w:r>
        <w:rPr>
          <w:rFonts w:ascii="Arial" w:hAnsi="Arial" w:cs="Arial"/>
          <w:b/>
          <w:bCs/>
          <w:color w:val="FF6600"/>
          <w:sz w:val="15"/>
          <w:szCs w:val="15"/>
          <w:lang w:val="cs-CZ"/>
        </w:rPr>
        <w:t xml:space="preserve"> Republic</w:t>
      </w:r>
    </w:p>
    <w:p w14:paraId="759E65B1" w14:textId="77777777" w:rsidR="006B441F" w:rsidRDefault="006B441F" w:rsidP="006B441F">
      <w:pPr>
        <w:pStyle w:val="Bezmezer"/>
      </w:pPr>
      <w:r>
        <w:rPr>
          <w:rFonts w:ascii="Arial" w:hAnsi="Arial" w:cs="Arial"/>
          <w:b/>
          <w:bCs/>
          <w:color w:val="333333"/>
          <w:sz w:val="20"/>
          <w:szCs w:val="20"/>
          <w:lang w:val="cs-CZ"/>
        </w:rPr>
        <w:t>tel</w:t>
      </w:r>
      <w:r>
        <w:rPr>
          <w:rFonts w:ascii="Arial" w:hAnsi="Arial" w:cs="Arial"/>
          <w:color w:val="FF6600"/>
          <w:sz w:val="20"/>
          <w:szCs w:val="20"/>
          <w:lang w:val="cs-CZ"/>
        </w:rPr>
        <w:t>+420 233 323 514</w:t>
      </w:r>
    </w:p>
    <w:p w14:paraId="58B03C72" w14:textId="77777777" w:rsidR="006B441F" w:rsidRDefault="006B441F" w:rsidP="006B441F">
      <w:pPr>
        <w:pStyle w:val="Bezmezer"/>
        <w:rPr>
          <w:rFonts w:ascii="Arial" w:hAnsi="Arial" w:cs="Arial"/>
          <w:color w:val="FF6600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33333"/>
          <w:sz w:val="20"/>
          <w:szCs w:val="20"/>
          <w:lang w:val="cs-CZ"/>
        </w:rPr>
        <w:t>mob</w:t>
      </w:r>
      <w:r>
        <w:rPr>
          <w:rFonts w:ascii="Arial" w:hAnsi="Arial" w:cs="Arial"/>
          <w:color w:val="FF6600"/>
          <w:sz w:val="20"/>
          <w:szCs w:val="20"/>
          <w:lang w:val="cs-CZ"/>
        </w:rPr>
        <w:t xml:space="preserve"> +420 733 640 663</w:t>
      </w:r>
    </w:p>
    <w:p w14:paraId="617D4E7A" w14:textId="175B8F61" w:rsidR="00DB212D" w:rsidRPr="00DB212D" w:rsidRDefault="00DB212D" w:rsidP="006B441F">
      <w:pPr>
        <w:pStyle w:val="Bezmezer"/>
      </w:pPr>
      <w:r w:rsidRPr="00DB212D">
        <w:rPr>
          <w:rFonts w:ascii="Arial" w:hAnsi="Arial" w:cs="Arial"/>
          <w:sz w:val="20"/>
          <w:szCs w:val="20"/>
          <w:lang w:val="cs-CZ"/>
        </w:rPr>
        <w:t>email: sandra.bogarova@hktdc.org</w:t>
      </w:r>
    </w:p>
    <w:p w14:paraId="6D938AD0" w14:textId="7AD7CB54" w:rsidR="006B441F" w:rsidRDefault="00000000" w:rsidP="006B441F">
      <w:pPr>
        <w:pStyle w:val="Bezmezer"/>
      </w:pPr>
      <w:hyperlink r:id="rId12" w:tgtFrame="_blank" w:history="1">
        <w:r w:rsidR="006B441F">
          <w:rPr>
            <w:rStyle w:val="Hypertextovodkaz"/>
          </w:rPr>
          <w:t>LinkedIn – HKTDC Prague</w:t>
        </w:r>
      </w:hyperlink>
    </w:p>
    <w:p w14:paraId="50413064" w14:textId="3BDFC630" w:rsidR="006B441F" w:rsidRDefault="006B441F" w:rsidP="006B441F">
      <w:pPr>
        <w:pStyle w:val="Bezmezer"/>
      </w:pPr>
      <w:r>
        <w:rPr>
          <w:noProof/>
          <w:color w:val="1F497D"/>
        </w:rPr>
        <w:drawing>
          <wp:inline distT="0" distB="0" distL="0" distR="0" wp14:anchorId="6A49AA85" wp14:editId="48726D34">
            <wp:extent cx="2543160" cy="488315"/>
            <wp:effectExtent l="0" t="0" r="0" b="6985"/>
            <wp:docPr id="723450191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50191" name="Picture 1" descr="A logo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30" cy="49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C6F81" w14:textId="3D814E06" w:rsidR="006B441F" w:rsidRPr="0012221A" w:rsidRDefault="006B441F" w:rsidP="00197662">
      <w:pPr>
        <w:pStyle w:val="Bezmezer"/>
        <w:ind w:right="440"/>
        <w:jc w:val="center"/>
        <w:rPr>
          <w:rFonts w:ascii="Times New Roman" w:hAnsi="Times New Roman" w:cs="Times New Roman"/>
          <w:color w:val="FF0000"/>
          <w:sz w:val="23"/>
          <w:szCs w:val="23"/>
        </w:rPr>
      </w:pPr>
    </w:p>
    <w:sectPr w:rsidR="006B441F" w:rsidRPr="0012221A" w:rsidSect="00FA766C">
      <w:pgSz w:w="11907" w:h="16839" w:code="9"/>
      <w:pgMar w:top="450" w:right="657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12FFC" w14:textId="77777777" w:rsidR="0011104D" w:rsidRDefault="0011104D" w:rsidP="0063377A">
      <w:pPr>
        <w:spacing w:after="0" w:line="240" w:lineRule="auto"/>
      </w:pPr>
      <w:r>
        <w:separator/>
      </w:r>
    </w:p>
  </w:endnote>
  <w:endnote w:type="continuationSeparator" w:id="0">
    <w:p w14:paraId="0873890B" w14:textId="77777777" w:rsidR="0011104D" w:rsidRDefault="0011104D" w:rsidP="0063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6713C" w14:textId="77777777" w:rsidR="0011104D" w:rsidRDefault="0011104D" w:rsidP="0063377A">
      <w:pPr>
        <w:spacing w:after="0" w:line="240" w:lineRule="auto"/>
      </w:pPr>
      <w:r>
        <w:separator/>
      </w:r>
    </w:p>
  </w:footnote>
  <w:footnote w:type="continuationSeparator" w:id="0">
    <w:p w14:paraId="54587864" w14:textId="77777777" w:rsidR="0011104D" w:rsidRDefault="0011104D" w:rsidP="0063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274"/>
    <w:multiLevelType w:val="hybridMultilevel"/>
    <w:tmpl w:val="DB7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6F7"/>
    <w:multiLevelType w:val="hybridMultilevel"/>
    <w:tmpl w:val="2DB6214A"/>
    <w:lvl w:ilvl="0" w:tplc="E70C75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C83"/>
    <w:multiLevelType w:val="hybridMultilevel"/>
    <w:tmpl w:val="ED3C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71F3"/>
    <w:multiLevelType w:val="hybridMultilevel"/>
    <w:tmpl w:val="92FA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13C73"/>
    <w:multiLevelType w:val="hybridMultilevel"/>
    <w:tmpl w:val="A2A04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34C3"/>
    <w:multiLevelType w:val="hybridMultilevel"/>
    <w:tmpl w:val="BCEA16A6"/>
    <w:lvl w:ilvl="0" w:tplc="535EB86A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63C7D"/>
    <w:multiLevelType w:val="hybridMultilevel"/>
    <w:tmpl w:val="AD42332A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C5AE5"/>
    <w:multiLevelType w:val="hybridMultilevel"/>
    <w:tmpl w:val="3DEC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06F3F"/>
    <w:multiLevelType w:val="hybridMultilevel"/>
    <w:tmpl w:val="337C8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7C8A"/>
    <w:multiLevelType w:val="hybridMultilevel"/>
    <w:tmpl w:val="186892DE"/>
    <w:lvl w:ilvl="0" w:tplc="535EB86A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A5003"/>
    <w:multiLevelType w:val="hybridMultilevel"/>
    <w:tmpl w:val="8EA49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118E6"/>
    <w:multiLevelType w:val="hybridMultilevel"/>
    <w:tmpl w:val="EC3A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5026D"/>
    <w:multiLevelType w:val="hybridMultilevel"/>
    <w:tmpl w:val="016E343C"/>
    <w:lvl w:ilvl="0" w:tplc="2768032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62823"/>
    <w:multiLevelType w:val="hybridMultilevel"/>
    <w:tmpl w:val="FED872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E69B6"/>
    <w:multiLevelType w:val="hybridMultilevel"/>
    <w:tmpl w:val="50927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3079D"/>
    <w:multiLevelType w:val="hybridMultilevel"/>
    <w:tmpl w:val="442C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2099"/>
    <w:multiLevelType w:val="hybridMultilevel"/>
    <w:tmpl w:val="7C100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749E1"/>
    <w:multiLevelType w:val="hybridMultilevel"/>
    <w:tmpl w:val="00BC7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E1BB5"/>
    <w:multiLevelType w:val="hybridMultilevel"/>
    <w:tmpl w:val="3EE66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1726B"/>
    <w:multiLevelType w:val="hybridMultilevel"/>
    <w:tmpl w:val="A7EA46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804E7"/>
    <w:multiLevelType w:val="hybridMultilevel"/>
    <w:tmpl w:val="C1D6BE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42F17"/>
    <w:multiLevelType w:val="hybridMultilevel"/>
    <w:tmpl w:val="A502CE1E"/>
    <w:lvl w:ilvl="0" w:tplc="7230F6F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2E87"/>
    <w:multiLevelType w:val="hybridMultilevel"/>
    <w:tmpl w:val="7DBAAF9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F193DA0"/>
    <w:multiLevelType w:val="multilevel"/>
    <w:tmpl w:val="C2503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748835">
    <w:abstractNumId w:val="11"/>
  </w:num>
  <w:num w:numId="2" w16cid:durableId="619190500">
    <w:abstractNumId w:val="3"/>
  </w:num>
  <w:num w:numId="3" w16cid:durableId="1069108447">
    <w:abstractNumId w:val="22"/>
  </w:num>
  <w:num w:numId="4" w16cid:durableId="1863396573">
    <w:abstractNumId w:val="23"/>
  </w:num>
  <w:num w:numId="5" w16cid:durableId="1301575810">
    <w:abstractNumId w:val="7"/>
  </w:num>
  <w:num w:numId="6" w16cid:durableId="133260799">
    <w:abstractNumId w:val="15"/>
  </w:num>
  <w:num w:numId="7" w16cid:durableId="1402483891">
    <w:abstractNumId w:val="16"/>
  </w:num>
  <w:num w:numId="8" w16cid:durableId="316422910">
    <w:abstractNumId w:val="4"/>
  </w:num>
  <w:num w:numId="9" w16cid:durableId="1158614630">
    <w:abstractNumId w:val="17"/>
  </w:num>
  <w:num w:numId="10" w16cid:durableId="1110784077">
    <w:abstractNumId w:val="0"/>
  </w:num>
  <w:num w:numId="11" w16cid:durableId="190538079">
    <w:abstractNumId w:val="18"/>
  </w:num>
  <w:num w:numId="12" w16cid:durableId="1660690692">
    <w:abstractNumId w:val="12"/>
  </w:num>
  <w:num w:numId="13" w16cid:durableId="214438627">
    <w:abstractNumId w:val="21"/>
  </w:num>
  <w:num w:numId="14" w16cid:durableId="1808351781">
    <w:abstractNumId w:val="13"/>
  </w:num>
  <w:num w:numId="15" w16cid:durableId="1312368100">
    <w:abstractNumId w:val="9"/>
  </w:num>
  <w:num w:numId="16" w16cid:durableId="2074547879">
    <w:abstractNumId w:val="5"/>
  </w:num>
  <w:num w:numId="17" w16cid:durableId="1297179743">
    <w:abstractNumId w:val="13"/>
  </w:num>
  <w:num w:numId="18" w16cid:durableId="668945702">
    <w:abstractNumId w:val="14"/>
  </w:num>
  <w:num w:numId="19" w16cid:durableId="1166744718">
    <w:abstractNumId w:val="8"/>
  </w:num>
  <w:num w:numId="20" w16cid:durableId="1858231875">
    <w:abstractNumId w:val="2"/>
  </w:num>
  <w:num w:numId="21" w16cid:durableId="1230581171">
    <w:abstractNumId w:val="20"/>
  </w:num>
  <w:num w:numId="22" w16cid:durableId="474955440">
    <w:abstractNumId w:val="19"/>
  </w:num>
  <w:num w:numId="23" w16cid:durableId="930774693">
    <w:abstractNumId w:val="6"/>
  </w:num>
  <w:num w:numId="24" w16cid:durableId="537745746">
    <w:abstractNumId w:val="1"/>
  </w:num>
  <w:num w:numId="25" w16cid:durableId="2077900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7A"/>
    <w:rsid w:val="000201E6"/>
    <w:rsid w:val="00027758"/>
    <w:rsid w:val="00056276"/>
    <w:rsid w:val="00072109"/>
    <w:rsid w:val="00073BEC"/>
    <w:rsid w:val="00101A6B"/>
    <w:rsid w:val="0011104D"/>
    <w:rsid w:val="0012221A"/>
    <w:rsid w:val="00185E18"/>
    <w:rsid w:val="001878CD"/>
    <w:rsid w:val="00197662"/>
    <w:rsid w:val="001B7FDD"/>
    <w:rsid w:val="001E0744"/>
    <w:rsid w:val="001F17D3"/>
    <w:rsid w:val="0023778A"/>
    <w:rsid w:val="00243DA8"/>
    <w:rsid w:val="0025079E"/>
    <w:rsid w:val="00252F70"/>
    <w:rsid w:val="00292B05"/>
    <w:rsid w:val="002A6174"/>
    <w:rsid w:val="002E0555"/>
    <w:rsid w:val="00326549"/>
    <w:rsid w:val="00380D27"/>
    <w:rsid w:val="003A27DB"/>
    <w:rsid w:val="003C349A"/>
    <w:rsid w:val="003E1C68"/>
    <w:rsid w:val="003F69A3"/>
    <w:rsid w:val="004B05AC"/>
    <w:rsid w:val="004C4072"/>
    <w:rsid w:val="004D44A7"/>
    <w:rsid w:val="004F0ED3"/>
    <w:rsid w:val="005174BD"/>
    <w:rsid w:val="00571B2C"/>
    <w:rsid w:val="0057725F"/>
    <w:rsid w:val="005877DC"/>
    <w:rsid w:val="0059552A"/>
    <w:rsid w:val="005A6842"/>
    <w:rsid w:val="005E59CC"/>
    <w:rsid w:val="005F02A6"/>
    <w:rsid w:val="00614632"/>
    <w:rsid w:val="0063377A"/>
    <w:rsid w:val="006A6A81"/>
    <w:rsid w:val="006B441F"/>
    <w:rsid w:val="006B5532"/>
    <w:rsid w:val="006C5BE0"/>
    <w:rsid w:val="006E5806"/>
    <w:rsid w:val="006F0C4C"/>
    <w:rsid w:val="00721AD9"/>
    <w:rsid w:val="007413FE"/>
    <w:rsid w:val="00784EC9"/>
    <w:rsid w:val="007E4DE2"/>
    <w:rsid w:val="007F5268"/>
    <w:rsid w:val="008228A7"/>
    <w:rsid w:val="00895DAA"/>
    <w:rsid w:val="009D481F"/>
    <w:rsid w:val="00A17F4F"/>
    <w:rsid w:val="00A544BC"/>
    <w:rsid w:val="00A773E2"/>
    <w:rsid w:val="00AA2699"/>
    <w:rsid w:val="00AF5082"/>
    <w:rsid w:val="00AF6609"/>
    <w:rsid w:val="00B00150"/>
    <w:rsid w:val="00B3125D"/>
    <w:rsid w:val="00B456D9"/>
    <w:rsid w:val="00B83E01"/>
    <w:rsid w:val="00B96AE6"/>
    <w:rsid w:val="00BA4354"/>
    <w:rsid w:val="00BB2E62"/>
    <w:rsid w:val="00BC5DE4"/>
    <w:rsid w:val="00C0381E"/>
    <w:rsid w:val="00C05F6A"/>
    <w:rsid w:val="00C13493"/>
    <w:rsid w:val="00C5459C"/>
    <w:rsid w:val="00C60799"/>
    <w:rsid w:val="00C701A4"/>
    <w:rsid w:val="00C94F0B"/>
    <w:rsid w:val="00CA025C"/>
    <w:rsid w:val="00CE3F10"/>
    <w:rsid w:val="00D17996"/>
    <w:rsid w:val="00D30DAA"/>
    <w:rsid w:val="00D322DF"/>
    <w:rsid w:val="00D42DC5"/>
    <w:rsid w:val="00D71132"/>
    <w:rsid w:val="00D77943"/>
    <w:rsid w:val="00DB212D"/>
    <w:rsid w:val="00DC14EA"/>
    <w:rsid w:val="00EA41BE"/>
    <w:rsid w:val="00EC736B"/>
    <w:rsid w:val="00F1574A"/>
    <w:rsid w:val="00F44D19"/>
    <w:rsid w:val="00F6719B"/>
    <w:rsid w:val="00FA0071"/>
    <w:rsid w:val="00FA766C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89074"/>
  <w15:chartTrackingRefBased/>
  <w15:docId w15:val="{74C0721D-F39B-4F3F-BACC-5F49755E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0DAA"/>
    <w:pPr>
      <w:spacing w:after="0" w:line="240" w:lineRule="auto"/>
    </w:pPr>
    <w:rPr>
      <w:lang w:val="en-GB"/>
    </w:rPr>
  </w:style>
  <w:style w:type="table" w:styleId="Mkatabulky">
    <w:name w:val="Table Grid"/>
    <w:basedOn w:val="Normlntabulka"/>
    <w:uiPriority w:val="59"/>
    <w:unhideWhenUsed/>
    <w:rsid w:val="0057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1B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A766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766C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0721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har">
    <w:name w:val="Char"/>
    <w:basedOn w:val="Normln"/>
    <w:next w:val="Normln"/>
    <w:rsid w:val="005F02A6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073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3BEC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073B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3B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c01.safelinks.protection.outlook.com/?url=https%3A%2F%2Fwww.linkedin.com%2Fcompany%2Fhktdc-cz-sk&amp;data=05%7C02%7Csandra.bogarova%40hktdc.org%7C6dbc9e68710649542cf108dc6ffd2460%7Cde180f95eee842a49cabdc2dd6ce3ed0%7C1%7C0%7C638508380254020810%7CUnknown%7CTWFpbGZsb3d8eyJWIjoiMC4wLjAwMDAiLCJQIjoiV2luMzIiLCJBTiI6Ik1haWwiLCJXVCI6Mn0%3D%7C0%7C%7C%7C&amp;sdata=w7%2BESQDpAJ9QQ3B%2Fjf3p5KaZHv%2BivdCYJg81DxfUnPM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hktdc.org\tdc\DMEX-VPTeam\jylam\AppData\Local\Microsoft\Windows\Documents%20and%20Settings\jylam\Local%20Settings\Temporary%20Internet%20Files\Local%20Settings\Temporary%20Internet%20Files\OLK18\www.hktdc.com\hkteafai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hktdc.com/event/foodexpopro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cid:image001.png@01DAA1F7.FE4157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D85B5-C009-4622-B449-27D9662D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Yau, WT (EDB)</dc:creator>
  <cp:keywords/>
  <dc:description/>
  <cp:lastModifiedBy>Helena Kavanová</cp:lastModifiedBy>
  <cp:revision>2</cp:revision>
  <dcterms:created xsi:type="dcterms:W3CDTF">2024-05-30T08:53:00Z</dcterms:created>
  <dcterms:modified xsi:type="dcterms:W3CDTF">2024-05-30T08:53:00Z</dcterms:modified>
</cp:coreProperties>
</file>