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484D" w14:textId="0405261D" w:rsidR="00E25492" w:rsidRPr="00697EE5" w:rsidRDefault="00E36255" w:rsidP="00042DB6">
      <w:pPr>
        <w:spacing w:line="269" w:lineRule="auto"/>
        <w:jc w:val="right"/>
        <w:rPr>
          <w:rFonts w:ascii="Marianne" w:hAnsi="Marianne" w:cs="Arial"/>
          <w:sz w:val="20"/>
          <w:szCs w:val="32"/>
          <w:lang w:val="en-GB"/>
        </w:rPr>
      </w:pPr>
      <w:r>
        <w:rPr>
          <w:rFonts w:ascii="Marianne" w:hAnsi="Marianne" w:cs="Arial"/>
          <w:noProof/>
          <w:sz w:val="20"/>
          <w:szCs w:val="32"/>
          <w:lang w:eastAsia="fr-FR"/>
        </w:rPr>
        <w:drawing>
          <wp:anchor distT="0" distB="0" distL="114300" distR="114300" simplePos="0" relativeHeight="251672576" behindDoc="0" locked="0" layoutInCell="1" allowOverlap="1" wp14:anchorId="75B86FD6" wp14:editId="14CF9E8B">
            <wp:simplePos x="895350" y="895350"/>
            <wp:positionH relativeFrom="margin">
              <wp:align>center</wp:align>
            </wp:positionH>
            <wp:positionV relativeFrom="margin">
              <wp:align>top</wp:align>
            </wp:positionV>
            <wp:extent cx="6480810" cy="1335405"/>
            <wp:effectExtent l="0" t="0" r="0" b="0"/>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1335405"/>
                    </a:xfrm>
                    <a:prstGeom prst="rect">
                      <a:avLst/>
                    </a:prstGeom>
                    <a:noFill/>
                  </pic:spPr>
                </pic:pic>
              </a:graphicData>
            </a:graphic>
          </wp:anchor>
        </w:drawing>
      </w:r>
    </w:p>
    <w:p w14:paraId="76997FBF" w14:textId="77777777" w:rsidR="008C127E" w:rsidRPr="00697EE5" w:rsidRDefault="008C127E" w:rsidP="00042DB6">
      <w:pPr>
        <w:spacing w:line="269" w:lineRule="auto"/>
        <w:jc w:val="right"/>
        <w:rPr>
          <w:rFonts w:ascii="Marianne" w:hAnsi="Marianne" w:cs="Arial"/>
          <w:sz w:val="20"/>
          <w:szCs w:val="32"/>
          <w:lang w:val="en-GB"/>
        </w:rPr>
      </w:pPr>
    </w:p>
    <w:p w14:paraId="79C6B10D" w14:textId="77777777" w:rsidR="00E25492" w:rsidRPr="00697EE5" w:rsidRDefault="00E25492" w:rsidP="00042DB6">
      <w:pPr>
        <w:spacing w:line="269" w:lineRule="auto"/>
        <w:jc w:val="right"/>
        <w:rPr>
          <w:rFonts w:ascii="Marianne" w:hAnsi="Marianne" w:cs="Arial"/>
          <w:sz w:val="20"/>
          <w:szCs w:val="32"/>
          <w:lang w:val="en-GB"/>
        </w:rPr>
      </w:pPr>
    </w:p>
    <w:p w14:paraId="6011FADD" w14:textId="77777777" w:rsidR="00877303" w:rsidRPr="00697EE5" w:rsidRDefault="00877303" w:rsidP="00042DB6">
      <w:pPr>
        <w:spacing w:line="269" w:lineRule="auto"/>
        <w:jc w:val="right"/>
        <w:rPr>
          <w:rFonts w:ascii="Marianne" w:hAnsi="Marianne" w:cs="Arial"/>
          <w:sz w:val="12"/>
          <w:szCs w:val="32"/>
          <w:lang w:val="en-GB"/>
        </w:rPr>
      </w:pPr>
    </w:p>
    <w:p w14:paraId="2CD1CABA" w14:textId="2E5C8B27" w:rsidR="0072573D" w:rsidRPr="00697EE5" w:rsidRDefault="00666ACA" w:rsidP="00042DB6">
      <w:pPr>
        <w:spacing w:line="269" w:lineRule="auto"/>
        <w:jc w:val="right"/>
        <w:rPr>
          <w:rFonts w:ascii="Marianne" w:hAnsi="Marianne" w:cs="Arial"/>
          <w:sz w:val="20"/>
          <w:szCs w:val="32"/>
        </w:rPr>
      </w:pPr>
      <w:r w:rsidRPr="00697EE5">
        <w:rPr>
          <w:rFonts w:ascii="Marianne" w:hAnsi="Marianne" w:cs="Arial"/>
          <w:sz w:val="20"/>
          <w:szCs w:val="32"/>
        </w:rPr>
        <w:t>29</w:t>
      </w:r>
      <w:r w:rsidR="0072573D" w:rsidRPr="00697EE5">
        <w:rPr>
          <w:rFonts w:ascii="Marianne" w:hAnsi="Marianne" w:cs="Arial"/>
          <w:sz w:val="20"/>
          <w:szCs w:val="32"/>
        </w:rPr>
        <w:t xml:space="preserve"> </w:t>
      </w:r>
      <w:r w:rsidR="00877303" w:rsidRPr="00697EE5">
        <w:rPr>
          <w:rFonts w:ascii="Marianne" w:hAnsi="Marianne" w:cs="Arial"/>
          <w:sz w:val="20"/>
          <w:szCs w:val="32"/>
        </w:rPr>
        <w:t>Juillet</w:t>
      </w:r>
      <w:r w:rsidR="0072573D" w:rsidRPr="00697EE5">
        <w:rPr>
          <w:rFonts w:ascii="Marianne" w:hAnsi="Marianne" w:cs="Arial"/>
          <w:sz w:val="20"/>
          <w:szCs w:val="32"/>
        </w:rPr>
        <w:t>, 2022</w:t>
      </w:r>
    </w:p>
    <w:p w14:paraId="075AFE44" w14:textId="086D1ECB" w:rsidR="0072573D" w:rsidRPr="00697EE5" w:rsidRDefault="0072573D" w:rsidP="00E05FED">
      <w:pPr>
        <w:spacing w:line="269" w:lineRule="auto"/>
        <w:ind w:right="-290"/>
        <w:rPr>
          <w:rFonts w:ascii="Marianne" w:hAnsi="Marianne" w:cs="Arial"/>
          <w:sz w:val="16"/>
          <w:szCs w:val="32"/>
        </w:rPr>
      </w:pPr>
    </w:p>
    <w:p w14:paraId="4EF1AFD9" w14:textId="134CF014" w:rsidR="0072573D" w:rsidRPr="00AE29E1" w:rsidRDefault="00877303">
      <w:pPr>
        <w:spacing w:line="269" w:lineRule="auto"/>
        <w:jc w:val="center"/>
        <w:rPr>
          <w:rFonts w:ascii="Marianne" w:hAnsi="Marianne" w:cs="Arial"/>
          <w:szCs w:val="32"/>
        </w:rPr>
      </w:pPr>
      <w:r w:rsidRPr="00AE29E1">
        <w:rPr>
          <w:rFonts w:ascii="Marianne" w:hAnsi="Marianne" w:cs="Arial"/>
          <w:szCs w:val="32"/>
        </w:rPr>
        <w:t>Communiqué de presse</w:t>
      </w:r>
    </w:p>
    <w:p w14:paraId="28F3EDC7" w14:textId="630C11BD" w:rsidR="0072573D" w:rsidRPr="00AE29E1" w:rsidRDefault="0072573D" w:rsidP="0072573D">
      <w:pPr>
        <w:spacing w:line="269" w:lineRule="auto"/>
        <w:ind w:right="-290"/>
        <w:jc w:val="center"/>
        <w:rPr>
          <w:rFonts w:ascii="Marianne" w:hAnsi="Marianne" w:cs="Arial"/>
          <w:sz w:val="16"/>
          <w:szCs w:val="32"/>
        </w:rPr>
      </w:pPr>
    </w:p>
    <w:p w14:paraId="1CB0B215" w14:textId="496133E0" w:rsidR="007D4F1F" w:rsidRDefault="007D4F1F" w:rsidP="007D4F1F">
      <w:pPr>
        <w:spacing w:line="269" w:lineRule="auto"/>
        <w:ind w:right="2"/>
        <w:jc w:val="center"/>
        <w:rPr>
          <w:rFonts w:ascii="Marianne" w:hAnsi="Marianne" w:cs="Arial"/>
          <w:b/>
          <w:color w:val="000000" w:themeColor="text1"/>
          <w:sz w:val="22"/>
          <w:szCs w:val="21"/>
        </w:rPr>
      </w:pPr>
      <w:r w:rsidRPr="007D4F1F">
        <w:rPr>
          <w:rFonts w:ascii="Marianne" w:hAnsi="Marianne" w:cs="Arial"/>
          <w:b/>
          <w:color w:val="000000" w:themeColor="text1"/>
          <w:sz w:val="22"/>
          <w:szCs w:val="21"/>
        </w:rPr>
        <w:t xml:space="preserve">GOUVERNANCE </w:t>
      </w:r>
      <w:r w:rsidR="000834BC">
        <w:rPr>
          <w:rFonts w:ascii="Marianne" w:hAnsi="Marianne" w:cs="Arial"/>
          <w:b/>
          <w:color w:val="000000" w:themeColor="text1"/>
          <w:sz w:val="22"/>
          <w:szCs w:val="21"/>
        </w:rPr>
        <w:t>TRANSNATIONALE</w:t>
      </w:r>
      <w:r w:rsidRPr="007D4F1F">
        <w:rPr>
          <w:rFonts w:ascii="Marianne" w:hAnsi="Marianne" w:cs="Arial"/>
          <w:b/>
          <w:color w:val="000000" w:themeColor="text1"/>
          <w:sz w:val="22"/>
          <w:szCs w:val="21"/>
        </w:rPr>
        <w:t xml:space="preserve"> DU NUTRI-SCORE : LES 7 PAYS ENGAG</w:t>
      </w:r>
      <w:r>
        <w:rPr>
          <w:rFonts w:ascii="Marianne" w:hAnsi="Marianne" w:cs="Arial"/>
          <w:b/>
          <w:color w:val="000000" w:themeColor="text1"/>
          <w:sz w:val="22"/>
          <w:szCs w:val="21"/>
        </w:rPr>
        <w:t>É</w:t>
      </w:r>
      <w:r w:rsidRPr="007D4F1F">
        <w:rPr>
          <w:rFonts w:ascii="Marianne" w:hAnsi="Marianne" w:cs="Arial"/>
          <w:b/>
          <w:color w:val="000000" w:themeColor="text1"/>
          <w:sz w:val="22"/>
          <w:szCs w:val="21"/>
        </w:rPr>
        <w:t>S ADOPTENT UN ALGORITHME AMELIOR</w:t>
      </w:r>
      <w:r>
        <w:rPr>
          <w:rFonts w:ascii="Marianne" w:hAnsi="Marianne" w:cs="Arial"/>
          <w:b/>
          <w:color w:val="000000" w:themeColor="text1"/>
          <w:sz w:val="22"/>
          <w:szCs w:val="21"/>
        </w:rPr>
        <w:t>É</w:t>
      </w:r>
      <w:r w:rsidRPr="007D4F1F">
        <w:rPr>
          <w:rFonts w:ascii="Marianne" w:hAnsi="Marianne" w:cs="Arial"/>
          <w:b/>
          <w:color w:val="000000" w:themeColor="text1"/>
          <w:sz w:val="22"/>
          <w:szCs w:val="21"/>
        </w:rPr>
        <w:t xml:space="preserve"> POUR LES ALIMENTS</w:t>
      </w:r>
    </w:p>
    <w:p w14:paraId="5BCFC69B" w14:textId="77777777" w:rsidR="0072573D" w:rsidRPr="007D4F1F" w:rsidRDefault="0072573D" w:rsidP="0072573D">
      <w:pPr>
        <w:jc w:val="both"/>
        <w:rPr>
          <w:rFonts w:ascii="Marianne" w:hAnsi="Marianne" w:cs="Arial"/>
          <w:sz w:val="22"/>
        </w:rPr>
      </w:pPr>
    </w:p>
    <w:p w14:paraId="4285266C" w14:textId="77777777" w:rsidR="00750EBF" w:rsidRDefault="00750EBF" w:rsidP="00042DB6">
      <w:pPr>
        <w:jc w:val="both"/>
        <w:rPr>
          <w:rFonts w:ascii="Marianne" w:hAnsi="Marianne" w:cs="Arial"/>
          <w:b/>
          <w:sz w:val="18"/>
        </w:rPr>
      </w:pPr>
    </w:p>
    <w:p w14:paraId="4D03096A" w14:textId="3E210415" w:rsidR="00AD0D1D" w:rsidRPr="00AE29E1" w:rsidRDefault="001D55AA" w:rsidP="00042DB6">
      <w:pPr>
        <w:jc w:val="both"/>
        <w:rPr>
          <w:rFonts w:ascii="Marianne" w:hAnsi="Marianne" w:cs="Arial"/>
          <w:b/>
          <w:sz w:val="18"/>
        </w:rPr>
      </w:pPr>
      <w:r w:rsidRPr="00AE29E1">
        <w:rPr>
          <w:rFonts w:ascii="Marianne" w:hAnsi="Marianne" w:cs="Arial"/>
          <w:b/>
          <w:sz w:val="18"/>
        </w:rPr>
        <w:t xml:space="preserve">Les autorités compétentes de Belgique, France, Allemagne, Luxembourg, Pays-Bas, Espagne et Suisse ont adopté le 26 juillet </w:t>
      </w:r>
      <w:r w:rsidR="00F14903" w:rsidRPr="00AE29E1">
        <w:rPr>
          <w:rFonts w:ascii="Marianne" w:hAnsi="Marianne" w:cs="Arial"/>
          <w:b/>
          <w:sz w:val="18"/>
        </w:rPr>
        <w:t>les évolutions de l’algorithme du Nutri-Score pour les aliments, élaborées par le comité scientifique. Ces évolutions renforce</w:t>
      </w:r>
      <w:r w:rsidR="00F50EDC" w:rsidRPr="00AE29E1">
        <w:rPr>
          <w:rFonts w:ascii="Marianne" w:hAnsi="Marianne" w:cs="Arial"/>
          <w:b/>
          <w:sz w:val="18"/>
        </w:rPr>
        <w:t>ro</w:t>
      </w:r>
      <w:r w:rsidR="00F14903" w:rsidRPr="00AE29E1">
        <w:rPr>
          <w:rFonts w:ascii="Marianne" w:hAnsi="Marianne" w:cs="Arial"/>
          <w:b/>
          <w:sz w:val="18"/>
        </w:rPr>
        <w:t xml:space="preserve">nt l’efficacité du Nutri-Score pour </w:t>
      </w:r>
      <w:r w:rsidR="006F45EA" w:rsidRPr="00AE29E1">
        <w:rPr>
          <w:rFonts w:ascii="Marianne" w:hAnsi="Marianne" w:cs="Arial"/>
          <w:b/>
          <w:sz w:val="18"/>
        </w:rPr>
        <w:t>classer</w:t>
      </w:r>
      <w:r w:rsidR="00F14903" w:rsidRPr="00AE29E1">
        <w:rPr>
          <w:rFonts w:ascii="Marianne" w:hAnsi="Marianne" w:cs="Arial"/>
          <w:b/>
          <w:sz w:val="18"/>
        </w:rPr>
        <w:t xml:space="preserve"> les aliments en cohérence avec les recommandations alimentaires, et ainsi guider les consommateurs vers des choix alimentaires favorables à un meilleur état de santé.  </w:t>
      </w:r>
    </w:p>
    <w:p w14:paraId="088D10F0" w14:textId="3D8FCD8A" w:rsidR="00AD0D1D" w:rsidRPr="00AE29E1" w:rsidRDefault="00AD0D1D" w:rsidP="00042DB6">
      <w:pPr>
        <w:jc w:val="both"/>
        <w:rPr>
          <w:rFonts w:ascii="Marianne" w:hAnsi="Marianne" w:cs="Arial"/>
          <w:sz w:val="10"/>
          <w:szCs w:val="12"/>
        </w:rPr>
      </w:pPr>
    </w:p>
    <w:p w14:paraId="2D0E1841" w14:textId="0429AF52" w:rsidR="00DA3591" w:rsidRDefault="00DA3591" w:rsidP="00DA3591">
      <w:pPr>
        <w:jc w:val="both"/>
        <w:rPr>
          <w:rFonts w:ascii="Marianne" w:hAnsi="Marianne" w:cs="Arial"/>
          <w:sz w:val="18"/>
        </w:rPr>
      </w:pPr>
      <w:r w:rsidRPr="00AE29E1">
        <w:rPr>
          <w:rFonts w:ascii="Marianne" w:hAnsi="Marianne" w:cs="Arial"/>
          <w:sz w:val="18"/>
        </w:rPr>
        <w:t xml:space="preserve">Depuis son lancement en février 2021 par la gouvernance </w:t>
      </w:r>
      <w:r w:rsidR="000834BC">
        <w:rPr>
          <w:rFonts w:ascii="Marianne" w:hAnsi="Marianne" w:cs="Arial"/>
          <w:sz w:val="18"/>
        </w:rPr>
        <w:t>transnationale</w:t>
      </w:r>
      <w:r w:rsidRPr="00AE29E1">
        <w:rPr>
          <w:rFonts w:ascii="Marianne" w:hAnsi="Marianne" w:cs="Arial"/>
          <w:sz w:val="18"/>
        </w:rPr>
        <w:t xml:space="preserve">, le comité scientifique composé d'experts indépendants évalue l'algorithme du Nutri-Score pour le compte du comité de pilotage. </w:t>
      </w:r>
      <w:r w:rsidR="00076002">
        <w:rPr>
          <w:rFonts w:ascii="Marianne" w:hAnsi="Marianne" w:cs="Arial"/>
          <w:sz w:val="18"/>
        </w:rPr>
        <w:br/>
      </w:r>
      <w:r w:rsidR="00707E51">
        <w:rPr>
          <w:rFonts w:ascii="Marianne" w:hAnsi="Marianne" w:cs="Arial"/>
          <w:sz w:val="18"/>
        </w:rPr>
        <w:t>Il</w:t>
      </w:r>
      <w:r w:rsidR="00076002">
        <w:rPr>
          <w:rFonts w:ascii="Marianne" w:hAnsi="Marianne" w:cs="Arial"/>
          <w:sz w:val="18"/>
        </w:rPr>
        <w:t xml:space="preserve"> considère que l’algorithme </w:t>
      </w:r>
      <w:r w:rsidR="00707E51">
        <w:rPr>
          <w:rFonts w:ascii="Marianne" w:hAnsi="Marianne" w:cs="Arial"/>
          <w:sz w:val="18"/>
        </w:rPr>
        <w:t>actuel est efficace</w:t>
      </w:r>
      <w:r w:rsidR="00076002">
        <w:rPr>
          <w:rFonts w:ascii="Marianne" w:hAnsi="Marianne" w:cs="Arial"/>
          <w:sz w:val="18"/>
        </w:rPr>
        <w:t>.</w:t>
      </w:r>
      <w:r w:rsidRPr="00AE29E1">
        <w:rPr>
          <w:rFonts w:ascii="Marianne" w:hAnsi="Marianne" w:cs="Arial"/>
          <w:sz w:val="18"/>
        </w:rPr>
        <w:t xml:space="preserve"> </w:t>
      </w:r>
      <w:r w:rsidR="00837C50">
        <w:rPr>
          <w:rFonts w:ascii="Marianne" w:hAnsi="Marianne" w:cs="Arial"/>
          <w:sz w:val="18"/>
        </w:rPr>
        <w:t xml:space="preserve">Néanmoins, </w:t>
      </w:r>
      <w:r w:rsidRPr="00AE29E1">
        <w:rPr>
          <w:rFonts w:ascii="Marianne" w:hAnsi="Marianne" w:cs="Arial"/>
          <w:sz w:val="18"/>
        </w:rPr>
        <w:t xml:space="preserve">sur la base de preuves scientifiques solides et </w:t>
      </w:r>
      <w:r w:rsidR="003402F4">
        <w:rPr>
          <w:rFonts w:ascii="Marianne" w:hAnsi="Marianne" w:cs="Arial"/>
          <w:sz w:val="18"/>
        </w:rPr>
        <w:t>l</w:t>
      </w:r>
      <w:r w:rsidRPr="00AE29E1">
        <w:rPr>
          <w:rFonts w:ascii="Marianne" w:hAnsi="Marianne" w:cs="Arial"/>
          <w:sz w:val="18"/>
        </w:rPr>
        <w:t>es demandes des parties prenantes</w:t>
      </w:r>
      <w:r w:rsidR="00837C50">
        <w:rPr>
          <w:rFonts w:ascii="Marianne" w:hAnsi="Marianne" w:cs="Arial"/>
          <w:sz w:val="18"/>
        </w:rPr>
        <w:t>, le</w:t>
      </w:r>
      <w:r w:rsidR="00837C50" w:rsidRPr="00837C50">
        <w:rPr>
          <w:rFonts w:ascii="Marianne" w:hAnsi="Marianne" w:cs="Arial"/>
          <w:sz w:val="18"/>
        </w:rPr>
        <w:t xml:space="preserve"> </w:t>
      </w:r>
      <w:r w:rsidR="00837C50" w:rsidRPr="00AE29E1">
        <w:rPr>
          <w:rFonts w:ascii="Marianne" w:hAnsi="Marianne" w:cs="Arial"/>
          <w:sz w:val="18"/>
        </w:rPr>
        <w:t>comité scientifique</w:t>
      </w:r>
      <w:r w:rsidR="00837C50">
        <w:rPr>
          <w:rFonts w:ascii="Marianne" w:hAnsi="Marianne" w:cs="Arial"/>
          <w:sz w:val="18"/>
        </w:rPr>
        <w:t xml:space="preserve"> a identifié des domaines prioritaires pour renforcer l’efficacité de l’algorithme du Nutri-Score.</w:t>
      </w:r>
    </w:p>
    <w:p w14:paraId="628C4A77" w14:textId="3B119D82" w:rsidR="007D4F1F" w:rsidRDefault="007D4F1F" w:rsidP="00DA3591">
      <w:pPr>
        <w:jc w:val="both"/>
        <w:rPr>
          <w:rFonts w:ascii="Marianne" w:hAnsi="Marianne" w:cs="Arial"/>
          <w:sz w:val="18"/>
        </w:rPr>
      </w:pPr>
    </w:p>
    <w:p w14:paraId="38D9A838" w14:textId="77777777" w:rsidR="00750EBF" w:rsidRDefault="00750EBF" w:rsidP="003402F4">
      <w:pPr>
        <w:jc w:val="both"/>
        <w:rPr>
          <w:rFonts w:ascii="Marianne" w:eastAsia="Calibri" w:hAnsi="Marianne" w:cs="Calibri"/>
          <w:b/>
          <w:sz w:val="18"/>
          <w:szCs w:val="18"/>
          <w:shd w:val="clear" w:color="auto" w:fill="000091"/>
        </w:rPr>
      </w:pPr>
    </w:p>
    <w:p w14:paraId="25684721" w14:textId="77777777" w:rsidR="00750EBF" w:rsidRDefault="00750EBF" w:rsidP="003402F4">
      <w:pPr>
        <w:jc w:val="both"/>
        <w:rPr>
          <w:rFonts w:ascii="Marianne" w:eastAsia="Calibri" w:hAnsi="Marianne" w:cs="Calibri"/>
          <w:b/>
          <w:sz w:val="18"/>
          <w:szCs w:val="18"/>
          <w:shd w:val="clear" w:color="auto" w:fill="000091"/>
        </w:rPr>
      </w:pPr>
    </w:p>
    <w:p w14:paraId="526518A4" w14:textId="091FD62E" w:rsidR="003402F4" w:rsidRPr="00AE29E1" w:rsidRDefault="003402F4" w:rsidP="003402F4">
      <w:pPr>
        <w:jc w:val="both"/>
        <w:rPr>
          <w:rFonts w:ascii="Marianne" w:eastAsia="Calibri" w:hAnsi="Marianne" w:cs="Calibri"/>
          <w:b/>
          <w:sz w:val="18"/>
          <w:szCs w:val="18"/>
        </w:rPr>
      </w:pPr>
      <w:r w:rsidRPr="003402F4">
        <w:rPr>
          <w:rFonts w:ascii="Marianne" w:eastAsia="Calibri" w:hAnsi="Marianne" w:cs="Calibri"/>
          <w:b/>
          <w:sz w:val="18"/>
          <w:szCs w:val="18"/>
          <w:shd w:val="clear" w:color="auto" w:fill="000091"/>
        </w:rPr>
        <w:t>Proposition d’évolution de l’algorithme du N</w:t>
      </w:r>
      <w:r>
        <w:rPr>
          <w:rFonts w:ascii="Marianne" w:eastAsia="Calibri" w:hAnsi="Marianne" w:cs="Calibri"/>
          <w:b/>
          <w:sz w:val="18"/>
          <w:szCs w:val="18"/>
          <w:shd w:val="clear" w:color="auto" w:fill="000091"/>
        </w:rPr>
        <w:t xml:space="preserve">utri-Score pour les aliments </w:t>
      </w:r>
    </w:p>
    <w:p w14:paraId="7E265A02" w14:textId="77777777" w:rsidR="00B87427" w:rsidRPr="003402F4" w:rsidRDefault="00B87427" w:rsidP="00042DB6">
      <w:pPr>
        <w:jc w:val="both"/>
        <w:rPr>
          <w:rFonts w:ascii="Marianne" w:hAnsi="Marianne" w:cs="Arial"/>
          <w:sz w:val="18"/>
          <w:szCs w:val="12"/>
        </w:rPr>
      </w:pPr>
    </w:p>
    <w:p w14:paraId="4A5D5E5C" w14:textId="4E37833A" w:rsidR="008A1FC1" w:rsidRDefault="00AD0D1D" w:rsidP="00F71192">
      <w:pPr>
        <w:jc w:val="both"/>
        <w:rPr>
          <w:rFonts w:ascii="Marianne" w:hAnsi="Marianne" w:cs="Arial"/>
          <w:sz w:val="18"/>
        </w:rPr>
      </w:pPr>
      <w:r w:rsidRPr="00AE29E1">
        <w:rPr>
          <w:rFonts w:ascii="Marianne" w:hAnsi="Marianne" w:cs="Arial"/>
          <w:sz w:val="18"/>
        </w:rPr>
        <w:t xml:space="preserve">Dans son </w:t>
      </w:r>
      <w:r w:rsidRPr="00AE29E1">
        <w:rPr>
          <w:rFonts w:ascii="Marianne" w:hAnsi="Marianne" w:cs="Arial"/>
          <w:color w:val="2E74B5" w:themeColor="accent1" w:themeShade="BF"/>
          <w:sz w:val="18"/>
          <w:u w:val="single"/>
        </w:rPr>
        <w:t>rapport de juin 2022</w:t>
      </w:r>
      <w:r w:rsidRPr="00AE29E1">
        <w:rPr>
          <w:rFonts w:ascii="Marianne" w:hAnsi="Marianne" w:cs="Arial"/>
          <w:sz w:val="18"/>
        </w:rPr>
        <w:t>, le comité scientifique propose de</w:t>
      </w:r>
      <w:r w:rsidR="00BF5AF9" w:rsidRPr="00AE29E1">
        <w:rPr>
          <w:rFonts w:ascii="Marianne" w:hAnsi="Marianne" w:cs="Arial"/>
          <w:sz w:val="18"/>
        </w:rPr>
        <w:t>s</w:t>
      </w:r>
      <w:r w:rsidRPr="00AE29E1">
        <w:rPr>
          <w:rFonts w:ascii="Marianne" w:hAnsi="Marianne" w:cs="Arial"/>
          <w:sz w:val="18"/>
        </w:rPr>
        <w:t xml:space="preserve"> modifications de l’algorithme pour les aliments solides, afin d’améliorer la capacité du Nutri-Score à discriminer la qualité nutritionnelle des produits au sein de certains groupes d’aliments, en </w:t>
      </w:r>
      <w:r w:rsidR="00DA3591" w:rsidRPr="00AE29E1">
        <w:rPr>
          <w:rFonts w:ascii="Marianne" w:hAnsi="Marianne" w:cs="Arial"/>
          <w:sz w:val="18"/>
        </w:rPr>
        <w:t xml:space="preserve">meilleure </w:t>
      </w:r>
      <w:r w:rsidRPr="00AE29E1">
        <w:rPr>
          <w:rFonts w:ascii="Marianne" w:hAnsi="Marianne" w:cs="Arial"/>
          <w:sz w:val="18"/>
        </w:rPr>
        <w:t xml:space="preserve">cohérence avec les principales recommandations alimentaires </w:t>
      </w:r>
      <w:r w:rsidR="00F50EDC" w:rsidRPr="00AE29E1">
        <w:rPr>
          <w:rFonts w:ascii="Marianne" w:hAnsi="Marianne" w:cs="Arial"/>
          <w:sz w:val="18"/>
        </w:rPr>
        <w:t>adoptées par les Etats Membres</w:t>
      </w:r>
      <w:r w:rsidR="002E3A09">
        <w:rPr>
          <w:rFonts w:ascii="Marianne" w:hAnsi="Marianne" w:cs="Arial"/>
          <w:sz w:val="18"/>
        </w:rPr>
        <w:t xml:space="preserve"> et la Suisse</w:t>
      </w:r>
      <w:r w:rsidR="00F50EDC" w:rsidRPr="00AE29E1">
        <w:rPr>
          <w:rFonts w:ascii="Marianne" w:hAnsi="Marianne" w:cs="Arial"/>
          <w:sz w:val="18"/>
        </w:rPr>
        <w:t>. Ces groupes alimentaires incluent</w:t>
      </w:r>
      <w:r w:rsidRPr="00AE29E1">
        <w:rPr>
          <w:rFonts w:ascii="Marianne" w:hAnsi="Marianne" w:cs="Arial"/>
          <w:sz w:val="18"/>
        </w:rPr>
        <w:t xml:space="preserve"> les matières grasses dont les huiles végétales, les</w:t>
      </w:r>
      <w:r w:rsidR="002E3A09">
        <w:rPr>
          <w:rFonts w:ascii="Marianne" w:hAnsi="Marianne" w:cs="Arial"/>
          <w:sz w:val="18"/>
        </w:rPr>
        <w:t xml:space="preserve"> poissons et</w:t>
      </w:r>
      <w:r w:rsidRPr="00AE29E1">
        <w:rPr>
          <w:rFonts w:ascii="Marianne" w:hAnsi="Marianne" w:cs="Arial"/>
          <w:sz w:val="18"/>
        </w:rPr>
        <w:t xml:space="preserve"> produits de la mer, les produits céréaliers et en particulier le pain, ainsi que les produits laitiers dont les fromages. Si les boissons ont également été identifiées comme un groupe d’aliments susceptible de faire l’objet d’évolution de l’algorithme, les propositions du comité scient</w:t>
      </w:r>
      <w:r w:rsidR="003402F4">
        <w:rPr>
          <w:rFonts w:ascii="Marianne" w:hAnsi="Marianne" w:cs="Arial"/>
          <w:sz w:val="18"/>
        </w:rPr>
        <w:t xml:space="preserve">ifique </w:t>
      </w:r>
      <w:r w:rsidR="00621354">
        <w:rPr>
          <w:rFonts w:ascii="Marianne" w:hAnsi="Marianne" w:cs="Arial"/>
          <w:sz w:val="18"/>
        </w:rPr>
        <w:t xml:space="preserve">afférentes </w:t>
      </w:r>
      <w:r w:rsidR="003402F4">
        <w:rPr>
          <w:rFonts w:ascii="Marianne" w:hAnsi="Marianne" w:cs="Arial"/>
          <w:sz w:val="18"/>
        </w:rPr>
        <w:t>seront rendues fin 2022. L’évolution</w:t>
      </w:r>
      <w:r w:rsidR="00F14903" w:rsidRPr="00AE29E1">
        <w:rPr>
          <w:rFonts w:ascii="Marianne" w:hAnsi="Marianne" w:cs="Arial"/>
          <w:sz w:val="18"/>
        </w:rPr>
        <w:t xml:space="preserve"> de l’algorithme du Nutri-Score </w:t>
      </w:r>
      <w:r w:rsidR="00A428DC" w:rsidRPr="00AE29E1">
        <w:rPr>
          <w:rFonts w:ascii="Marianne" w:hAnsi="Marianne" w:cs="Arial"/>
          <w:sz w:val="18"/>
        </w:rPr>
        <w:t>permet</w:t>
      </w:r>
      <w:r w:rsidR="00F14903" w:rsidRPr="00AE29E1">
        <w:rPr>
          <w:rFonts w:ascii="Marianne" w:hAnsi="Marianne" w:cs="Arial"/>
          <w:sz w:val="18"/>
        </w:rPr>
        <w:t xml:space="preserve"> d’atteindre les</w:t>
      </w:r>
      <w:r w:rsidR="003506E5" w:rsidRPr="00AE29E1">
        <w:rPr>
          <w:rFonts w:ascii="Marianne" w:hAnsi="Marianne" w:cs="Arial"/>
          <w:sz w:val="18"/>
        </w:rPr>
        <w:t xml:space="preserve"> principaux</w:t>
      </w:r>
      <w:r w:rsidR="00F14903" w:rsidRPr="00AE29E1">
        <w:rPr>
          <w:rFonts w:ascii="Marianne" w:hAnsi="Marianne" w:cs="Arial"/>
          <w:sz w:val="18"/>
        </w:rPr>
        <w:t xml:space="preserve"> objectifs suivants</w:t>
      </w:r>
      <w:r w:rsidR="003506E5" w:rsidRPr="00AE29E1">
        <w:rPr>
          <w:rFonts w:ascii="Marianne" w:hAnsi="Marianne" w:cs="Arial"/>
          <w:sz w:val="18"/>
        </w:rPr>
        <w:t xml:space="preserve"> en </w:t>
      </w:r>
      <w:r w:rsidR="003402F4">
        <w:rPr>
          <w:rFonts w:ascii="Marianne" w:hAnsi="Marianne" w:cs="Arial"/>
          <w:sz w:val="18"/>
        </w:rPr>
        <w:t xml:space="preserve">meilleure </w:t>
      </w:r>
      <w:r w:rsidR="003506E5" w:rsidRPr="00AE29E1">
        <w:rPr>
          <w:rFonts w:ascii="Marianne" w:hAnsi="Marianne" w:cs="Arial"/>
          <w:sz w:val="18"/>
        </w:rPr>
        <w:t>cohérence avec les recommandations alimentaires</w:t>
      </w:r>
      <w:r w:rsidR="00F14903" w:rsidRPr="00AE29E1">
        <w:rPr>
          <w:rFonts w:ascii="Marianne" w:hAnsi="Marianne" w:cs="Arial"/>
          <w:sz w:val="18"/>
        </w:rPr>
        <w:t xml:space="preserve"> : </w:t>
      </w:r>
    </w:p>
    <w:p w14:paraId="1399C202" w14:textId="03D4FA33" w:rsidR="00101EC9" w:rsidRPr="00AE29E1" w:rsidRDefault="00101EC9" w:rsidP="00F71192">
      <w:pPr>
        <w:jc w:val="both"/>
        <w:rPr>
          <w:rFonts w:ascii="Marianne" w:hAnsi="Marianne" w:cs="Arial"/>
          <w:sz w:val="18"/>
        </w:rPr>
      </w:pPr>
    </w:p>
    <w:p w14:paraId="3DC69EA0" w14:textId="4DB32963" w:rsidR="00101EC9" w:rsidRDefault="00101EC9" w:rsidP="00F71192">
      <w:pPr>
        <w:jc w:val="both"/>
        <w:rPr>
          <w:rFonts w:ascii="Marianne" w:hAnsi="Marianne" w:cs="Arial"/>
          <w:sz w:val="18"/>
        </w:rPr>
      </w:pPr>
    </w:p>
    <w:p w14:paraId="55943679" w14:textId="7EF68A51" w:rsidR="008A1FC1" w:rsidRPr="00AE29E1" w:rsidRDefault="008A1FC1" w:rsidP="00F71192">
      <w:pPr>
        <w:jc w:val="both"/>
        <w:rPr>
          <w:rFonts w:ascii="Marianne" w:hAnsi="Marianne" w:cs="Arial"/>
          <w:sz w:val="18"/>
        </w:rPr>
      </w:pPr>
    </w:p>
    <w:p w14:paraId="1E08A36D" w14:textId="5B7E1C99" w:rsidR="008A1FC1" w:rsidRPr="00AE29E1" w:rsidRDefault="008A1FC1" w:rsidP="00F71192">
      <w:pPr>
        <w:jc w:val="both"/>
        <w:rPr>
          <w:rFonts w:ascii="Marianne" w:hAnsi="Marianne"/>
          <w:noProof/>
          <w:sz w:val="22"/>
          <w:lang w:eastAsia="fr-FR"/>
        </w:rPr>
      </w:pPr>
    </w:p>
    <w:p w14:paraId="57D15666" w14:textId="6E19B39B" w:rsidR="008A1FC1" w:rsidRPr="00AE29E1" w:rsidRDefault="008A1FC1" w:rsidP="00F71192">
      <w:pPr>
        <w:jc w:val="both"/>
        <w:rPr>
          <w:rFonts w:ascii="Marianne" w:hAnsi="Marianne"/>
          <w:noProof/>
          <w:sz w:val="22"/>
          <w:lang w:eastAsia="fr-FR"/>
        </w:rPr>
      </w:pPr>
    </w:p>
    <w:p w14:paraId="75699E99" w14:textId="49E1901D" w:rsidR="008A1FC1" w:rsidRPr="00AE29E1" w:rsidRDefault="008A1FC1" w:rsidP="00F71192">
      <w:pPr>
        <w:jc w:val="both"/>
        <w:rPr>
          <w:rFonts w:ascii="Marianne" w:hAnsi="Marianne" w:cs="Arial"/>
          <w:sz w:val="18"/>
        </w:rPr>
      </w:pPr>
    </w:p>
    <w:p w14:paraId="56F38375" w14:textId="570716B7" w:rsidR="008A1FC1" w:rsidRPr="00AE29E1" w:rsidRDefault="008A1FC1" w:rsidP="00F71192">
      <w:pPr>
        <w:jc w:val="both"/>
        <w:rPr>
          <w:rFonts w:ascii="Marianne" w:hAnsi="Marianne" w:cs="Arial"/>
          <w:sz w:val="18"/>
        </w:rPr>
      </w:pPr>
    </w:p>
    <w:p w14:paraId="45FF43F2" w14:textId="0091DF0B" w:rsidR="008A1FC1" w:rsidRPr="00AE29E1" w:rsidRDefault="008A1FC1" w:rsidP="00F71192">
      <w:pPr>
        <w:jc w:val="both"/>
        <w:rPr>
          <w:rFonts w:ascii="Marianne" w:hAnsi="Marianne" w:cs="Arial"/>
          <w:sz w:val="18"/>
        </w:rPr>
      </w:pPr>
    </w:p>
    <w:p w14:paraId="2C7FA9CE" w14:textId="38A21030" w:rsidR="008A1FC1" w:rsidRPr="00AE29E1" w:rsidRDefault="008A1FC1" w:rsidP="00F71192">
      <w:pPr>
        <w:jc w:val="both"/>
        <w:rPr>
          <w:rFonts w:ascii="Marianne" w:hAnsi="Marianne" w:cs="Arial"/>
          <w:sz w:val="18"/>
        </w:rPr>
      </w:pPr>
    </w:p>
    <w:p w14:paraId="3C53DECC" w14:textId="3604E572" w:rsidR="008A1FC1" w:rsidRPr="00AE29E1" w:rsidRDefault="008A1FC1" w:rsidP="00F71192">
      <w:pPr>
        <w:jc w:val="both"/>
        <w:rPr>
          <w:rFonts w:ascii="Marianne" w:hAnsi="Marianne" w:cs="Arial"/>
          <w:sz w:val="18"/>
        </w:rPr>
      </w:pPr>
    </w:p>
    <w:p w14:paraId="5875937B" w14:textId="73B69FC9" w:rsidR="008A1FC1" w:rsidRPr="00AE29E1" w:rsidRDefault="00750EBF" w:rsidP="00F71192">
      <w:pPr>
        <w:jc w:val="both"/>
        <w:rPr>
          <w:rFonts w:ascii="Marianne" w:hAnsi="Marianne" w:cs="Arial"/>
          <w:sz w:val="18"/>
        </w:rPr>
      </w:pPr>
      <w:r>
        <w:rPr>
          <w:rFonts w:ascii="Marianne" w:hAnsi="Marianne" w:cs="Arial"/>
          <w:noProof/>
          <w:sz w:val="18"/>
          <w:lang w:eastAsia="fr-FR"/>
        </w:rPr>
        <w:drawing>
          <wp:anchor distT="0" distB="0" distL="114300" distR="114300" simplePos="0" relativeHeight="251668480" behindDoc="0" locked="0" layoutInCell="1" allowOverlap="1" wp14:anchorId="1922C9E8" wp14:editId="129D7259">
            <wp:simplePos x="0" y="0"/>
            <wp:positionH relativeFrom="margin">
              <wp:posOffset>-577850</wp:posOffset>
            </wp:positionH>
            <wp:positionV relativeFrom="margin">
              <wp:posOffset>-615315</wp:posOffset>
            </wp:positionV>
            <wp:extent cx="6649720" cy="4198620"/>
            <wp:effectExtent l="0" t="0" r="0" b="0"/>
            <wp:wrapSquare wrapText="bothSides"/>
            <wp:docPr id="440" name="Imag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9720" cy="4198620"/>
                    </a:xfrm>
                    <a:prstGeom prst="rect">
                      <a:avLst/>
                    </a:prstGeom>
                    <a:noFill/>
                  </pic:spPr>
                </pic:pic>
              </a:graphicData>
            </a:graphic>
          </wp:anchor>
        </w:drawing>
      </w:r>
    </w:p>
    <w:p w14:paraId="6AEF51B8" w14:textId="7A1EF52E" w:rsidR="00101EC9" w:rsidRDefault="00101EC9" w:rsidP="003402F4">
      <w:pPr>
        <w:jc w:val="both"/>
        <w:rPr>
          <w:rFonts w:ascii="Marianne" w:eastAsia="Calibri" w:hAnsi="Marianne" w:cs="Calibri"/>
          <w:b/>
          <w:sz w:val="18"/>
          <w:szCs w:val="18"/>
          <w:shd w:val="clear" w:color="auto" w:fill="000091"/>
        </w:rPr>
      </w:pPr>
    </w:p>
    <w:p w14:paraId="3E30FE2B" w14:textId="71E65D47" w:rsidR="003402F4" w:rsidRPr="00AE29E1" w:rsidRDefault="003402F4" w:rsidP="003402F4">
      <w:pPr>
        <w:jc w:val="both"/>
        <w:rPr>
          <w:rFonts w:ascii="Marianne" w:eastAsia="Calibri" w:hAnsi="Marianne" w:cs="Calibri"/>
          <w:b/>
          <w:sz w:val="18"/>
          <w:szCs w:val="18"/>
        </w:rPr>
      </w:pPr>
      <w:r>
        <w:rPr>
          <w:rFonts w:ascii="Marianne" w:eastAsia="Calibri" w:hAnsi="Marianne" w:cs="Calibri"/>
          <w:b/>
          <w:sz w:val="18"/>
          <w:szCs w:val="18"/>
          <w:shd w:val="clear" w:color="auto" w:fill="000091"/>
        </w:rPr>
        <w:t>Décision du comité de pilotage sur les premières propositions d’évolution du Nutri-Score</w:t>
      </w:r>
    </w:p>
    <w:p w14:paraId="35EACB12" w14:textId="77777777" w:rsidR="00AD0D1D" w:rsidRPr="00AE29E1" w:rsidRDefault="00AD0D1D" w:rsidP="00AD0D1D">
      <w:pPr>
        <w:jc w:val="both"/>
        <w:rPr>
          <w:rFonts w:ascii="Marianne" w:hAnsi="Marianne" w:cs="Arial"/>
          <w:sz w:val="18"/>
        </w:rPr>
      </w:pPr>
    </w:p>
    <w:p w14:paraId="0B7D3846" w14:textId="76A70D00" w:rsidR="00504590" w:rsidRPr="00AE29E1" w:rsidRDefault="003F5AB4" w:rsidP="00AD0D1D">
      <w:pPr>
        <w:jc w:val="both"/>
        <w:rPr>
          <w:rFonts w:ascii="Marianne" w:hAnsi="Marianne" w:cs="Arial"/>
          <w:sz w:val="18"/>
        </w:rPr>
      </w:pPr>
      <w:r w:rsidRPr="00AE29E1">
        <w:rPr>
          <w:rFonts w:ascii="Marianne" w:hAnsi="Marianne" w:cs="Arial"/>
          <w:sz w:val="18"/>
        </w:rPr>
        <w:t>Conformément au mandat du comité de pilotage, l</w:t>
      </w:r>
      <w:r w:rsidR="00AD0D1D" w:rsidRPr="00AE29E1">
        <w:rPr>
          <w:rFonts w:ascii="Marianne" w:hAnsi="Marianne" w:cs="Arial"/>
          <w:sz w:val="18"/>
        </w:rPr>
        <w:t>es 7 pays engagés au sein de la gouvernance du Nutri-Score</w:t>
      </w:r>
      <w:r w:rsidR="004A0857" w:rsidRPr="00AE29E1">
        <w:rPr>
          <w:rFonts w:ascii="Marianne" w:hAnsi="Marianne" w:cs="Arial"/>
          <w:sz w:val="18"/>
        </w:rPr>
        <w:t xml:space="preserve"> se sont réunis le </w:t>
      </w:r>
      <w:r w:rsidR="00276393" w:rsidRPr="00AE29E1">
        <w:rPr>
          <w:rFonts w:ascii="Marianne" w:hAnsi="Marianne" w:cs="Arial"/>
          <w:sz w:val="18"/>
        </w:rPr>
        <w:t>26</w:t>
      </w:r>
      <w:r w:rsidR="004A0857" w:rsidRPr="00AE29E1">
        <w:rPr>
          <w:rFonts w:ascii="Marianne" w:hAnsi="Marianne" w:cs="Arial"/>
          <w:sz w:val="18"/>
        </w:rPr>
        <w:t xml:space="preserve"> juillet</w:t>
      </w:r>
      <w:r w:rsidR="00276393" w:rsidRPr="00AE29E1">
        <w:rPr>
          <w:rFonts w:ascii="Marianne" w:hAnsi="Marianne" w:cs="Arial"/>
          <w:sz w:val="18"/>
        </w:rPr>
        <w:t xml:space="preserve"> </w:t>
      </w:r>
      <w:r w:rsidR="00621354">
        <w:rPr>
          <w:rFonts w:ascii="Marianne" w:hAnsi="Marianne" w:cs="Arial"/>
          <w:sz w:val="18"/>
        </w:rPr>
        <w:t>2022</w:t>
      </w:r>
      <w:r w:rsidR="004A0857" w:rsidRPr="00AE29E1">
        <w:rPr>
          <w:rFonts w:ascii="Marianne" w:hAnsi="Marianne" w:cs="Arial"/>
          <w:sz w:val="18"/>
        </w:rPr>
        <w:t xml:space="preserve"> afin</w:t>
      </w:r>
      <w:r w:rsidR="00504590" w:rsidRPr="00AE29E1">
        <w:rPr>
          <w:rFonts w:ascii="Marianne" w:hAnsi="Marianne" w:cs="Arial"/>
          <w:sz w:val="18"/>
        </w:rPr>
        <w:t xml:space="preserve"> de rendre un avis sur les propositions d’évolution de l’algorithme du Nutri-Score pour les aliments</w:t>
      </w:r>
      <w:r w:rsidR="00F50EDC" w:rsidRPr="00AE29E1">
        <w:rPr>
          <w:rFonts w:ascii="Marianne" w:hAnsi="Marianne" w:cs="Arial"/>
          <w:sz w:val="18"/>
        </w:rPr>
        <w:t>, proposées par le comité scientifique et basées sur des preuves scientifiques solides</w:t>
      </w:r>
      <w:r w:rsidR="00504590" w:rsidRPr="00AE29E1">
        <w:rPr>
          <w:rFonts w:ascii="Marianne" w:hAnsi="Marianne" w:cs="Arial"/>
          <w:sz w:val="18"/>
        </w:rPr>
        <w:t xml:space="preserve">. </w:t>
      </w:r>
      <w:r w:rsidR="00276393" w:rsidRPr="00AE29E1">
        <w:rPr>
          <w:rFonts w:ascii="Marianne" w:hAnsi="Marianne" w:cs="Arial"/>
          <w:sz w:val="18"/>
        </w:rPr>
        <w:t xml:space="preserve">Au regard de l’impact positif de ces modifications sur la classification des aliments par le Nutri-Score, en cohérence avec les </w:t>
      </w:r>
      <w:r w:rsidR="00C02922">
        <w:rPr>
          <w:rFonts w:ascii="Marianne" w:hAnsi="Marianne" w:cs="Arial"/>
          <w:sz w:val="18"/>
        </w:rPr>
        <w:t>recommandations alimentaires</w:t>
      </w:r>
      <w:r w:rsidR="00276393" w:rsidRPr="00AE29E1">
        <w:rPr>
          <w:rFonts w:ascii="Marianne" w:hAnsi="Marianne" w:cs="Arial"/>
          <w:sz w:val="18"/>
        </w:rPr>
        <w:t>, le comité de pilotage a voté en faveur de l</w:t>
      </w:r>
      <w:r w:rsidR="00FC2B23">
        <w:rPr>
          <w:rFonts w:ascii="Marianne" w:hAnsi="Marianne" w:cs="Arial"/>
          <w:sz w:val="18"/>
        </w:rPr>
        <w:t>'</w:t>
      </w:r>
      <w:r w:rsidR="00276393" w:rsidRPr="00AE29E1">
        <w:rPr>
          <w:rFonts w:ascii="Marianne" w:hAnsi="Marianne" w:cs="Arial"/>
          <w:sz w:val="18"/>
        </w:rPr>
        <w:t xml:space="preserve">’adoption de ces évolutions </w:t>
      </w:r>
      <w:r w:rsidR="00FC2B23">
        <w:rPr>
          <w:rFonts w:ascii="Marianne" w:hAnsi="Marianne" w:cs="Arial"/>
          <w:sz w:val="18"/>
        </w:rPr>
        <w:t>de</w:t>
      </w:r>
      <w:r w:rsidR="00276393" w:rsidRPr="00AE29E1">
        <w:rPr>
          <w:rFonts w:ascii="Marianne" w:hAnsi="Marianne" w:cs="Arial"/>
          <w:sz w:val="18"/>
        </w:rPr>
        <w:t xml:space="preserve"> l’algorithme de calcul pour les aliments solides.</w:t>
      </w:r>
    </w:p>
    <w:p w14:paraId="5CE36BFC" w14:textId="77777777" w:rsidR="003402F4" w:rsidRPr="007A795E" w:rsidRDefault="003402F4" w:rsidP="0072573D">
      <w:pPr>
        <w:ind w:right="137"/>
        <w:jc w:val="both"/>
        <w:rPr>
          <w:rFonts w:ascii="Marianne" w:hAnsi="Marianne"/>
          <w:sz w:val="22"/>
        </w:rPr>
      </w:pPr>
    </w:p>
    <w:p w14:paraId="64E88489" w14:textId="77777777" w:rsidR="00750EBF" w:rsidRDefault="00750EBF" w:rsidP="003402F4">
      <w:pPr>
        <w:jc w:val="both"/>
        <w:rPr>
          <w:rFonts w:ascii="Marianne" w:eastAsia="Calibri" w:hAnsi="Marianne" w:cs="Calibri"/>
          <w:b/>
          <w:sz w:val="18"/>
          <w:szCs w:val="18"/>
          <w:shd w:val="clear" w:color="auto" w:fill="000091"/>
        </w:rPr>
      </w:pPr>
    </w:p>
    <w:p w14:paraId="1D01A27A" w14:textId="2C7D7B1B" w:rsidR="003402F4" w:rsidRPr="007A795E" w:rsidRDefault="003402F4" w:rsidP="003402F4">
      <w:pPr>
        <w:jc w:val="both"/>
        <w:rPr>
          <w:rFonts w:ascii="Marianne" w:eastAsia="Calibri" w:hAnsi="Marianne" w:cs="Calibri"/>
          <w:b/>
          <w:sz w:val="18"/>
          <w:szCs w:val="18"/>
        </w:rPr>
      </w:pPr>
      <w:r w:rsidRPr="007A795E">
        <w:rPr>
          <w:rFonts w:ascii="Marianne" w:eastAsia="Calibri" w:hAnsi="Marianne" w:cs="Calibri"/>
          <w:b/>
          <w:sz w:val="18"/>
          <w:szCs w:val="18"/>
          <w:shd w:val="clear" w:color="auto" w:fill="000091"/>
        </w:rPr>
        <w:t>Prochaines étapes</w:t>
      </w:r>
    </w:p>
    <w:p w14:paraId="567298CA" w14:textId="2CC1AC74" w:rsidR="004A0857" w:rsidRPr="007A795E" w:rsidRDefault="004A0857" w:rsidP="0001785C">
      <w:pPr>
        <w:spacing w:line="269" w:lineRule="auto"/>
        <w:ind w:right="2"/>
        <w:rPr>
          <w:rFonts w:ascii="Marianne" w:hAnsi="Marianne" w:cs="Arial"/>
          <w:sz w:val="18"/>
        </w:rPr>
      </w:pPr>
    </w:p>
    <w:p w14:paraId="3877FB43" w14:textId="47D70D4A" w:rsidR="0030211D" w:rsidRDefault="00DA3591" w:rsidP="00276393">
      <w:pPr>
        <w:jc w:val="both"/>
        <w:rPr>
          <w:rFonts w:ascii="Marianne" w:hAnsi="Marianne" w:cs="Arial"/>
          <w:sz w:val="18"/>
        </w:rPr>
      </w:pPr>
      <w:r w:rsidRPr="00AE29E1">
        <w:rPr>
          <w:rFonts w:ascii="Marianne" w:hAnsi="Marianne" w:cs="Arial"/>
          <w:sz w:val="18"/>
        </w:rPr>
        <w:t>La décision du comité de pilotage d’adopter les propositions et la publication du rapport scientifique sur l’évolution de l’algorithme pour les produits solides constitue</w:t>
      </w:r>
      <w:r w:rsidR="003402F4">
        <w:rPr>
          <w:rFonts w:ascii="Marianne" w:hAnsi="Marianne" w:cs="Arial"/>
          <w:sz w:val="18"/>
        </w:rPr>
        <w:t>nt</w:t>
      </w:r>
      <w:r w:rsidRPr="00AE29E1">
        <w:rPr>
          <w:rFonts w:ascii="Marianne" w:hAnsi="Marianne" w:cs="Arial"/>
          <w:sz w:val="18"/>
        </w:rPr>
        <w:t xml:space="preserve"> la première étape du processus d’évolution. L</w:t>
      </w:r>
      <w:r w:rsidR="005179C4">
        <w:rPr>
          <w:rFonts w:ascii="Marianne" w:hAnsi="Marianne" w:cs="Arial"/>
          <w:sz w:val="18"/>
        </w:rPr>
        <w:t xml:space="preserve">a prochaine </w:t>
      </w:r>
      <w:r w:rsidRPr="00AE29E1">
        <w:rPr>
          <w:rFonts w:ascii="Marianne" w:hAnsi="Marianne" w:cs="Arial"/>
          <w:sz w:val="18"/>
        </w:rPr>
        <w:t>étape</w:t>
      </w:r>
      <w:r w:rsidR="00922DA1">
        <w:rPr>
          <w:rFonts w:ascii="Marianne" w:hAnsi="Marianne" w:cs="Arial"/>
          <w:sz w:val="18"/>
        </w:rPr>
        <w:t xml:space="preserve"> finalisant l’évolution complète de l’algorithme</w:t>
      </w:r>
      <w:r w:rsidRPr="00AE29E1">
        <w:rPr>
          <w:rFonts w:ascii="Marianne" w:hAnsi="Marianne" w:cs="Arial"/>
          <w:sz w:val="18"/>
        </w:rPr>
        <w:t xml:space="preserve"> interviendra en fin d’année 2022 avec des propositions de révision de l’algorithme pour les boissons. </w:t>
      </w:r>
    </w:p>
    <w:p w14:paraId="09634A81" w14:textId="77777777" w:rsidR="0030211D" w:rsidRDefault="0030211D" w:rsidP="00276393">
      <w:pPr>
        <w:jc w:val="both"/>
        <w:rPr>
          <w:rFonts w:ascii="Marianne" w:hAnsi="Marianne" w:cs="Arial"/>
          <w:sz w:val="18"/>
        </w:rPr>
      </w:pPr>
    </w:p>
    <w:p w14:paraId="560AEDAE" w14:textId="51AA063D" w:rsidR="00852DEA" w:rsidRPr="003402F4" w:rsidRDefault="00AE69E5" w:rsidP="00276393">
      <w:pPr>
        <w:jc w:val="both"/>
        <w:rPr>
          <w:rFonts w:ascii="Marianne" w:hAnsi="Marianne" w:cs="Arial"/>
          <w:sz w:val="18"/>
        </w:rPr>
      </w:pPr>
      <w:r w:rsidRPr="00432E43">
        <w:rPr>
          <w:rFonts w:ascii="Marianne" w:hAnsi="Marianne" w:cs="Arial"/>
          <w:sz w:val="18"/>
        </w:rPr>
        <w:t>L</w:t>
      </w:r>
      <w:r w:rsidR="0030211D" w:rsidRPr="00432E43">
        <w:rPr>
          <w:rFonts w:ascii="Marianne" w:hAnsi="Marianne" w:cs="Arial"/>
          <w:sz w:val="18"/>
        </w:rPr>
        <w:t xml:space="preserve">a </w:t>
      </w:r>
      <w:r w:rsidRPr="00432E43">
        <w:rPr>
          <w:rFonts w:ascii="Marianne" w:hAnsi="Marianne" w:cs="Arial"/>
          <w:sz w:val="18"/>
        </w:rPr>
        <w:t xml:space="preserve">mise en œuvre du nouvel algorithme du Nutri-Score </w:t>
      </w:r>
      <w:r w:rsidR="001D42F9" w:rsidRPr="001D42F9">
        <w:rPr>
          <w:rFonts w:ascii="Marianne" w:hAnsi="Marianne" w:cs="Arial"/>
          <w:sz w:val="18"/>
        </w:rPr>
        <w:t xml:space="preserve">dans les pays ayant déjà mis en </w:t>
      </w:r>
      <w:r w:rsidR="001D42F9">
        <w:rPr>
          <w:rFonts w:ascii="Marianne" w:hAnsi="Marianne" w:cs="Arial"/>
          <w:sz w:val="18"/>
        </w:rPr>
        <w:t>place</w:t>
      </w:r>
      <w:r w:rsidR="001D42F9" w:rsidRPr="001D42F9">
        <w:rPr>
          <w:rFonts w:ascii="Marianne" w:hAnsi="Marianne" w:cs="Arial"/>
          <w:sz w:val="18"/>
        </w:rPr>
        <w:t xml:space="preserve"> le logo </w:t>
      </w:r>
      <w:r w:rsidRPr="00432E43">
        <w:rPr>
          <w:rFonts w:ascii="Marianne" w:hAnsi="Marianne" w:cs="Arial"/>
          <w:sz w:val="18"/>
        </w:rPr>
        <w:t>sera établi</w:t>
      </w:r>
      <w:r w:rsidR="0030211D" w:rsidRPr="00432E43">
        <w:rPr>
          <w:rFonts w:ascii="Marianne" w:hAnsi="Marianne" w:cs="Arial"/>
          <w:sz w:val="18"/>
        </w:rPr>
        <w:t>e</w:t>
      </w:r>
      <w:r w:rsidRPr="00432E43">
        <w:rPr>
          <w:rFonts w:ascii="Marianne" w:hAnsi="Marianne" w:cs="Arial"/>
          <w:sz w:val="18"/>
        </w:rPr>
        <w:t xml:space="preserve"> une fois l’algorithme complet ad</w:t>
      </w:r>
      <w:r w:rsidR="00666ACA" w:rsidRPr="00432E43">
        <w:rPr>
          <w:rFonts w:ascii="Marianne" w:hAnsi="Marianne" w:cs="Arial"/>
          <w:sz w:val="18"/>
        </w:rPr>
        <w:t xml:space="preserve">opté par le comité de pilotage. </w:t>
      </w:r>
      <w:r w:rsidR="003402F4" w:rsidRPr="00432E43">
        <w:rPr>
          <w:rFonts w:ascii="Marianne" w:hAnsi="Marianne" w:cs="Arial"/>
          <w:sz w:val="18"/>
        </w:rPr>
        <w:t>A partir de la date d’entrée en vigueur d</w:t>
      </w:r>
      <w:r w:rsidR="0001785C" w:rsidRPr="00432E43">
        <w:rPr>
          <w:rFonts w:ascii="Marianne" w:hAnsi="Marianne" w:cs="Arial"/>
          <w:sz w:val="18"/>
        </w:rPr>
        <w:t>u nouvel algorithme</w:t>
      </w:r>
      <w:r w:rsidR="00297236" w:rsidRPr="00432E43">
        <w:rPr>
          <w:rFonts w:ascii="Marianne" w:hAnsi="Marianne" w:cs="Arial"/>
          <w:sz w:val="18"/>
        </w:rPr>
        <w:t>,</w:t>
      </w:r>
      <w:r w:rsidR="00666ACA" w:rsidRPr="00432E43">
        <w:rPr>
          <w:rFonts w:ascii="Marianne" w:hAnsi="Marianne" w:cs="Arial"/>
          <w:sz w:val="18"/>
        </w:rPr>
        <w:t xml:space="preserve"> </w:t>
      </w:r>
      <w:r w:rsidR="0001785C" w:rsidRPr="00432E43">
        <w:rPr>
          <w:rFonts w:ascii="Marianne" w:hAnsi="Marianne" w:cs="Arial"/>
          <w:sz w:val="18"/>
        </w:rPr>
        <w:t xml:space="preserve">une période suffisamment longue sera laissée aux opérateurs pour </w:t>
      </w:r>
      <w:r w:rsidR="003402F4" w:rsidRPr="00432E43">
        <w:rPr>
          <w:rFonts w:ascii="Marianne" w:hAnsi="Marianne" w:cs="Arial"/>
          <w:sz w:val="18"/>
        </w:rPr>
        <w:t>permettre</w:t>
      </w:r>
      <w:r w:rsidR="0001785C" w:rsidRPr="00432E43">
        <w:rPr>
          <w:rFonts w:ascii="Marianne" w:hAnsi="Marianne" w:cs="Arial"/>
          <w:sz w:val="18"/>
        </w:rPr>
        <w:t xml:space="preserve"> la mise en œuvre du logo. </w:t>
      </w:r>
      <w:r w:rsidR="00297236" w:rsidRPr="00432E43">
        <w:rPr>
          <w:rFonts w:ascii="Marianne" w:hAnsi="Marianne" w:cs="Arial"/>
          <w:sz w:val="18"/>
        </w:rPr>
        <w:t>Afin de faciliter ce déploiement, u</w:t>
      </w:r>
      <w:r w:rsidR="003402F4" w:rsidRPr="00432E43">
        <w:rPr>
          <w:rFonts w:ascii="Marianne" w:hAnsi="Marianne" w:cs="Arial"/>
          <w:sz w:val="18"/>
        </w:rPr>
        <w:t xml:space="preserve">n </w:t>
      </w:r>
      <w:r w:rsidR="006C3919" w:rsidRPr="00432E43">
        <w:rPr>
          <w:rFonts w:ascii="Marianne" w:hAnsi="Marianne" w:cs="Arial"/>
          <w:sz w:val="18"/>
        </w:rPr>
        <w:t>accompagnement</w:t>
      </w:r>
      <w:r w:rsidR="003402F4" w:rsidRPr="00432E43">
        <w:rPr>
          <w:rFonts w:ascii="Marianne" w:hAnsi="Marianne" w:cs="Arial"/>
          <w:sz w:val="18"/>
        </w:rPr>
        <w:t xml:space="preserve"> des opérateurs sera </w:t>
      </w:r>
      <w:r w:rsidR="006C3919" w:rsidRPr="00432E43">
        <w:rPr>
          <w:rFonts w:ascii="Marianne" w:hAnsi="Marianne" w:cs="Arial"/>
          <w:sz w:val="18"/>
        </w:rPr>
        <w:t>réalisé</w:t>
      </w:r>
      <w:r w:rsidR="00852DEA" w:rsidRPr="00432E43">
        <w:rPr>
          <w:rFonts w:ascii="Marianne" w:hAnsi="Marianne" w:cs="Arial"/>
          <w:sz w:val="18"/>
        </w:rPr>
        <w:t xml:space="preserve"> dans les différents pays engagés</w:t>
      </w:r>
      <w:r w:rsidR="003402F4" w:rsidRPr="00432E43">
        <w:rPr>
          <w:rFonts w:ascii="Marianne" w:hAnsi="Marianne" w:cs="Arial"/>
          <w:sz w:val="18"/>
        </w:rPr>
        <w:t>.</w:t>
      </w:r>
    </w:p>
    <w:p w14:paraId="7C4D09F1" w14:textId="77777777" w:rsidR="0001785C" w:rsidRPr="003402F4" w:rsidRDefault="0001785C" w:rsidP="0001785C">
      <w:pPr>
        <w:spacing w:line="269" w:lineRule="auto"/>
        <w:ind w:right="2"/>
        <w:rPr>
          <w:rFonts w:ascii="Marianne" w:hAnsi="Marianne" w:cs="Arial"/>
          <w:sz w:val="18"/>
        </w:rPr>
      </w:pPr>
    </w:p>
    <w:p w14:paraId="32836BAC" w14:textId="457CA65E" w:rsidR="0001785C" w:rsidRPr="003402F4" w:rsidRDefault="0001785C" w:rsidP="0001785C">
      <w:pPr>
        <w:spacing w:line="269" w:lineRule="auto"/>
        <w:ind w:right="2"/>
        <w:rPr>
          <w:rFonts w:ascii="Marianne" w:hAnsi="Marianne" w:cs="Arial"/>
          <w:sz w:val="18"/>
        </w:rPr>
      </w:pPr>
    </w:p>
    <w:sectPr w:rsidR="0001785C" w:rsidRPr="003402F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9396" w14:textId="77777777" w:rsidR="007A6172" w:rsidRDefault="007A6172" w:rsidP="0072573D">
      <w:r>
        <w:separator/>
      </w:r>
    </w:p>
  </w:endnote>
  <w:endnote w:type="continuationSeparator" w:id="0">
    <w:p w14:paraId="6181E637" w14:textId="77777777" w:rsidR="007A6172" w:rsidRDefault="007A6172" w:rsidP="0072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C62A" w14:textId="77777777" w:rsidR="007A6172" w:rsidRDefault="007A6172" w:rsidP="0072573D">
      <w:r>
        <w:separator/>
      </w:r>
    </w:p>
  </w:footnote>
  <w:footnote w:type="continuationSeparator" w:id="0">
    <w:p w14:paraId="5DC494AA" w14:textId="77777777" w:rsidR="007A6172" w:rsidRDefault="007A6172" w:rsidP="0072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F817" w14:textId="2F48B6F3" w:rsidR="0072573D" w:rsidRDefault="00725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23ED"/>
    <w:multiLevelType w:val="hybridMultilevel"/>
    <w:tmpl w:val="FD705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6124FC"/>
    <w:multiLevelType w:val="hybridMultilevel"/>
    <w:tmpl w:val="FBBC0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2E2E77"/>
    <w:multiLevelType w:val="hybridMultilevel"/>
    <w:tmpl w:val="AC4699B2"/>
    <w:lvl w:ilvl="0" w:tplc="040C0001">
      <w:start w:val="1"/>
      <w:numFmt w:val="bullet"/>
      <w:lvlText w:val=""/>
      <w:lvlJc w:val="left"/>
      <w:pPr>
        <w:ind w:left="892" w:hanging="360"/>
      </w:pPr>
      <w:rPr>
        <w:rFonts w:ascii="Symbol" w:hAnsi="Symbol" w:hint="default"/>
      </w:rPr>
    </w:lvl>
    <w:lvl w:ilvl="1" w:tplc="040C0003" w:tentative="1">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3" w15:restartNumberingAfterBreak="0">
    <w:nsid w:val="6BE214B8"/>
    <w:multiLevelType w:val="hybridMultilevel"/>
    <w:tmpl w:val="273A42A0"/>
    <w:lvl w:ilvl="0" w:tplc="43CC729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BB3E18"/>
    <w:multiLevelType w:val="hybridMultilevel"/>
    <w:tmpl w:val="DF88F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9546557">
    <w:abstractNumId w:val="2"/>
  </w:num>
  <w:num w:numId="2" w16cid:durableId="654991437">
    <w:abstractNumId w:val="0"/>
  </w:num>
  <w:num w:numId="3" w16cid:durableId="1080063521">
    <w:abstractNumId w:val="4"/>
  </w:num>
  <w:num w:numId="4" w16cid:durableId="894507156">
    <w:abstractNumId w:val="3"/>
  </w:num>
  <w:num w:numId="5" w16cid:durableId="626660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3D"/>
    <w:rsid w:val="000135AA"/>
    <w:rsid w:val="0001785C"/>
    <w:rsid w:val="00020169"/>
    <w:rsid w:val="00042DB6"/>
    <w:rsid w:val="00050874"/>
    <w:rsid w:val="00061C7C"/>
    <w:rsid w:val="00076002"/>
    <w:rsid w:val="000834BC"/>
    <w:rsid w:val="000D0741"/>
    <w:rsid w:val="00101EC9"/>
    <w:rsid w:val="001058C0"/>
    <w:rsid w:val="00114B53"/>
    <w:rsid w:val="00127F88"/>
    <w:rsid w:val="0015095E"/>
    <w:rsid w:val="00192848"/>
    <w:rsid w:val="00193C25"/>
    <w:rsid w:val="001D42F9"/>
    <w:rsid w:val="001D55AA"/>
    <w:rsid w:val="00217363"/>
    <w:rsid w:val="0022764C"/>
    <w:rsid w:val="00231B60"/>
    <w:rsid w:val="0023390E"/>
    <w:rsid w:val="00250D65"/>
    <w:rsid w:val="00276393"/>
    <w:rsid w:val="00282A3F"/>
    <w:rsid w:val="00297236"/>
    <w:rsid w:val="002A7C59"/>
    <w:rsid w:val="002C4335"/>
    <w:rsid w:val="002C5427"/>
    <w:rsid w:val="002E3A09"/>
    <w:rsid w:val="0030211D"/>
    <w:rsid w:val="00305DDF"/>
    <w:rsid w:val="00331E32"/>
    <w:rsid w:val="003402F4"/>
    <w:rsid w:val="003506E5"/>
    <w:rsid w:val="003C67D4"/>
    <w:rsid w:val="003E455D"/>
    <w:rsid w:val="003E715A"/>
    <w:rsid w:val="003F4B84"/>
    <w:rsid w:val="003F5AB4"/>
    <w:rsid w:val="00432E43"/>
    <w:rsid w:val="00467B8F"/>
    <w:rsid w:val="004701EC"/>
    <w:rsid w:val="004A0857"/>
    <w:rsid w:val="004E2C0B"/>
    <w:rsid w:val="00504590"/>
    <w:rsid w:val="005179C4"/>
    <w:rsid w:val="00594D22"/>
    <w:rsid w:val="005C10AE"/>
    <w:rsid w:val="005F3DD2"/>
    <w:rsid w:val="00621354"/>
    <w:rsid w:val="00666ACA"/>
    <w:rsid w:val="00697EE5"/>
    <w:rsid w:val="006C3919"/>
    <w:rsid w:val="006F45EA"/>
    <w:rsid w:val="00707E51"/>
    <w:rsid w:val="0072573D"/>
    <w:rsid w:val="007328E0"/>
    <w:rsid w:val="00750EBF"/>
    <w:rsid w:val="007A6172"/>
    <w:rsid w:val="007A795E"/>
    <w:rsid w:val="007B78A0"/>
    <w:rsid w:val="007D4F1F"/>
    <w:rsid w:val="0083204C"/>
    <w:rsid w:val="00837C50"/>
    <w:rsid w:val="00852DEA"/>
    <w:rsid w:val="00877303"/>
    <w:rsid w:val="008A1FC1"/>
    <w:rsid w:val="008C127E"/>
    <w:rsid w:val="008C4BAC"/>
    <w:rsid w:val="008E129F"/>
    <w:rsid w:val="00913AC8"/>
    <w:rsid w:val="00922DA1"/>
    <w:rsid w:val="0094089F"/>
    <w:rsid w:val="009544EC"/>
    <w:rsid w:val="009D5080"/>
    <w:rsid w:val="009F0D65"/>
    <w:rsid w:val="00A428DC"/>
    <w:rsid w:val="00A5770A"/>
    <w:rsid w:val="00A75EF1"/>
    <w:rsid w:val="00AD0D1D"/>
    <w:rsid w:val="00AD54F3"/>
    <w:rsid w:val="00AE29E1"/>
    <w:rsid w:val="00AE69E5"/>
    <w:rsid w:val="00B52F5B"/>
    <w:rsid w:val="00B87427"/>
    <w:rsid w:val="00B95B71"/>
    <w:rsid w:val="00BF5AF9"/>
    <w:rsid w:val="00C02922"/>
    <w:rsid w:val="00C32E02"/>
    <w:rsid w:val="00C47FD4"/>
    <w:rsid w:val="00C655FB"/>
    <w:rsid w:val="00C747E6"/>
    <w:rsid w:val="00CF29D1"/>
    <w:rsid w:val="00CF471C"/>
    <w:rsid w:val="00D1794B"/>
    <w:rsid w:val="00D20B8A"/>
    <w:rsid w:val="00D23FE7"/>
    <w:rsid w:val="00D551B5"/>
    <w:rsid w:val="00D90FAE"/>
    <w:rsid w:val="00DA3591"/>
    <w:rsid w:val="00DE2769"/>
    <w:rsid w:val="00E05FED"/>
    <w:rsid w:val="00E11768"/>
    <w:rsid w:val="00E25492"/>
    <w:rsid w:val="00E36255"/>
    <w:rsid w:val="00E502AC"/>
    <w:rsid w:val="00E81C9D"/>
    <w:rsid w:val="00E82E9C"/>
    <w:rsid w:val="00EC6953"/>
    <w:rsid w:val="00EF2DE9"/>
    <w:rsid w:val="00EF5571"/>
    <w:rsid w:val="00F14903"/>
    <w:rsid w:val="00F50EDC"/>
    <w:rsid w:val="00F553A9"/>
    <w:rsid w:val="00F62896"/>
    <w:rsid w:val="00F71192"/>
    <w:rsid w:val="00FC2B23"/>
    <w:rsid w:val="00FE7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3BA02"/>
  <w15:chartTrackingRefBased/>
  <w15:docId w15:val="{F0D4265B-6659-429A-8CBD-7AC0C67B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3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73D"/>
    <w:pPr>
      <w:tabs>
        <w:tab w:val="center" w:pos="4536"/>
        <w:tab w:val="right" w:pos="9072"/>
      </w:tabs>
    </w:pPr>
    <w:rPr>
      <w:sz w:val="22"/>
      <w:szCs w:val="22"/>
    </w:rPr>
  </w:style>
  <w:style w:type="character" w:customStyle="1" w:styleId="HeaderChar">
    <w:name w:val="Header Char"/>
    <w:basedOn w:val="DefaultParagraphFont"/>
    <w:link w:val="Header"/>
    <w:uiPriority w:val="99"/>
    <w:rsid w:val="0072573D"/>
  </w:style>
  <w:style w:type="paragraph" w:styleId="Footer">
    <w:name w:val="footer"/>
    <w:basedOn w:val="Normal"/>
    <w:link w:val="FooterChar"/>
    <w:uiPriority w:val="99"/>
    <w:unhideWhenUsed/>
    <w:rsid w:val="0072573D"/>
    <w:pPr>
      <w:tabs>
        <w:tab w:val="center" w:pos="4536"/>
        <w:tab w:val="right" w:pos="9072"/>
      </w:tabs>
    </w:pPr>
    <w:rPr>
      <w:sz w:val="22"/>
      <w:szCs w:val="22"/>
    </w:rPr>
  </w:style>
  <w:style w:type="character" w:customStyle="1" w:styleId="FooterChar">
    <w:name w:val="Footer Char"/>
    <w:basedOn w:val="DefaultParagraphFont"/>
    <w:link w:val="Footer"/>
    <w:uiPriority w:val="99"/>
    <w:rsid w:val="0072573D"/>
  </w:style>
  <w:style w:type="paragraph" w:styleId="BodyText">
    <w:name w:val="Body Text"/>
    <w:basedOn w:val="Normal"/>
    <w:link w:val="BodyTextChar"/>
    <w:rsid w:val="00042DB6"/>
    <w:pPr>
      <w:jc w:val="both"/>
    </w:pPr>
    <w:rPr>
      <w:rFonts w:ascii="Arial" w:eastAsia="Times New Roman" w:hAnsi="Arial" w:cs="Times New Roman"/>
      <w:snapToGrid w:val="0"/>
      <w:sz w:val="22"/>
      <w:szCs w:val="20"/>
      <w:lang w:eastAsia="fr-FR"/>
    </w:rPr>
  </w:style>
  <w:style w:type="character" w:customStyle="1" w:styleId="BodyTextChar">
    <w:name w:val="Body Text Char"/>
    <w:basedOn w:val="DefaultParagraphFont"/>
    <w:link w:val="BodyText"/>
    <w:rsid w:val="00042DB6"/>
    <w:rPr>
      <w:rFonts w:ascii="Arial" w:eastAsia="Times New Roman" w:hAnsi="Arial" w:cs="Times New Roman"/>
      <w:snapToGrid w:val="0"/>
      <w:szCs w:val="20"/>
      <w:lang w:eastAsia="fr-FR"/>
    </w:rPr>
  </w:style>
  <w:style w:type="paragraph" w:styleId="ListParagraph">
    <w:name w:val="List Paragraph"/>
    <w:basedOn w:val="Normal"/>
    <w:uiPriority w:val="34"/>
    <w:qFormat/>
    <w:rsid w:val="00AD0D1D"/>
    <w:pPr>
      <w:ind w:left="720"/>
      <w:contextualSpacing/>
    </w:pPr>
  </w:style>
  <w:style w:type="character" w:styleId="CommentReference">
    <w:name w:val="annotation reference"/>
    <w:basedOn w:val="DefaultParagraphFont"/>
    <w:uiPriority w:val="99"/>
    <w:semiHidden/>
    <w:unhideWhenUsed/>
    <w:rsid w:val="0023390E"/>
    <w:rPr>
      <w:sz w:val="16"/>
      <w:szCs w:val="16"/>
    </w:rPr>
  </w:style>
  <w:style w:type="paragraph" w:styleId="CommentText">
    <w:name w:val="annotation text"/>
    <w:basedOn w:val="Normal"/>
    <w:link w:val="CommentTextChar"/>
    <w:uiPriority w:val="99"/>
    <w:semiHidden/>
    <w:unhideWhenUsed/>
    <w:rsid w:val="0023390E"/>
    <w:rPr>
      <w:sz w:val="20"/>
      <w:szCs w:val="20"/>
    </w:rPr>
  </w:style>
  <w:style w:type="character" w:customStyle="1" w:styleId="CommentTextChar">
    <w:name w:val="Comment Text Char"/>
    <w:basedOn w:val="DefaultParagraphFont"/>
    <w:link w:val="CommentText"/>
    <w:uiPriority w:val="99"/>
    <w:semiHidden/>
    <w:rsid w:val="0023390E"/>
    <w:rPr>
      <w:sz w:val="20"/>
      <w:szCs w:val="20"/>
    </w:rPr>
  </w:style>
  <w:style w:type="paragraph" w:styleId="CommentSubject">
    <w:name w:val="annotation subject"/>
    <w:basedOn w:val="CommentText"/>
    <w:next w:val="CommentText"/>
    <w:link w:val="CommentSubjectChar"/>
    <w:uiPriority w:val="99"/>
    <w:semiHidden/>
    <w:unhideWhenUsed/>
    <w:rsid w:val="0023390E"/>
    <w:rPr>
      <w:b/>
      <w:bCs/>
    </w:rPr>
  </w:style>
  <w:style w:type="character" w:customStyle="1" w:styleId="CommentSubjectChar">
    <w:name w:val="Comment Subject Char"/>
    <w:basedOn w:val="CommentTextChar"/>
    <w:link w:val="CommentSubject"/>
    <w:uiPriority w:val="99"/>
    <w:semiHidden/>
    <w:rsid w:val="0023390E"/>
    <w:rPr>
      <w:b/>
      <w:bCs/>
      <w:sz w:val="20"/>
      <w:szCs w:val="20"/>
    </w:rPr>
  </w:style>
  <w:style w:type="paragraph" w:styleId="BalloonText">
    <w:name w:val="Balloon Text"/>
    <w:basedOn w:val="Normal"/>
    <w:link w:val="BalloonTextChar"/>
    <w:uiPriority w:val="99"/>
    <w:semiHidden/>
    <w:unhideWhenUsed/>
    <w:rsid w:val="002339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48E05-2EBF-4AFE-808A-35FAF789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3168</Characters>
  <Application>Microsoft Office Word</Application>
  <DocSecurity>0</DocSecurity>
  <Lines>81</Lines>
  <Paragraphs>30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EGNELL (DGS/EA/EA3)</dc:creator>
  <cp:keywords/>
  <dc:description/>
  <cp:lastModifiedBy>AdminO365</cp:lastModifiedBy>
  <cp:revision>2</cp:revision>
  <dcterms:created xsi:type="dcterms:W3CDTF">2022-07-29T14:02:00Z</dcterms:created>
  <dcterms:modified xsi:type="dcterms:W3CDTF">2022-07-29T14:02:00Z</dcterms:modified>
</cp:coreProperties>
</file>