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E95E" w14:textId="61C59933" w:rsidR="00F20B05" w:rsidRDefault="00043FEE" w:rsidP="00154281">
      <w:pPr>
        <w:rPr>
          <w:b/>
          <w:bCs/>
          <w:noProof/>
          <w:color w:val="0D1957"/>
          <w:sz w:val="36"/>
          <w:szCs w:val="28"/>
        </w:rPr>
      </w:pPr>
      <w:r>
        <w:rPr>
          <w:b/>
          <w:bCs/>
          <w:noProof/>
          <w:color w:val="0D1957"/>
          <w:sz w:val="36"/>
          <w:szCs w:val="28"/>
        </w:rPr>
        <w:drawing>
          <wp:anchor distT="0" distB="0" distL="114300" distR="114300" simplePos="0" relativeHeight="251663360" behindDoc="1" locked="0" layoutInCell="1" allowOverlap="1" wp14:anchorId="74931DC7" wp14:editId="4387A260">
            <wp:simplePos x="0" y="0"/>
            <wp:positionH relativeFrom="page">
              <wp:align>left</wp:align>
            </wp:positionH>
            <wp:positionV relativeFrom="page">
              <wp:align>top</wp:align>
            </wp:positionV>
            <wp:extent cx="2523490" cy="713740"/>
            <wp:effectExtent l="0" t="0" r="0" b="0"/>
            <wp:wrapNone/>
            <wp:docPr id="414284941" name="DocNatureLogo"/>
            <wp:cNvGraphicFramePr/>
            <a:graphic xmlns:a="http://schemas.openxmlformats.org/drawingml/2006/main">
              <a:graphicData uri="http://schemas.openxmlformats.org/drawingml/2006/picture">
                <pic:pic xmlns:pic="http://schemas.openxmlformats.org/drawingml/2006/picture">
                  <pic:nvPicPr>
                    <pic:cNvPr id="414284941" name="DocNatureLogo"/>
                    <pic:cNvPicPr/>
                  </pic:nvPicPr>
                  <pic:blipFill>
                    <a:blip r:embed="rId8">
                      <a:extLst>
                        <a:ext uri="{28A0092B-C50C-407E-A947-70E740481C1C}">
                          <a14:useLocalDpi xmlns:a14="http://schemas.microsoft.com/office/drawing/2010/main" val="0"/>
                        </a:ext>
                      </a:extLst>
                    </a:blip>
                    <a:stretch>
                      <a:fillRect/>
                    </a:stretch>
                  </pic:blipFill>
                  <pic:spPr>
                    <a:xfrm>
                      <a:off x="0" y="0"/>
                      <a:ext cx="2523490" cy="713740"/>
                    </a:xfrm>
                    <a:prstGeom prst="rect">
                      <a:avLst/>
                    </a:prstGeom>
                  </pic:spPr>
                </pic:pic>
              </a:graphicData>
            </a:graphic>
          </wp:anchor>
        </w:drawing>
      </w:r>
      <w:r w:rsidR="002E2C9A" w:rsidRPr="001F774D">
        <w:rPr>
          <w:b/>
          <w:bCs/>
          <w:noProof/>
          <w:color w:val="0D1957"/>
          <w:sz w:val="36"/>
          <w:szCs w:val="28"/>
        </w:rPr>
        <mc:AlternateContent>
          <mc:Choice Requires="wps">
            <w:drawing>
              <wp:anchor distT="45720" distB="45720" distL="114300" distR="114300" simplePos="0" relativeHeight="251659264" behindDoc="1" locked="0" layoutInCell="1" allowOverlap="1" wp14:anchorId="255C2773" wp14:editId="5B622CC2">
                <wp:simplePos x="0" y="0"/>
                <wp:positionH relativeFrom="margin">
                  <wp:posOffset>3495675</wp:posOffset>
                </wp:positionH>
                <wp:positionV relativeFrom="margin">
                  <wp:posOffset>-455930</wp:posOffset>
                </wp:positionV>
                <wp:extent cx="236093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8D721A" w14:textId="77777777" w:rsidR="002E2C9A" w:rsidRPr="001E043B" w:rsidRDefault="002E2C9A" w:rsidP="002E2C9A">
                            <w:pPr>
                              <w:jc w:val="right"/>
                              <w:rPr>
                                <w:i/>
                                <w:iCs/>
                              </w:rPr>
                            </w:pPr>
                            <w:r w:rsidRPr="001E043B">
                              <w:rPr>
                                <w:i/>
                                <w:iCs/>
                              </w:rPr>
                              <w:t>[DOCUMENT NATURE]</w:t>
                            </w:r>
                          </w:p>
                          <w:p w14:paraId="765F3738" w14:textId="77777777" w:rsidR="002E2C9A" w:rsidRPr="001E043B" w:rsidRDefault="002E2C9A" w:rsidP="002E2C9A">
                            <w:pPr>
                              <w:jc w:val="right"/>
                              <w:rPr>
                                <w:i/>
                                <w:iCs/>
                              </w:rPr>
                            </w:pPr>
                            <w:r w:rsidRPr="001E043B">
                              <w:rPr>
                                <w:i/>
                                <w:iCs/>
                              </w:rPr>
                              <w:t>[EXTRANET REF.]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5C2773" id="_x0000_t202" coordsize="21600,21600" o:spt="202" path="m,l,21600r21600,l21600,xe">
                <v:stroke joinstyle="miter"/>
                <v:path gradientshapeok="t" o:connecttype="rect"/>
              </v:shapetype>
              <v:shape id="Text Box 2" o:spid="_x0000_s1026" type="#_x0000_t202" style="position:absolute;margin-left:275.25pt;margin-top:-35.9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" stroked="f">
                <v:textbox style="mso-fit-shape-to-text:t">
                  <w:txbxContent>
                    <w:p w14:paraId="3D8D721A" w14:textId="77777777" w:rsidR="002E2C9A" w:rsidRPr="001E043B" w:rsidRDefault="002E2C9A" w:rsidP="002E2C9A">
                      <w:pPr>
                        <w:jc w:val="right"/>
                        <w:rPr>
                          <w:i/>
                          <w:iCs/>
                        </w:rPr>
                      </w:pPr>
                      <w:r w:rsidRPr="001E043B">
                        <w:rPr>
                          <w:i/>
                          <w:iCs/>
                        </w:rPr>
                        <w:t>[DOCUMENT NATURE]</w:t>
                      </w:r>
                    </w:p>
                    <w:p w14:paraId="765F3738" w14:textId="77777777" w:rsidR="002E2C9A" w:rsidRPr="001E043B" w:rsidRDefault="002E2C9A" w:rsidP="002E2C9A">
                      <w:pPr>
                        <w:jc w:val="right"/>
                        <w:rPr>
                          <w:i/>
                          <w:iCs/>
                        </w:rPr>
                      </w:pPr>
                      <w:r w:rsidRPr="001E043B">
                        <w:rPr>
                          <w:i/>
                          <w:iCs/>
                        </w:rPr>
                        <w:t>[EXTRANET REF.]</w:t>
                      </w:r>
                    </w:p>
                  </w:txbxContent>
                </v:textbox>
                <w10:wrap anchorx="margin" anchory="margin"/>
              </v:shape>
            </w:pict>
          </mc:Fallback>
        </mc:AlternateContent>
      </w:r>
      <w:r w:rsidR="0080512C">
        <w:rPr>
          <w:b/>
          <w:bCs/>
          <w:noProof/>
          <w:color w:val="0D1957"/>
          <w:sz w:val="36"/>
          <w:szCs w:val="28"/>
        </w:rPr>
        <w:t xml:space="preserve">FOR </w:t>
      </w:r>
      <w:r w:rsidR="003466DA">
        <w:rPr>
          <w:b/>
          <w:bCs/>
          <w:noProof/>
          <w:color w:val="0D1957"/>
          <w:sz w:val="36"/>
          <w:szCs w:val="28"/>
        </w:rPr>
        <w:t>INFO</w:t>
      </w:r>
    </w:p>
    <w:p w14:paraId="6071B48B" w14:textId="3707F279" w:rsidR="001F774D" w:rsidRDefault="004E23E7" w:rsidP="00833221">
      <w:r w:rsidRPr="004E23E7">
        <w:rPr>
          <w:b/>
          <w:bCs/>
          <w:noProof/>
          <w:color w:val="0D1957"/>
          <w:sz w:val="36"/>
          <w:szCs w:val="28"/>
        </w:rPr>
        <w:t>Parliament and Council updates on Packaging and Packaging Waste Regulation (PPWR)</w:t>
      </w:r>
    </w:p>
    <w:p w14:paraId="052815B6" w14:textId="77777777" w:rsidR="00382345" w:rsidRDefault="00382345" w:rsidP="00833221"/>
    <w:p w14:paraId="6DD59918" w14:textId="77777777" w:rsidR="00833221" w:rsidRDefault="001F774D" w:rsidP="00833221">
      <w:r>
        <w:t>Dear member,</w:t>
      </w:r>
    </w:p>
    <w:p w14:paraId="365F0D7A" w14:textId="77777777" w:rsidR="001F774D" w:rsidRDefault="001F774D" w:rsidP="00833221"/>
    <w:p w14:paraId="1DEFC17C" w14:textId="07AACE2D" w:rsidR="004B0E24" w:rsidRDefault="006A7826" w:rsidP="00F20B05">
      <w:r>
        <w:t xml:space="preserve">In this note you will find information on the works of the European Parliament and the Council on the proposed </w:t>
      </w:r>
      <w:r w:rsidRPr="006A7826">
        <w:t>Packaging and Packaging Waste Regulation (PPWR)</w:t>
      </w:r>
      <w:r>
        <w:t xml:space="preserve">. </w:t>
      </w:r>
    </w:p>
    <w:p w14:paraId="3AB0B44F" w14:textId="28021404" w:rsidR="006A7826" w:rsidRDefault="006A7826" w:rsidP="00F20B05"/>
    <w:p w14:paraId="72C6A4B5" w14:textId="4F122F1B" w:rsidR="006A7826" w:rsidRDefault="006A7826" w:rsidP="00F20B05">
      <w:r>
        <w:t xml:space="preserve">Updates in this note will be </w:t>
      </w:r>
      <w:r w:rsidR="00ED4583">
        <w:t>indicated</w:t>
      </w:r>
      <w:r>
        <w:t xml:space="preserve"> </w:t>
      </w:r>
      <w:r w:rsidR="00ED4583">
        <w:t>using</w:t>
      </w:r>
      <w:r>
        <w:t xml:space="preserve"> the red font.</w:t>
      </w:r>
    </w:p>
    <w:p w14:paraId="1AF578C2" w14:textId="56267AA6" w:rsidR="006A7826" w:rsidRDefault="006A7826" w:rsidP="00F20B05"/>
    <w:p w14:paraId="1D3C19C8" w14:textId="2EB3F88F" w:rsidR="006A7826" w:rsidRDefault="00ED4583" w:rsidP="00F20B05">
      <w:r>
        <w:t xml:space="preserve">This note does not include information on the activities carried out by FoodDrinkEurope in relation to this proposal. </w:t>
      </w:r>
      <w:r w:rsidR="006A7826">
        <w:t>For the updated FoodDrinkEurope tracker of meetings (and feedback received thereof) with EU Parliament and Permanent Representations of EU Member States, please check this document on this extranet:</w:t>
      </w:r>
      <w:r w:rsidR="006A7826" w:rsidRPr="006A7826">
        <w:t xml:space="preserve"> </w:t>
      </w:r>
      <w:hyperlink r:id="rId9" w:history="1">
        <w:r w:rsidR="006A7826" w:rsidRPr="000754DC">
          <w:rPr>
            <w:rStyle w:val="Hyperlink"/>
            <w:lang w:val="en-US"/>
          </w:rPr>
          <w:t>ENV/CIRCECON/009/23E</w:t>
        </w:r>
      </w:hyperlink>
      <w:r w:rsidR="006A7826">
        <w:rPr>
          <w:rStyle w:val="Hyperlink"/>
          <w:lang w:val="en-US"/>
        </w:rPr>
        <w:t>.</w:t>
      </w:r>
    </w:p>
    <w:p w14:paraId="25777C42" w14:textId="77777777" w:rsidR="001F774D" w:rsidRDefault="001F774D" w:rsidP="00833221"/>
    <w:p w14:paraId="487B3D68" w14:textId="77777777" w:rsidR="00DE0AB1" w:rsidRDefault="00DE0AB1" w:rsidP="00833221">
      <w:r>
        <w:t xml:space="preserve">For more information, please contact Silvia Lofrese at </w:t>
      </w:r>
      <w:hyperlink r:id="rId10" w:history="1">
        <w:r w:rsidRPr="007C05FB">
          <w:rPr>
            <w:rStyle w:val="Hyperlink"/>
          </w:rPr>
          <w:t>s.lofrese@fooddrinkeurope.eu</w:t>
        </w:r>
      </w:hyperlink>
      <w:r>
        <w:t xml:space="preserve"> </w:t>
      </w:r>
    </w:p>
    <w:p w14:paraId="12D9134B" w14:textId="77777777" w:rsidR="00DE0AB1" w:rsidRDefault="00DE0AB1" w:rsidP="00833221"/>
    <w:p w14:paraId="73E6AD57" w14:textId="3AEF8BF5" w:rsidR="001F774D" w:rsidRDefault="001F774D" w:rsidP="00833221">
      <w:r>
        <w:t>Kind regards,</w:t>
      </w:r>
    </w:p>
    <w:p w14:paraId="7394D9BD" w14:textId="77777777" w:rsidR="001F774D" w:rsidRDefault="001F774D" w:rsidP="00833221"/>
    <w:p w14:paraId="510B8399" w14:textId="7125719A" w:rsidR="00C20C91" w:rsidRDefault="001F774D" w:rsidP="00833221">
      <w:r>
        <w:t>The Secretariat</w:t>
      </w:r>
    </w:p>
    <w:p w14:paraId="44840486" w14:textId="17AE71F5" w:rsidR="00C20C91" w:rsidRDefault="00C20C91" w:rsidP="00833221"/>
    <w:p w14:paraId="1A567F5A" w14:textId="61B2570D" w:rsidR="00C20C91" w:rsidRPr="00C32B6F" w:rsidRDefault="00C20C91" w:rsidP="00C20C91">
      <w:pPr>
        <w:jc w:val="center"/>
        <w:rPr>
          <w:lang w:val="en-US"/>
        </w:rPr>
      </w:pPr>
      <w:r w:rsidRPr="00C32B6F">
        <w:rPr>
          <w:lang w:val="en-US"/>
        </w:rPr>
        <w:t>***</w:t>
      </w:r>
    </w:p>
    <w:p w14:paraId="23E916CD" w14:textId="77777777" w:rsidR="00C20C91" w:rsidRPr="00C32B6F" w:rsidRDefault="00C20C91" w:rsidP="00833221">
      <w:pPr>
        <w:rPr>
          <w:lang w:val="en-US"/>
        </w:rPr>
      </w:pPr>
    </w:p>
    <w:p w14:paraId="1FCE21C9" w14:textId="712EB0B8" w:rsidR="00C20C91" w:rsidRDefault="00C20C91" w:rsidP="00833221">
      <w:pPr>
        <w:rPr>
          <w:lang w:val="en-US"/>
        </w:rPr>
      </w:pPr>
      <w:r w:rsidRPr="00C20C91">
        <w:rPr>
          <w:lang w:val="en-US"/>
        </w:rPr>
        <w:t>An updated t</w:t>
      </w:r>
      <w:r>
        <w:rPr>
          <w:lang w:val="en-US"/>
        </w:rPr>
        <w:t>imeline of the works on PPWR in the Parliament and the Council can be found in the following pages.</w:t>
      </w:r>
    </w:p>
    <w:p w14:paraId="273E7B7B" w14:textId="77777777" w:rsidR="00C20C91" w:rsidRPr="00C20C91" w:rsidRDefault="00C20C91" w:rsidP="00833221">
      <w:pPr>
        <w:rPr>
          <w:lang w:val="en-US"/>
        </w:rPr>
      </w:pPr>
    </w:p>
    <w:p w14:paraId="51CF1BF3" w14:textId="77777777" w:rsidR="00C20C91" w:rsidRPr="00C20C91" w:rsidRDefault="00C20C91" w:rsidP="00833221">
      <w:pPr>
        <w:rPr>
          <w:b/>
          <w:bCs/>
          <w:lang w:val="en-US"/>
        </w:rPr>
      </w:pPr>
      <w:r w:rsidRPr="00C20C91">
        <w:rPr>
          <w:b/>
          <w:bCs/>
          <w:lang w:val="en-US"/>
        </w:rPr>
        <w:t>EUROPEAN PARLIAMENT</w:t>
      </w:r>
    </w:p>
    <w:p w14:paraId="1343FB74" w14:textId="77777777" w:rsidR="00C20C91" w:rsidRPr="00C20C91" w:rsidRDefault="00C20C91" w:rsidP="00833221">
      <w:pPr>
        <w:rPr>
          <w:lang w:val="en-US"/>
        </w:rPr>
      </w:pPr>
    </w:p>
    <w:p w14:paraId="0315A51B" w14:textId="1D5DBB97" w:rsidR="00C20C91" w:rsidRDefault="00C32B6F" w:rsidP="00833221">
      <w:r>
        <w:t xml:space="preserve">In the European Parliament, there are four Committees involved in the analysis and amendment of the PPWR proposal: ENVI (lead), AGRI, IMCO and ITRE. </w:t>
      </w:r>
    </w:p>
    <w:p w14:paraId="2FF242BC" w14:textId="7BF6E695" w:rsidR="00C32B6F" w:rsidRDefault="00C32B6F" w:rsidP="00833221"/>
    <w:p w14:paraId="49F8DC7D" w14:textId="25DC761B" w:rsidR="00C32B6F" w:rsidRDefault="00C32B6F" w:rsidP="00833221">
      <w:r>
        <w:t xml:space="preserve">ENVI </w:t>
      </w:r>
      <w:r w:rsidR="00EB711C">
        <w:t xml:space="preserve">is </w:t>
      </w:r>
      <w:r>
        <w:t>the Committee ultimately responsible for adopting the draft negotiating position of the Parliament (in the form of a Report), then will then have to be validated by ta vote during a Parliament’s Plenary session.</w:t>
      </w:r>
    </w:p>
    <w:p w14:paraId="12ECCB29" w14:textId="213A9BDE" w:rsidR="00C32B6F" w:rsidRDefault="00C32B6F" w:rsidP="00833221"/>
    <w:p w14:paraId="607A616C" w14:textId="09A00405" w:rsidR="00C32B6F" w:rsidRDefault="00C32B6F" w:rsidP="00833221">
      <w:r>
        <w:t xml:space="preserve">The AGRI Committee will issue an Opinion on the PPWR proposal, that will send a political message to the leading ENVI Committee. IMCO and ITRE are requesting more important competences on certain articles of the proposed Regulation, but a decision on the matter has not been made yet. In any case, those two Committees will adopt an Opinion that may – or may not – have a heavier weight than the AGRI one, depending on the decision on the competences. </w:t>
      </w:r>
    </w:p>
    <w:p w14:paraId="5AC6E14D" w14:textId="1ABE1B43" w:rsidR="00C32B6F" w:rsidRDefault="00C32B6F" w:rsidP="00833221"/>
    <w:p w14:paraId="19BA91AB" w14:textId="77777777" w:rsidR="00ED4583" w:rsidRDefault="00ED4583" w:rsidP="00833221"/>
    <w:p w14:paraId="436B993E" w14:textId="77777777" w:rsidR="00ED4583" w:rsidRDefault="00ED4583" w:rsidP="00833221"/>
    <w:p w14:paraId="0A288ACC" w14:textId="11E2C08F" w:rsidR="00C32B6F" w:rsidRDefault="00C32B6F" w:rsidP="00833221">
      <w:r>
        <w:lastRenderedPageBreak/>
        <w:t>These are the key MEPs across those four Committees:</w:t>
      </w:r>
    </w:p>
    <w:p w14:paraId="4301EA0B" w14:textId="77777777" w:rsidR="00ED4583" w:rsidRDefault="00ED4583" w:rsidP="00833221"/>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552"/>
        <w:gridCol w:w="2410"/>
      </w:tblGrid>
      <w:tr w:rsidR="00C32B6F" w:rsidRPr="00474FE7" w14:paraId="32A9C440" w14:textId="77777777" w:rsidTr="007F73D6">
        <w:tc>
          <w:tcPr>
            <w:tcW w:w="2410" w:type="dxa"/>
          </w:tcPr>
          <w:p w14:paraId="1C59741B" w14:textId="77777777" w:rsidR="00C32B6F" w:rsidRPr="00474FE7" w:rsidRDefault="00C32B6F" w:rsidP="007F73D6">
            <w:pPr>
              <w:rPr>
                <w:rFonts w:ascii="Arial" w:hAnsi="Arial" w:cs="Arial"/>
                <w:sz w:val="21"/>
                <w:szCs w:val="21"/>
              </w:rPr>
            </w:pPr>
            <w:r w:rsidRPr="00474FE7">
              <w:rPr>
                <w:rFonts w:ascii="Arial" w:hAnsi="Arial" w:cs="Arial"/>
                <w:sz w:val="21"/>
                <w:szCs w:val="21"/>
              </w:rPr>
              <w:t>ENVI</w:t>
            </w:r>
          </w:p>
        </w:tc>
        <w:tc>
          <w:tcPr>
            <w:tcW w:w="2268" w:type="dxa"/>
          </w:tcPr>
          <w:p w14:paraId="2EC7E948" w14:textId="77777777" w:rsidR="00C32B6F" w:rsidRPr="00474FE7" w:rsidRDefault="00C32B6F" w:rsidP="007F73D6">
            <w:pPr>
              <w:rPr>
                <w:rFonts w:ascii="Arial" w:hAnsi="Arial" w:cs="Arial"/>
                <w:sz w:val="21"/>
                <w:szCs w:val="21"/>
              </w:rPr>
            </w:pPr>
            <w:r w:rsidRPr="00474FE7">
              <w:rPr>
                <w:rFonts w:ascii="Arial" w:hAnsi="Arial" w:cs="Arial"/>
                <w:sz w:val="21"/>
                <w:szCs w:val="21"/>
              </w:rPr>
              <w:t>ITRE</w:t>
            </w:r>
          </w:p>
        </w:tc>
        <w:tc>
          <w:tcPr>
            <w:tcW w:w="2552" w:type="dxa"/>
          </w:tcPr>
          <w:p w14:paraId="464D2ED8" w14:textId="77777777" w:rsidR="00C32B6F" w:rsidRPr="00474FE7" w:rsidRDefault="00C32B6F" w:rsidP="007F73D6">
            <w:pPr>
              <w:rPr>
                <w:rFonts w:ascii="Arial" w:hAnsi="Arial" w:cs="Arial"/>
                <w:sz w:val="21"/>
                <w:szCs w:val="21"/>
              </w:rPr>
            </w:pPr>
            <w:r w:rsidRPr="00474FE7">
              <w:rPr>
                <w:rFonts w:ascii="Arial" w:hAnsi="Arial" w:cs="Arial"/>
                <w:sz w:val="21"/>
                <w:szCs w:val="21"/>
              </w:rPr>
              <w:t>IMCO</w:t>
            </w:r>
          </w:p>
        </w:tc>
        <w:tc>
          <w:tcPr>
            <w:tcW w:w="2410" w:type="dxa"/>
          </w:tcPr>
          <w:p w14:paraId="1A0AFD72" w14:textId="77777777" w:rsidR="00C32B6F" w:rsidRPr="00474FE7" w:rsidRDefault="00C32B6F" w:rsidP="007F73D6">
            <w:pPr>
              <w:rPr>
                <w:rFonts w:ascii="Arial" w:hAnsi="Arial" w:cs="Arial"/>
                <w:sz w:val="21"/>
                <w:szCs w:val="21"/>
              </w:rPr>
            </w:pPr>
            <w:r w:rsidRPr="00474FE7">
              <w:rPr>
                <w:rFonts w:ascii="Arial" w:hAnsi="Arial" w:cs="Arial"/>
                <w:sz w:val="21"/>
                <w:szCs w:val="21"/>
              </w:rPr>
              <w:t>AGRI</w:t>
            </w:r>
          </w:p>
        </w:tc>
      </w:tr>
      <w:tr w:rsidR="00C32B6F" w:rsidRPr="00474FE7" w14:paraId="61B57D5E" w14:textId="77777777" w:rsidTr="007F73D6">
        <w:tc>
          <w:tcPr>
            <w:tcW w:w="2410" w:type="dxa"/>
          </w:tcPr>
          <w:p w14:paraId="35DA89D1" w14:textId="77777777" w:rsidR="00C32B6F" w:rsidRPr="00474FE7" w:rsidRDefault="00C32B6F" w:rsidP="007F73D6">
            <w:pPr>
              <w:rPr>
                <w:rFonts w:ascii="Arial" w:hAnsi="Arial" w:cs="Arial"/>
                <w:b/>
                <w:bCs/>
                <w:sz w:val="21"/>
                <w:szCs w:val="21"/>
              </w:rPr>
            </w:pPr>
            <w:r w:rsidRPr="00474FE7">
              <w:rPr>
                <w:rFonts w:ascii="Arial" w:hAnsi="Arial" w:cs="Arial"/>
                <w:b/>
                <w:bCs/>
                <w:sz w:val="21"/>
                <w:szCs w:val="21"/>
              </w:rPr>
              <w:t>Ms Ries (Renew)</w:t>
            </w:r>
          </w:p>
          <w:p w14:paraId="1BE5E41B" w14:textId="558ED283" w:rsidR="00C32B6F" w:rsidRPr="000775AD" w:rsidRDefault="00C32B6F" w:rsidP="007F73D6">
            <w:pPr>
              <w:rPr>
                <w:rFonts w:ascii="Arial" w:hAnsi="Arial" w:cs="Arial"/>
                <w:color w:val="002060"/>
                <w:sz w:val="21"/>
                <w:szCs w:val="21"/>
              </w:rPr>
            </w:pPr>
            <w:r w:rsidRPr="000775AD">
              <w:rPr>
                <w:rFonts w:ascii="Arial" w:hAnsi="Arial" w:cs="Arial"/>
                <w:color w:val="002060"/>
                <w:sz w:val="21"/>
                <w:szCs w:val="21"/>
              </w:rPr>
              <w:t>M</w:t>
            </w:r>
            <w:r w:rsidR="00EB711C" w:rsidRPr="000775AD">
              <w:rPr>
                <w:rFonts w:ascii="Arial" w:hAnsi="Arial" w:cs="Arial"/>
                <w:color w:val="002060"/>
                <w:sz w:val="21"/>
                <w:szCs w:val="21"/>
              </w:rPr>
              <w:t>r</w:t>
            </w:r>
            <w:r w:rsidRPr="000775AD">
              <w:rPr>
                <w:rFonts w:ascii="Arial" w:hAnsi="Arial" w:cs="Arial"/>
                <w:color w:val="002060"/>
                <w:sz w:val="21"/>
                <w:szCs w:val="21"/>
              </w:rPr>
              <w:t xml:space="preserve"> </w:t>
            </w:r>
            <w:r w:rsidR="00EB711C" w:rsidRPr="000775AD">
              <w:rPr>
                <w:rFonts w:ascii="Arial" w:hAnsi="Arial" w:cs="Arial"/>
                <w:color w:val="002060"/>
                <w:sz w:val="21"/>
                <w:szCs w:val="21"/>
              </w:rPr>
              <w:t>Salini</w:t>
            </w:r>
            <w:r w:rsidRPr="000775AD">
              <w:rPr>
                <w:rFonts w:ascii="Arial" w:hAnsi="Arial" w:cs="Arial"/>
                <w:color w:val="002060"/>
                <w:sz w:val="21"/>
                <w:szCs w:val="21"/>
              </w:rPr>
              <w:t xml:space="preserve"> (EPP)</w:t>
            </w:r>
          </w:p>
          <w:p w14:paraId="5D6C96BB" w14:textId="77777777" w:rsidR="00C32B6F" w:rsidRPr="00474FE7" w:rsidRDefault="00C32B6F" w:rsidP="007F73D6">
            <w:pPr>
              <w:rPr>
                <w:rFonts w:ascii="Arial" w:hAnsi="Arial" w:cs="Arial"/>
                <w:sz w:val="21"/>
                <w:szCs w:val="21"/>
              </w:rPr>
            </w:pPr>
            <w:r w:rsidRPr="00474FE7">
              <w:rPr>
                <w:rFonts w:ascii="Arial" w:hAnsi="Arial" w:cs="Arial"/>
                <w:sz w:val="21"/>
                <w:szCs w:val="21"/>
              </w:rPr>
              <w:t>Ms Burkhardt (S&amp;D)</w:t>
            </w:r>
          </w:p>
          <w:p w14:paraId="29DF633E" w14:textId="77777777" w:rsidR="00C32B6F" w:rsidRPr="00FF299B" w:rsidRDefault="00C32B6F" w:rsidP="007F73D6">
            <w:pPr>
              <w:rPr>
                <w:rFonts w:ascii="Arial" w:hAnsi="Arial" w:cs="Arial"/>
                <w:sz w:val="21"/>
                <w:szCs w:val="21"/>
                <w:lang w:val="en-US"/>
              </w:rPr>
            </w:pPr>
            <w:r w:rsidRPr="00FF299B">
              <w:rPr>
                <w:rFonts w:ascii="Arial" w:hAnsi="Arial" w:cs="Arial"/>
                <w:sz w:val="21"/>
                <w:szCs w:val="21"/>
                <w:lang w:val="en-US"/>
              </w:rPr>
              <w:t>Mr Fiocchi (ECR)</w:t>
            </w:r>
          </w:p>
          <w:p w14:paraId="68BDFC44" w14:textId="77777777" w:rsidR="00C32B6F" w:rsidRPr="00FF299B" w:rsidRDefault="00C32B6F" w:rsidP="007F73D6">
            <w:pPr>
              <w:rPr>
                <w:rFonts w:ascii="Arial" w:hAnsi="Arial" w:cs="Arial"/>
                <w:sz w:val="21"/>
                <w:szCs w:val="21"/>
                <w:lang w:val="en-US"/>
              </w:rPr>
            </w:pPr>
            <w:r w:rsidRPr="00FF299B">
              <w:rPr>
                <w:rFonts w:ascii="Arial" w:hAnsi="Arial" w:cs="Arial"/>
                <w:sz w:val="21"/>
                <w:szCs w:val="21"/>
                <w:lang w:val="en-US"/>
              </w:rPr>
              <w:t>Ms O’Sullivan (Greens)</w:t>
            </w:r>
          </w:p>
          <w:p w14:paraId="79EF1D28" w14:textId="430CA93A" w:rsidR="00C32B6F" w:rsidRPr="00C32B6F" w:rsidRDefault="00C32B6F" w:rsidP="007F73D6">
            <w:pPr>
              <w:rPr>
                <w:rFonts w:ascii="Arial" w:hAnsi="Arial" w:cs="Arial"/>
                <w:sz w:val="21"/>
                <w:szCs w:val="21"/>
                <w:lang w:val="en-US"/>
              </w:rPr>
            </w:pPr>
            <w:r w:rsidRPr="00C32B6F">
              <w:rPr>
                <w:rFonts w:ascii="Arial" w:hAnsi="Arial" w:cs="Arial"/>
                <w:sz w:val="21"/>
                <w:szCs w:val="21"/>
                <w:lang w:val="en-US"/>
              </w:rPr>
              <w:t>Mr Pimenta Lopes (The L</w:t>
            </w:r>
            <w:r>
              <w:rPr>
                <w:rFonts w:ascii="Arial" w:hAnsi="Arial" w:cs="Arial"/>
                <w:sz w:val="21"/>
                <w:szCs w:val="21"/>
                <w:lang w:val="en-US"/>
              </w:rPr>
              <w:t>eft)</w:t>
            </w:r>
          </w:p>
        </w:tc>
        <w:tc>
          <w:tcPr>
            <w:tcW w:w="2268" w:type="dxa"/>
          </w:tcPr>
          <w:p w14:paraId="653E8D5A" w14:textId="77777777" w:rsidR="00C32B6F" w:rsidRPr="00474FE7" w:rsidRDefault="00C32B6F" w:rsidP="007F73D6">
            <w:pPr>
              <w:rPr>
                <w:rFonts w:ascii="Arial" w:hAnsi="Arial" w:cs="Arial"/>
                <w:b/>
                <w:bCs/>
                <w:sz w:val="21"/>
                <w:szCs w:val="21"/>
              </w:rPr>
            </w:pPr>
            <w:r w:rsidRPr="00474FE7">
              <w:rPr>
                <w:rFonts w:ascii="Arial" w:hAnsi="Arial" w:cs="Arial"/>
                <w:b/>
                <w:bCs/>
                <w:sz w:val="21"/>
                <w:szCs w:val="21"/>
              </w:rPr>
              <w:t>Ms Toia (S&amp;D)</w:t>
            </w:r>
          </w:p>
          <w:p w14:paraId="6F65FB7C" w14:textId="77777777" w:rsidR="00C32B6F" w:rsidRDefault="00C32B6F" w:rsidP="007F73D6">
            <w:pPr>
              <w:rPr>
                <w:rFonts w:ascii="Arial" w:hAnsi="Arial" w:cs="Arial"/>
                <w:sz w:val="21"/>
                <w:szCs w:val="21"/>
              </w:rPr>
            </w:pPr>
            <w:r w:rsidRPr="00474FE7">
              <w:rPr>
                <w:rFonts w:ascii="Arial" w:hAnsi="Arial" w:cs="Arial"/>
                <w:sz w:val="21"/>
                <w:szCs w:val="21"/>
              </w:rPr>
              <w:t>Mr Torvalds (Renew)</w:t>
            </w:r>
          </w:p>
          <w:p w14:paraId="085A50E0" w14:textId="77777777" w:rsidR="00C32B6F" w:rsidRDefault="00C32B6F" w:rsidP="007F73D6">
            <w:pPr>
              <w:rPr>
                <w:rFonts w:ascii="Arial" w:hAnsi="Arial" w:cs="Arial"/>
                <w:sz w:val="21"/>
                <w:szCs w:val="21"/>
              </w:rPr>
            </w:pPr>
            <w:r>
              <w:rPr>
                <w:rFonts w:ascii="Arial" w:hAnsi="Arial" w:cs="Arial"/>
                <w:sz w:val="21"/>
                <w:szCs w:val="21"/>
              </w:rPr>
              <w:t>Ms Niebler (EPP)</w:t>
            </w:r>
          </w:p>
          <w:p w14:paraId="2BC19F6C" w14:textId="3546D238" w:rsidR="004B2DF2" w:rsidRPr="00474FE7" w:rsidRDefault="004B2DF2" w:rsidP="007F73D6">
            <w:pPr>
              <w:rPr>
                <w:rFonts w:ascii="Arial" w:hAnsi="Arial" w:cs="Arial"/>
                <w:sz w:val="21"/>
                <w:szCs w:val="21"/>
              </w:rPr>
            </w:pPr>
            <w:r>
              <w:rPr>
                <w:rFonts w:ascii="Arial" w:hAnsi="Arial" w:cs="Arial"/>
                <w:sz w:val="21"/>
                <w:szCs w:val="21"/>
              </w:rPr>
              <w:t>Mr Borchia (ID)</w:t>
            </w:r>
          </w:p>
        </w:tc>
        <w:tc>
          <w:tcPr>
            <w:tcW w:w="2552" w:type="dxa"/>
          </w:tcPr>
          <w:p w14:paraId="3E0DB106" w14:textId="77777777" w:rsidR="00C32B6F" w:rsidRPr="00474FE7" w:rsidRDefault="00C32B6F" w:rsidP="007F73D6">
            <w:pPr>
              <w:rPr>
                <w:rFonts w:ascii="Arial" w:hAnsi="Arial" w:cs="Arial"/>
                <w:b/>
                <w:bCs/>
                <w:sz w:val="21"/>
                <w:szCs w:val="21"/>
              </w:rPr>
            </w:pPr>
            <w:r w:rsidRPr="00474FE7">
              <w:rPr>
                <w:rFonts w:ascii="Arial" w:hAnsi="Arial" w:cs="Arial"/>
                <w:b/>
                <w:bCs/>
                <w:sz w:val="21"/>
                <w:szCs w:val="21"/>
              </w:rPr>
              <w:t>Ms Joron (ID)</w:t>
            </w:r>
          </w:p>
          <w:p w14:paraId="2E4D1543" w14:textId="77777777" w:rsidR="00C32B6F" w:rsidRPr="00474FE7" w:rsidRDefault="00C32B6F" w:rsidP="007F73D6">
            <w:pPr>
              <w:rPr>
                <w:rFonts w:ascii="Arial" w:hAnsi="Arial" w:cs="Arial"/>
                <w:sz w:val="21"/>
                <w:szCs w:val="21"/>
              </w:rPr>
            </w:pPr>
            <w:r w:rsidRPr="00474FE7">
              <w:rPr>
                <w:rFonts w:ascii="Arial" w:hAnsi="Arial" w:cs="Arial"/>
                <w:sz w:val="21"/>
                <w:szCs w:val="21"/>
              </w:rPr>
              <w:t>Ms Melchior (Renew)</w:t>
            </w:r>
          </w:p>
          <w:p w14:paraId="5F98031A" w14:textId="77777777" w:rsidR="00C32B6F" w:rsidRDefault="00C32B6F" w:rsidP="007F73D6">
            <w:pPr>
              <w:rPr>
                <w:rFonts w:ascii="Arial" w:hAnsi="Arial" w:cs="Arial"/>
                <w:sz w:val="21"/>
                <w:szCs w:val="21"/>
              </w:rPr>
            </w:pPr>
            <w:r w:rsidRPr="00474FE7">
              <w:rPr>
                <w:rFonts w:ascii="Arial" w:hAnsi="Arial" w:cs="Arial"/>
                <w:sz w:val="21"/>
                <w:szCs w:val="21"/>
              </w:rPr>
              <w:t>Ms Schaldemose (S&amp;D)</w:t>
            </w:r>
          </w:p>
          <w:p w14:paraId="112F39F1" w14:textId="77777777" w:rsidR="00C32B6F" w:rsidRDefault="00C32B6F" w:rsidP="007F73D6">
            <w:pPr>
              <w:rPr>
                <w:rFonts w:ascii="Arial" w:hAnsi="Arial" w:cs="Arial"/>
                <w:sz w:val="21"/>
                <w:szCs w:val="21"/>
              </w:rPr>
            </w:pPr>
            <w:r>
              <w:rPr>
                <w:rFonts w:ascii="Arial" w:hAnsi="Arial" w:cs="Arial"/>
                <w:sz w:val="21"/>
                <w:szCs w:val="21"/>
              </w:rPr>
              <w:t>Mr Vandenkendelaere (EPP)</w:t>
            </w:r>
          </w:p>
          <w:p w14:paraId="5E357C43" w14:textId="43029754" w:rsidR="00C32B6F" w:rsidRPr="00474FE7" w:rsidRDefault="00C32B6F" w:rsidP="007F73D6">
            <w:pPr>
              <w:rPr>
                <w:rFonts w:ascii="Arial" w:hAnsi="Arial" w:cs="Arial"/>
                <w:sz w:val="21"/>
                <w:szCs w:val="21"/>
              </w:rPr>
            </w:pPr>
            <w:r>
              <w:rPr>
                <w:rFonts w:ascii="Arial" w:hAnsi="Arial" w:cs="Arial"/>
                <w:sz w:val="21"/>
                <w:szCs w:val="21"/>
              </w:rPr>
              <w:t>Mr Fidanza (ECR)</w:t>
            </w:r>
          </w:p>
        </w:tc>
        <w:tc>
          <w:tcPr>
            <w:tcW w:w="2410" w:type="dxa"/>
          </w:tcPr>
          <w:p w14:paraId="44ECF6C6" w14:textId="77777777" w:rsidR="00C32B6F" w:rsidRPr="00FF299B" w:rsidRDefault="00C32B6F" w:rsidP="007F73D6">
            <w:pPr>
              <w:rPr>
                <w:rFonts w:ascii="Arial" w:hAnsi="Arial" w:cs="Arial"/>
                <w:b/>
                <w:bCs/>
                <w:sz w:val="21"/>
                <w:szCs w:val="21"/>
                <w:lang w:val="en-US"/>
              </w:rPr>
            </w:pPr>
            <w:r w:rsidRPr="00FF299B">
              <w:rPr>
                <w:rFonts w:ascii="Arial" w:hAnsi="Arial" w:cs="Arial"/>
                <w:b/>
                <w:bCs/>
                <w:sz w:val="21"/>
                <w:szCs w:val="21"/>
                <w:lang w:val="en-US"/>
              </w:rPr>
              <w:t>Mr De Meo (EPP)</w:t>
            </w:r>
          </w:p>
          <w:p w14:paraId="3871181C" w14:textId="77777777" w:rsidR="00C32B6F" w:rsidRPr="00FF299B" w:rsidRDefault="00C32B6F" w:rsidP="007F73D6">
            <w:pPr>
              <w:rPr>
                <w:rFonts w:ascii="Arial" w:hAnsi="Arial" w:cs="Arial"/>
                <w:sz w:val="21"/>
                <w:szCs w:val="21"/>
                <w:lang w:val="en-US"/>
              </w:rPr>
            </w:pPr>
            <w:r w:rsidRPr="00FF299B">
              <w:rPr>
                <w:rFonts w:ascii="Arial" w:hAnsi="Arial" w:cs="Arial"/>
                <w:sz w:val="21"/>
                <w:szCs w:val="21"/>
                <w:lang w:val="en-US"/>
              </w:rPr>
              <w:t>Ms Katainen (Renew)</w:t>
            </w:r>
          </w:p>
          <w:p w14:paraId="468B7BD1" w14:textId="5A1211C3" w:rsidR="00C32B6F" w:rsidRPr="00FF299B" w:rsidRDefault="00C32B6F" w:rsidP="007F73D6">
            <w:pPr>
              <w:rPr>
                <w:rFonts w:ascii="Arial" w:hAnsi="Arial" w:cs="Arial"/>
                <w:sz w:val="21"/>
                <w:szCs w:val="21"/>
                <w:lang w:val="en-US"/>
              </w:rPr>
            </w:pPr>
            <w:r w:rsidRPr="00FF299B">
              <w:rPr>
                <w:rFonts w:ascii="Arial" w:hAnsi="Arial" w:cs="Arial"/>
                <w:sz w:val="21"/>
                <w:szCs w:val="21"/>
                <w:lang w:val="en-US"/>
              </w:rPr>
              <w:t>Mr Variati (S&amp;D)</w:t>
            </w:r>
          </w:p>
          <w:p w14:paraId="024053FD" w14:textId="2C2DC0D5" w:rsidR="004B2DF2" w:rsidRDefault="004B2DF2" w:rsidP="007F73D6">
            <w:pPr>
              <w:rPr>
                <w:rFonts w:ascii="Arial" w:hAnsi="Arial" w:cs="Arial"/>
                <w:sz w:val="21"/>
                <w:szCs w:val="21"/>
                <w:lang w:val="en-US"/>
              </w:rPr>
            </w:pPr>
            <w:r w:rsidRPr="004B2DF2">
              <w:rPr>
                <w:rFonts w:ascii="Arial" w:hAnsi="Arial" w:cs="Arial"/>
                <w:sz w:val="21"/>
                <w:szCs w:val="21"/>
                <w:lang w:val="en-US"/>
              </w:rPr>
              <w:t xml:space="preserve">Mr </w:t>
            </w:r>
            <w:r>
              <w:rPr>
                <w:rFonts w:ascii="Arial" w:hAnsi="Arial" w:cs="Arial"/>
                <w:sz w:val="21"/>
                <w:szCs w:val="21"/>
                <w:lang w:val="en-US"/>
              </w:rPr>
              <w:t>Holmgren (Greens)</w:t>
            </w:r>
          </w:p>
          <w:p w14:paraId="724B637F" w14:textId="2331D780" w:rsidR="004B2DF2" w:rsidRPr="004B2DF2" w:rsidRDefault="004B2DF2" w:rsidP="007F73D6">
            <w:pPr>
              <w:rPr>
                <w:rFonts w:ascii="Arial" w:hAnsi="Arial" w:cs="Arial"/>
                <w:sz w:val="21"/>
                <w:szCs w:val="21"/>
                <w:lang w:val="en-US"/>
              </w:rPr>
            </w:pPr>
            <w:r>
              <w:rPr>
                <w:rFonts w:ascii="Arial" w:hAnsi="Arial" w:cs="Arial"/>
                <w:sz w:val="21"/>
                <w:szCs w:val="21"/>
                <w:lang w:val="en-US"/>
              </w:rPr>
              <w:t>Mr Jurgiel (ECR)</w:t>
            </w:r>
          </w:p>
          <w:p w14:paraId="01DAEAA3" w14:textId="77777777" w:rsidR="00C32B6F" w:rsidRPr="004B2DF2" w:rsidRDefault="00C32B6F" w:rsidP="007F73D6">
            <w:pPr>
              <w:rPr>
                <w:rFonts w:ascii="Arial" w:hAnsi="Arial" w:cs="Arial"/>
                <w:sz w:val="21"/>
                <w:szCs w:val="21"/>
                <w:lang w:val="en-US"/>
              </w:rPr>
            </w:pPr>
            <w:r w:rsidRPr="004B2DF2">
              <w:rPr>
                <w:rFonts w:ascii="Arial" w:hAnsi="Arial" w:cs="Arial"/>
                <w:sz w:val="21"/>
                <w:szCs w:val="21"/>
                <w:lang w:val="en-US"/>
              </w:rPr>
              <w:t>Ms Conte (ID)</w:t>
            </w:r>
          </w:p>
          <w:p w14:paraId="51C3DB00" w14:textId="0A05DB6F" w:rsidR="00C32B6F" w:rsidRPr="004B2DF2" w:rsidRDefault="00C32B6F" w:rsidP="007F73D6">
            <w:pPr>
              <w:rPr>
                <w:rFonts w:ascii="Arial" w:hAnsi="Arial" w:cs="Arial"/>
                <w:sz w:val="21"/>
                <w:szCs w:val="21"/>
                <w:lang w:val="en-US"/>
              </w:rPr>
            </w:pPr>
            <w:r w:rsidRPr="004B2DF2">
              <w:rPr>
                <w:rFonts w:ascii="Arial" w:hAnsi="Arial" w:cs="Arial"/>
                <w:sz w:val="21"/>
                <w:szCs w:val="21"/>
                <w:lang w:val="en-US"/>
              </w:rPr>
              <w:t>Mr Flanagan (The Left)</w:t>
            </w:r>
          </w:p>
        </w:tc>
      </w:tr>
    </w:tbl>
    <w:p w14:paraId="7B6A7619" w14:textId="77777777" w:rsidR="00C32B6F" w:rsidRDefault="00C32B6F" w:rsidP="00833221"/>
    <w:p w14:paraId="643B0F58" w14:textId="799599AA" w:rsidR="00C32B6F" w:rsidRDefault="00C32B6F" w:rsidP="00833221">
      <w:r>
        <w:t xml:space="preserve">On 28 February, the AGRI Committee held a first exchange of views on the proposal. Many MEPs raised concerns on the implications of the </w:t>
      </w:r>
      <w:r w:rsidR="004B5574">
        <w:t>proposal on the safety and shelf life of fresh (hence perishable) fruit and vegetables, as well as on the import/export of agri-food products – especially those falling under the EU quality and promotion schemes, such as GIs. Another point raised related to the sale of certain products in bulks (a specific reference was made to olive oil). Doubts arose also on the timing foreseen to implement the new requirements and achieve targets, on the financial implications (also on consumers) and on the environmental benefits of certain solutions proposed by the Commission (notably in relation to reuse).</w:t>
      </w:r>
    </w:p>
    <w:p w14:paraId="05280F51" w14:textId="77777777" w:rsidR="000C3AD8" w:rsidRDefault="000C3AD8" w:rsidP="00833221"/>
    <w:p w14:paraId="72F03B0E" w14:textId="3E260EDB" w:rsidR="000C3AD8" w:rsidRPr="000C3AD8" w:rsidRDefault="000C3AD8" w:rsidP="00833221">
      <w:pPr>
        <w:rPr>
          <w:color w:val="FF0000"/>
          <w:lang w:val="en-US"/>
        </w:rPr>
      </w:pPr>
      <w:r w:rsidRPr="000C3AD8">
        <w:rPr>
          <w:color w:val="FF0000"/>
          <w:lang w:val="en-US"/>
        </w:rPr>
        <w:t>Draft ENVI Report by MEP Ries available here:</w:t>
      </w:r>
      <w:r w:rsidRPr="000C3AD8">
        <w:t xml:space="preserve"> </w:t>
      </w:r>
      <w:hyperlink r:id="rId11" w:history="1">
        <w:r w:rsidRPr="009D5813">
          <w:rPr>
            <w:rStyle w:val="Hyperlink"/>
            <w:lang w:val="en-US"/>
          </w:rPr>
          <w:t>https://www.europarl.europa.eu/doceo/document/ENVI-PR-742297_EN.html</w:t>
        </w:r>
      </w:hyperlink>
      <w:r>
        <w:rPr>
          <w:color w:val="FF0000"/>
          <w:lang w:val="en-US"/>
        </w:rPr>
        <w:t xml:space="preserve"> </w:t>
      </w:r>
    </w:p>
    <w:p w14:paraId="5E98D05E" w14:textId="16EBF3E9" w:rsidR="000C3AD8" w:rsidRPr="000C3AD8" w:rsidRDefault="000C3AD8" w:rsidP="000C3AD8">
      <w:pPr>
        <w:rPr>
          <w:color w:val="FF0000"/>
          <w:lang w:val="en-US"/>
        </w:rPr>
      </w:pPr>
      <w:r w:rsidRPr="000C3AD8">
        <w:rPr>
          <w:color w:val="FF0000"/>
          <w:lang w:val="en-US"/>
        </w:rPr>
        <w:t>Draft AGRI Opinion by MEP De Meo available here:</w:t>
      </w:r>
      <w:r>
        <w:rPr>
          <w:color w:val="FF0000"/>
          <w:lang w:val="en-US"/>
        </w:rPr>
        <w:t xml:space="preserve"> </w:t>
      </w:r>
      <w:hyperlink r:id="rId12" w:history="1">
        <w:r w:rsidRPr="009D5813">
          <w:rPr>
            <w:rStyle w:val="Hyperlink"/>
            <w:lang w:val="en-US"/>
          </w:rPr>
          <w:t>https://www.europarl.europa.eu/doceo/document/AGRI-PA-745499_EN.pdf</w:t>
        </w:r>
      </w:hyperlink>
      <w:r>
        <w:rPr>
          <w:color w:val="FF0000"/>
          <w:lang w:val="en-US"/>
        </w:rPr>
        <w:t xml:space="preserve"> </w:t>
      </w:r>
    </w:p>
    <w:p w14:paraId="6CE6AC37" w14:textId="77777777" w:rsidR="00C32B6F" w:rsidRPr="000C3AD8" w:rsidRDefault="00C32B6F" w:rsidP="00833221">
      <w:pPr>
        <w:rPr>
          <w:color w:val="FF0000"/>
          <w:lang w:val="en-US"/>
        </w:rPr>
      </w:pPr>
    </w:p>
    <w:p w14:paraId="4DC6FC53" w14:textId="270754D9" w:rsidR="000C3AD8" w:rsidRDefault="000C3AD8" w:rsidP="00833221">
      <w:pPr>
        <w:rPr>
          <w:color w:val="FF0000"/>
          <w:lang w:val="en-US"/>
        </w:rPr>
      </w:pPr>
      <w:r>
        <w:rPr>
          <w:color w:val="FF0000"/>
          <w:lang w:val="en-US"/>
        </w:rPr>
        <w:t>An u</w:t>
      </w:r>
      <w:r w:rsidRPr="000C3AD8">
        <w:rPr>
          <w:color w:val="FF0000"/>
          <w:lang w:val="en-US"/>
        </w:rPr>
        <w:t>pdated timeline, with key dates for the IMCO Committee</w:t>
      </w:r>
      <w:r>
        <w:rPr>
          <w:color w:val="FF0000"/>
          <w:lang w:val="en-US"/>
        </w:rPr>
        <w:t>, can be found at the end of this document.</w:t>
      </w:r>
    </w:p>
    <w:p w14:paraId="31FEBD42" w14:textId="77777777" w:rsidR="000C3AD8" w:rsidRDefault="000C3AD8" w:rsidP="00833221">
      <w:pPr>
        <w:rPr>
          <w:color w:val="FF0000"/>
          <w:lang w:val="en-US"/>
        </w:rPr>
      </w:pPr>
    </w:p>
    <w:p w14:paraId="6F388158" w14:textId="65CAD949" w:rsidR="000C3AD8" w:rsidRPr="000C3AD8" w:rsidRDefault="000C3AD8" w:rsidP="00833221">
      <w:pPr>
        <w:rPr>
          <w:color w:val="FF0000"/>
          <w:lang w:val="en-US"/>
        </w:rPr>
      </w:pPr>
      <w:r w:rsidRPr="000C3AD8">
        <w:rPr>
          <w:color w:val="FF0000"/>
          <w:lang w:val="en-US"/>
        </w:rPr>
        <w:t>24/04/2023</w:t>
      </w:r>
    </w:p>
    <w:p w14:paraId="54750B65" w14:textId="02FB5A4C" w:rsidR="000C3AD8" w:rsidRDefault="000C3AD8" w:rsidP="00833221">
      <w:pPr>
        <w:rPr>
          <w:color w:val="FF0000"/>
          <w:lang w:val="en-US"/>
        </w:rPr>
      </w:pPr>
      <w:r w:rsidRPr="000C3AD8">
        <w:rPr>
          <w:color w:val="FF0000"/>
          <w:lang w:val="en-US"/>
        </w:rPr>
        <w:t>The AGRI Committee held a</w:t>
      </w:r>
      <w:r>
        <w:rPr>
          <w:color w:val="FF0000"/>
          <w:lang w:val="en-US"/>
        </w:rPr>
        <w:t xml:space="preserve"> debate on the Rapporteur’s draft Opinion. Key takings:</w:t>
      </w:r>
    </w:p>
    <w:p w14:paraId="243CAECA" w14:textId="225646AA" w:rsidR="000C3AD8" w:rsidRPr="000C3AD8" w:rsidRDefault="000C3AD8" w:rsidP="000C3AD8">
      <w:pPr>
        <w:pStyle w:val="ListParagraph"/>
        <w:numPr>
          <w:ilvl w:val="0"/>
          <w:numId w:val="45"/>
        </w:numPr>
        <w:rPr>
          <w:color w:val="FF0000"/>
          <w:lang w:val="en-US"/>
        </w:rPr>
      </w:pPr>
      <w:r w:rsidRPr="000C3AD8">
        <w:rPr>
          <w:color w:val="FF0000"/>
          <w:lang w:val="en-US"/>
        </w:rPr>
        <w:t xml:space="preserve">EC proposal not always fit for agri-food sector </w:t>
      </w:r>
      <w:r w:rsidR="00F5591F">
        <w:rPr>
          <w:color w:val="FF0000"/>
          <w:lang w:val="en-US"/>
        </w:rPr>
        <w:t xml:space="preserve">/ a specific impact assessment is needed </w:t>
      </w:r>
      <w:r w:rsidRPr="000C3AD8">
        <w:rPr>
          <w:color w:val="FF0000"/>
          <w:lang w:val="en-US"/>
        </w:rPr>
        <w:t>(De Meo</w:t>
      </w:r>
      <w:r w:rsidR="00F5591F">
        <w:rPr>
          <w:color w:val="FF0000"/>
          <w:lang w:val="en-US"/>
        </w:rPr>
        <w:t>, Ruissen / De Castro, Buda</w:t>
      </w:r>
      <w:r w:rsidR="00AB10FD">
        <w:rPr>
          <w:color w:val="FF0000"/>
          <w:lang w:val="en-US"/>
        </w:rPr>
        <w:t>)</w:t>
      </w:r>
    </w:p>
    <w:p w14:paraId="1337577E" w14:textId="286AE8DE" w:rsidR="000C3AD8" w:rsidRDefault="000C3AD8" w:rsidP="000C3AD8">
      <w:pPr>
        <w:pStyle w:val="ListParagraph"/>
        <w:numPr>
          <w:ilvl w:val="0"/>
          <w:numId w:val="45"/>
        </w:numPr>
        <w:rPr>
          <w:color w:val="FF0000"/>
          <w:lang w:val="en-US"/>
        </w:rPr>
      </w:pPr>
      <w:r w:rsidRPr="000C3AD8">
        <w:rPr>
          <w:color w:val="FF0000"/>
          <w:lang w:val="en-US"/>
        </w:rPr>
        <w:t>Packaging is key to prevent food waste</w:t>
      </w:r>
      <w:r w:rsidR="003409E6">
        <w:rPr>
          <w:color w:val="FF0000"/>
          <w:lang w:val="en-US"/>
        </w:rPr>
        <w:t xml:space="preserve"> and </w:t>
      </w:r>
      <w:r w:rsidR="00421093">
        <w:rPr>
          <w:color w:val="FF0000"/>
          <w:lang w:val="en-US"/>
        </w:rPr>
        <w:t>ensure food safety</w:t>
      </w:r>
      <w:r w:rsidRPr="000C3AD8">
        <w:rPr>
          <w:color w:val="FF0000"/>
          <w:lang w:val="en-US"/>
        </w:rPr>
        <w:t xml:space="preserve"> (De Meo,</w:t>
      </w:r>
      <w:r w:rsidR="001535E8">
        <w:rPr>
          <w:color w:val="FF0000"/>
          <w:lang w:val="en-US"/>
        </w:rPr>
        <w:t xml:space="preserve"> Variati</w:t>
      </w:r>
      <w:r w:rsidR="00421093">
        <w:rPr>
          <w:color w:val="FF0000"/>
          <w:lang w:val="en-US"/>
        </w:rPr>
        <w:t>, Katainen, Jahr</w:t>
      </w:r>
      <w:r w:rsidR="00F5591F">
        <w:rPr>
          <w:color w:val="FF0000"/>
          <w:lang w:val="en-US"/>
        </w:rPr>
        <w:t>, Ruissen</w:t>
      </w:r>
      <w:r w:rsidR="00AB10FD">
        <w:rPr>
          <w:color w:val="FF0000"/>
          <w:lang w:val="en-US"/>
        </w:rPr>
        <w:t>, buda)</w:t>
      </w:r>
    </w:p>
    <w:p w14:paraId="27C6BD3E" w14:textId="287446B8" w:rsidR="001535E8" w:rsidRDefault="001535E8" w:rsidP="000C3AD8">
      <w:pPr>
        <w:pStyle w:val="ListParagraph"/>
        <w:numPr>
          <w:ilvl w:val="0"/>
          <w:numId w:val="45"/>
        </w:numPr>
        <w:rPr>
          <w:color w:val="FF0000"/>
          <w:lang w:val="en-US"/>
        </w:rPr>
      </w:pPr>
      <w:r>
        <w:rPr>
          <w:color w:val="FF0000"/>
          <w:lang w:val="en-US"/>
        </w:rPr>
        <w:t>Packaging is needed for traceability (Conte, Variati</w:t>
      </w:r>
      <w:r w:rsidR="00AB10FD">
        <w:rPr>
          <w:color w:val="FF0000"/>
          <w:lang w:val="en-US"/>
        </w:rPr>
        <w:t>)</w:t>
      </w:r>
    </w:p>
    <w:p w14:paraId="4B22B532" w14:textId="4C86EC60" w:rsidR="00421093" w:rsidRPr="000C3AD8" w:rsidRDefault="00421093" w:rsidP="000C3AD8">
      <w:pPr>
        <w:pStyle w:val="ListParagraph"/>
        <w:numPr>
          <w:ilvl w:val="0"/>
          <w:numId w:val="45"/>
        </w:numPr>
        <w:rPr>
          <w:color w:val="FF0000"/>
          <w:lang w:val="en-US"/>
        </w:rPr>
      </w:pPr>
      <w:r>
        <w:rPr>
          <w:color w:val="FF0000"/>
          <w:lang w:val="en-US"/>
        </w:rPr>
        <w:t>The proposal should not put at risk food security (Katainen</w:t>
      </w:r>
      <w:r w:rsidR="00AB10FD">
        <w:rPr>
          <w:color w:val="FF0000"/>
          <w:lang w:val="en-US"/>
        </w:rPr>
        <w:t>)</w:t>
      </w:r>
    </w:p>
    <w:p w14:paraId="4591DC93" w14:textId="64E36B11" w:rsidR="000C3AD8" w:rsidRPr="000C3AD8" w:rsidRDefault="000C3AD8" w:rsidP="000C3AD8">
      <w:pPr>
        <w:pStyle w:val="ListParagraph"/>
        <w:numPr>
          <w:ilvl w:val="0"/>
          <w:numId w:val="45"/>
        </w:numPr>
        <w:rPr>
          <w:color w:val="FF0000"/>
          <w:lang w:val="en-US"/>
        </w:rPr>
      </w:pPr>
      <w:r w:rsidRPr="000C3AD8">
        <w:rPr>
          <w:color w:val="FF0000"/>
          <w:lang w:val="en-US"/>
        </w:rPr>
        <w:t>Chemical recycling should be complementary to mechanical recycling (De Meo,</w:t>
      </w:r>
      <w:r w:rsidR="00421093">
        <w:rPr>
          <w:color w:val="FF0000"/>
          <w:lang w:val="en-US"/>
        </w:rPr>
        <w:t xml:space="preserve"> Jurgiel, Jahr (</w:t>
      </w:r>
      <w:r w:rsidR="00421093" w:rsidRPr="00421093">
        <w:rPr>
          <w:i/>
          <w:iCs/>
          <w:color w:val="FF0000"/>
          <w:lang w:val="en-US"/>
        </w:rPr>
        <w:t>support innovative recycling solutions</w:t>
      </w:r>
      <w:r w:rsidR="00421093">
        <w:rPr>
          <w:color w:val="FF0000"/>
          <w:lang w:val="en-US"/>
        </w:rPr>
        <w:t>)</w:t>
      </w:r>
    </w:p>
    <w:p w14:paraId="183324A3" w14:textId="2B36275D" w:rsidR="000C3AD8" w:rsidRDefault="000C3AD8" w:rsidP="000C3AD8">
      <w:pPr>
        <w:pStyle w:val="ListParagraph"/>
        <w:numPr>
          <w:ilvl w:val="0"/>
          <w:numId w:val="45"/>
        </w:numPr>
        <w:rPr>
          <w:color w:val="FF0000"/>
          <w:lang w:val="en-US"/>
        </w:rPr>
      </w:pPr>
      <w:r w:rsidRPr="000C3AD8">
        <w:rPr>
          <w:color w:val="FF0000"/>
          <w:lang w:val="en-US"/>
        </w:rPr>
        <w:t>avoiding excessive fragmentation of the internal market should not come at the expense of efforts already carried out by some countries to develop a model of recycling (De Meo,</w:t>
      </w:r>
    </w:p>
    <w:p w14:paraId="6DA314DB" w14:textId="6F270E11" w:rsidR="000C3AD8" w:rsidRDefault="000C3AD8" w:rsidP="000C3AD8">
      <w:pPr>
        <w:pStyle w:val="ListParagraph"/>
        <w:numPr>
          <w:ilvl w:val="0"/>
          <w:numId w:val="45"/>
        </w:numPr>
        <w:rPr>
          <w:color w:val="FF0000"/>
          <w:lang w:val="en-US"/>
        </w:rPr>
      </w:pPr>
      <w:r>
        <w:rPr>
          <w:color w:val="FF0000"/>
          <w:lang w:val="en-US"/>
        </w:rPr>
        <w:t>Member States should have some flexibility to achieve the goals of the Regulation (De Meo,</w:t>
      </w:r>
      <w:r w:rsidR="00421093">
        <w:rPr>
          <w:color w:val="FF0000"/>
          <w:lang w:val="en-US"/>
        </w:rPr>
        <w:t xml:space="preserve"> Jurgiel</w:t>
      </w:r>
      <w:r w:rsidR="00AB10FD">
        <w:rPr>
          <w:color w:val="FF0000"/>
          <w:lang w:val="en-US"/>
        </w:rPr>
        <w:t>)</w:t>
      </w:r>
    </w:p>
    <w:p w14:paraId="43B7AABC" w14:textId="48F9D279" w:rsidR="00421093" w:rsidRDefault="00421093" w:rsidP="000C3AD8">
      <w:pPr>
        <w:pStyle w:val="ListParagraph"/>
        <w:numPr>
          <w:ilvl w:val="0"/>
          <w:numId w:val="45"/>
        </w:numPr>
        <w:rPr>
          <w:color w:val="FF0000"/>
          <w:lang w:val="en-US"/>
        </w:rPr>
      </w:pPr>
      <w:r w:rsidRPr="00421093">
        <w:rPr>
          <w:color w:val="FF0000"/>
          <w:lang w:val="en-US"/>
        </w:rPr>
        <w:t>recycling and reuse should be seen as complementary</w:t>
      </w:r>
      <w:r>
        <w:rPr>
          <w:color w:val="FF0000"/>
          <w:lang w:val="en-US"/>
        </w:rPr>
        <w:t xml:space="preserve"> (Katainen</w:t>
      </w:r>
      <w:r w:rsidR="00AB10FD">
        <w:rPr>
          <w:color w:val="FF0000"/>
          <w:lang w:val="en-US"/>
        </w:rPr>
        <w:t>)</w:t>
      </w:r>
    </w:p>
    <w:p w14:paraId="2CC7CDE9" w14:textId="330C38D6" w:rsidR="003409E6" w:rsidRDefault="003409E6" w:rsidP="000C3AD8">
      <w:pPr>
        <w:pStyle w:val="ListParagraph"/>
        <w:numPr>
          <w:ilvl w:val="0"/>
          <w:numId w:val="45"/>
        </w:numPr>
        <w:rPr>
          <w:color w:val="FF0000"/>
          <w:lang w:val="en-US"/>
        </w:rPr>
      </w:pPr>
      <w:r>
        <w:rPr>
          <w:color w:val="FF0000"/>
          <w:lang w:val="en-US"/>
        </w:rPr>
        <w:t>Protect organoleptic characteristics of products (De Meo, Conte</w:t>
      </w:r>
      <w:r w:rsidR="00AB10FD">
        <w:rPr>
          <w:color w:val="FF0000"/>
          <w:lang w:val="en-US"/>
        </w:rPr>
        <w:t>)</w:t>
      </w:r>
    </w:p>
    <w:p w14:paraId="62ABE877" w14:textId="0EA8BBBE" w:rsidR="003409E6" w:rsidRDefault="003409E6" w:rsidP="000C3AD8">
      <w:pPr>
        <w:pStyle w:val="ListParagraph"/>
        <w:numPr>
          <w:ilvl w:val="0"/>
          <w:numId w:val="45"/>
        </w:numPr>
        <w:rPr>
          <w:color w:val="FF0000"/>
          <w:lang w:val="en-US"/>
        </w:rPr>
      </w:pPr>
      <w:r>
        <w:rPr>
          <w:color w:val="FF0000"/>
          <w:lang w:val="en-US"/>
        </w:rPr>
        <w:t xml:space="preserve">The EC should assess the risk </w:t>
      </w:r>
      <w:r w:rsidR="00AB10FD">
        <w:rPr>
          <w:color w:val="FF0000"/>
          <w:lang w:val="en-US"/>
        </w:rPr>
        <w:t>presented by</w:t>
      </w:r>
      <w:r>
        <w:rPr>
          <w:color w:val="FF0000"/>
          <w:lang w:val="en-US"/>
        </w:rPr>
        <w:t xml:space="preserve"> reusable packaging </w:t>
      </w:r>
      <w:r w:rsidR="00AB10FD">
        <w:rPr>
          <w:color w:val="FF0000"/>
          <w:lang w:val="en-US"/>
        </w:rPr>
        <w:t>to</w:t>
      </w:r>
      <w:r>
        <w:rPr>
          <w:color w:val="FF0000"/>
          <w:lang w:val="en-US"/>
        </w:rPr>
        <w:t xml:space="preserve"> water consumption (De Meo</w:t>
      </w:r>
      <w:r w:rsidR="001535E8">
        <w:rPr>
          <w:color w:val="FF0000"/>
          <w:lang w:val="en-US"/>
        </w:rPr>
        <w:t>, Conte</w:t>
      </w:r>
      <w:r w:rsidR="00AB10FD">
        <w:rPr>
          <w:color w:val="FF0000"/>
          <w:lang w:val="en-US"/>
        </w:rPr>
        <w:t>)</w:t>
      </w:r>
    </w:p>
    <w:p w14:paraId="0F0C0A21" w14:textId="04C064D6" w:rsidR="00421093" w:rsidRDefault="00421093" w:rsidP="000C3AD8">
      <w:pPr>
        <w:pStyle w:val="ListParagraph"/>
        <w:numPr>
          <w:ilvl w:val="0"/>
          <w:numId w:val="45"/>
        </w:numPr>
        <w:rPr>
          <w:color w:val="FF0000"/>
          <w:lang w:val="en-US"/>
        </w:rPr>
      </w:pPr>
      <w:r w:rsidRPr="00421093">
        <w:rPr>
          <w:color w:val="FF0000"/>
          <w:lang w:val="en-US"/>
        </w:rPr>
        <w:lastRenderedPageBreak/>
        <w:t>some MEPs support reuse (Varia</w:t>
      </w:r>
      <w:r>
        <w:rPr>
          <w:color w:val="FF0000"/>
          <w:lang w:val="en-US"/>
        </w:rPr>
        <w:t>ti</w:t>
      </w:r>
      <w:r w:rsidR="00F5591F">
        <w:rPr>
          <w:color w:val="FF0000"/>
          <w:lang w:val="en-US"/>
        </w:rPr>
        <w:t>, Jurgiel (</w:t>
      </w:r>
      <w:r w:rsidR="00F5591F" w:rsidRPr="00F5591F">
        <w:rPr>
          <w:i/>
          <w:iCs/>
          <w:color w:val="FF0000"/>
          <w:lang w:val="en-US"/>
        </w:rPr>
        <w:t>in favor of undertaking all measures to get rid of single-use packaging in agriculture and the food industry</w:t>
      </w:r>
      <w:r w:rsidR="00F5591F">
        <w:rPr>
          <w:color w:val="FF0000"/>
          <w:lang w:val="en-US"/>
        </w:rPr>
        <w:t>)</w:t>
      </w:r>
      <w:r w:rsidR="00AB10FD">
        <w:rPr>
          <w:color w:val="FF0000"/>
          <w:lang w:val="en-US"/>
        </w:rPr>
        <w:t>)</w:t>
      </w:r>
    </w:p>
    <w:p w14:paraId="2435F717" w14:textId="410750E1" w:rsidR="00421093" w:rsidRDefault="00AB10FD" w:rsidP="000C3AD8">
      <w:pPr>
        <w:pStyle w:val="ListParagraph"/>
        <w:numPr>
          <w:ilvl w:val="0"/>
          <w:numId w:val="45"/>
        </w:numPr>
        <w:rPr>
          <w:color w:val="FF0000"/>
          <w:lang w:val="en-US"/>
        </w:rPr>
      </w:pPr>
      <w:r>
        <w:rPr>
          <w:color w:val="FF0000"/>
          <w:lang w:val="en-US"/>
        </w:rPr>
        <w:t xml:space="preserve">MEP Katainen: </w:t>
      </w:r>
      <w:r w:rsidR="00421093">
        <w:rPr>
          <w:color w:val="FF0000"/>
          <w:lang w:val="en-US"/>
        </w:rPr>
        <w:t xml:space="preserve">support bio-based solutions </w:t>
      </w:r>
    </w:p>
    <w:p w14:paraId="00C7119E" w14:textId="5F9C1953" w:rsidR="00AB10FD" w:rsidRDefault="00AB10FD" w:rsidP="000C3AD8">
      <w:pPr>
        <w:pStyle w:val="ListParagraph"/>
        <w:numPr>
          <w:ilvl w:val="0"/>
          <w:numId w:val="45"/>
        </w:numPr>
        <w:rPr>
          <w:color w:val="FF0000"/>
          <w:lang w:val="en-US"/>
        </w:rPr>
      </w:pPr>
      <w:r>
        <w:rPr>
          <w:color w:val="FF0000"/>
          <w:lang w:val="en-US"/>
        </w:rPr>
        <w:t xml:space="preserve">MEP Variati: </w:t>
      </w:r>
      <w:r w:rsidRPr="00421093">
        <w:rPr>
          <w:color w:val="FF0000"/>
          <w:lang w:val="en-US"/>
        </w:rPr>
        <w:t xml:space="preserve">support </w:t>
      </w:r>
      <w:r>
        <w:rPr>
          <w:color w:val="FF0000"/>
          <w:lang w:val="en-US"/>
        </w:rPr>
        <w:t xml:space="preserve">biodegradable and compostable solutions; </w:t>
      </w:r>
      <w:r w:rsidRPr="001535E8">
        <w:rPr>
          <w:color w:val="FF0000"/>
          <w:lang w:val="en-US"/>
        </w:rPr>
        <w:t xml:space="preserve">there </w:t>
      </w:r>
      <w:r>
        <w:rPr>
          <w:color w:val="FF0000"/>
          <w:lang w:val="en-US"/>
        </w:rPr>
        <w:t>is</w:t>
      </w:r>
      <w:r w:rsidRPr="001535E8">
        <w:rPr>
          <w:color w:val="FF0000"/>
          <w:lang w:val="en-US"/>
        </w:rPr>
        <w:t xml:space="preserve"> no scientific support on how the proposal could meet food safety standards</w:t>
      </w:r>
      <w:r>
        <w:rPr>
          <w:color w:val="FF0000"/>
          <w:lang w:val="en-US"/>
        </w:rPr>
        <w:t xml:space="preserve">; mineral water has specific standards governing bottling at source </w:t>
      </w:r>
      <w:r w:rsidRPr="00AB10FD">
        <w:rPr>
          <w:color w:val="FF0000"/>
          <w:lang w:val="en-US"/>
        </w:rPr>
        <w:sym w:font="Wingdings" w:char="F0E0"/>
      </w:r>
      <w:r>
        <w:rPr>
          <w:color w:val="FF0000"/>
          <w:lang w:val="en-US"/>
        </w:rPr>
        <w:t xml:space="preserve"> doubts on reuse goals</w:t>
      </w:r>
    </w:p>
    <w:p w14:paraId="2A63D554" w14:textId="5195F439" w:rsidR="00421093" w:rsidRDefault="00F5591F" w:rsidP="000C3AD8">
      <w:pPr>
        <w:pStyle w:val="ListParagraph"/>
        <w:numPr>
          <w:ilvl w:val="0"/>
          <w:numId w:val="45"/>
        </w:numPr>
        <w:rPr>
          <w:color w:val="FF0000"/>
          <w:lang w:val="en-US"/>
        </w:rPr>
      </w:pPr>
      <w:r>
        <w:rPr>
          <w:color w:val="FF0000"/>
          <w:lang w:val="en-US"/>
        </w:rPr>
        <w:t>MEP Jurgiel: recycling targets should be for all drink sectors with no discrimination, but on milk and fruit juices have to be considered on a case-by-case basis (</w:t>
      </w:r>
      <w:r w:rsidRPr="00F5591F">
        <w:rPr>
          <w:color w:val="FF0000"/>
          <w:lang w:val="en-US"/>
        </w:rPr>
        <w:t>maybe milk packaging should not be reused</w:t>
      </w:r>
      <w:r>
        <w:rPr>
          <w:color w:val="FF0000"/>
          <w:lang w:val="en-US"/>
        </w:rPr>
        <w:t>); MS need more flexibility on EPR; delegated acts do not provide legal certainty</w:t>
      </w:r>
    </w:p>
    <w:p w14:paraId="7483A441" w14:textId="25C8C5BA" w:rsidR="00AB10FD" w:rsidRPr="00421093" w:rsidRDefault="00AB10FD" w:rsidP="000C3AD8">
      <w:pPr>
        <w:pStyle w:val="ListParagraph"/>
        <w:numPr>
          <w:ilvl w:val="0"/>
          <w:numId w:val="45"/>
        </w:numPr>
        <w:rPr>
          <w:color w:val="FF0000"/>
          <w:lang w:val="en-US"/>
        </w:rPr>
      </w:pPr>
      <w:r>
        <w:rPr>
          <w:color w:val="FF0000"/>
          <w:lang w:val="en-US"/>
        </w:rPr>
        <w:t xml:space="preserve">MEP </w:t>
      </w:r>
      <w:r w:rsidRPr="00AB10FD">
        <w:rPr>
          <w:color w:val="FF0000"/>
          <w:lang w:val="en-US"/>
        </w:rPr>
        <w:t>Hlaváček</w:t>
      </w:r>
      <w:r>
        <w:rPr>
          <w:color w:val="FF0000"/>
          <w:lang w:val="en-US"/>
        </w:rPr>
        <w:t>: doubts on replacing paper cups with plastic cups and on compostability of aluminium capsules</w:t>
      </w:r>
    </w:p>
    <w:p w14:paraId="5687CF82" w14:textId="77777777" w:rsidR="000C3AD8" w:rsidRPr="00421093" w:rsidRDefault="000C3AD8" w:rsidP="000C3AD8">
      <w:pPr>
        <w:rPr>
          <w:color w:val="FF0000"/>
          <w:lang w:val="en-US"/>
        </w:rPr>
      </w:pPr>
    </w:p>
    <w:p w14:paraId="643C852E" w14:textId="4067507E" w:rsidR="000C3AD8" w:rsidRDefault="000C3AD8" w:rsidP="000C3AD8">
      <w:pPr>
        <w:rPr>
          <w:color w:val="FF0000"/>
          <w:lang w:val="en-US"/>
        </w:rPr>
      </w:pPr>
      <w:r w:rsidRPr="000C3AD8">
        <w:rPr>
          <w:color w:val="FF0000"/>
          <w:lang w:val="en-US"/>
        </w:rPr>
        <w:t>Rapporteur MEP De Meo anticipated that th</w:t>
      </w:r>
      <w:r>
        <w:rPr>
          <w:color w:val="FF0000"/>
          <w:lang w:val="en-US"/>
        </w:rPr>
        <w:t>e vote in AGRI might be postponed to mid-September (current date for vote is 30/08).</w:t>
      </w:r>
    </w:p>
    <w:p w14:paraId="2F9F89BE" w14:textId="77777777" w:rsidR="00AB10FD" w:rsidRDefault="00AB10FD" w:rsidP="000C3AD8">
      <w:pPr>
        <w:rPr>
          <w:color w:val="FF0000"/>
          <w:lang w:val="en-US"/>
        </w:rPr>
      </w:pPr>
    </w:p>
    <w:p w14:paraId="1E586AD7" w14:textId="6D0690AE" w:rsidR="000C3AD8" w:rsidRPr="00AB10FD" w:rsidRDefault="00AB10FD" w:rsidP="00AB10FD">
      <w:pPr>
        <w:rPr>
          <w:color w:val="FF0000"/>
          <w:lang w:val="en-US"/>
        </w:rPr>
      </w:pPr>
      <w:r w:rsidRPr="00AB10FD">
        <w:rPr>
          <w:color w:val="FF0000"/>
          <w:lang w:val="en-US"/>
        </w:rPr>
        <w:t>DG ENVI’s Director responsible for</w:t>
      </w:r>
      <w:r>
        <w:rPr>
          <w:color w:val="FF0000"/>
          <w:lang w:val="en-US"/>
        </w:rPr>
        <w:t xml:space="preserve"> this proposal, Mr </w:t>
      </w:r>
      <w:r w:rsidR="000C3AD8" w:rsidRPr="00AB10FD">
        <w:rPr>
          <w:color w:val="FF0000"/>
          <w:lang w:val="en-US"/>
        </w:rPr>
        <w:t xml:space="preserve">Aurel Ciobanu-Dordea, </w:t>
      </w:r>
      <w:r w:rsidRPr="00AB10FD">
        <w:rPr>
          <w:color w:val="FF0000"/>
          <w:lang w:val="en-US"/>
        </w:rPr>
        <w:t>replied as follows:</w:t>
      </w:r>
    </w:p>
    <w:p w14:paraId="41078EC6" w14:textId="2FE506B4" w:rsidR="000C3AD8" w:rsidRPr="00AB10FD" w:rsidRDefault="000C3AD8" w:rsidP="00AB10FD">
      <w:pPr>
        <w:pStyle w:val="ListParagraph"/>
        <w:numPr>
          <w:ilvl w:val="0"/>
          <w:numId w:val="46"/>
        </w:numPr>
        <w:rPr>
          <w:color w:val="FF0000"/>
          <w:lang w:val="en-US"/>
        </w:rPr>
      </w:pPr>
      <w:r w:rsidRPr="00AB10FD">
        <w:rPr>
          <w:color w:val="FF0000"/>
          <w:lang w:val="en-US"/>
        </w:rPr>
        <w:t>this legislative proposal was accompanied by a fully-fledged impact assessment</w:t>
      </w:r>
    </w:p>
    <w:p w14:paraId="76860869" w14:textId="1469D432" w:rsidR="00AB10FD" w:rsidRDefault="000C3AD8" w:rsidP="00AB10FD">
      <w:pPr>
        <w:pStyle w:val="ListParagraph"/>
        <w:numPr>
          <w:ilvl w:val="0"/>
          <w:numId w:val="46"/>
        </w:numPr>
        <w:rPr>
          <w:color w:val="FF0000"/>
          <w:lang w:val="en-US"/>
        </w:rPr>
      </w:pPr>
      <w:r w:rsidRPr="00AB10FD">
        <w:rPr>
          <w:color w:val="FF0000"/>
          <w:lang w:val="en-US"/>
        </w:rPr>
        <w:t xml:space="preserve">there </w:t>
      </w:r>
      <w:r w:rsidR="00AB10FD" w:rsidRPr="00AB10FD">
        <w:rPr>
          <w:color w:val="FF0000"/>
          <w:lang w:val="en-US"/>
        </w:rPr>
        <w:t>are</w:t>
      </w:r>
      <w:r w:rsidRPr="00AB10FD">
        <w:rPr>
          <w:color w:val="FF0000"/>
          <w:lang w:val="en-US"/>
        </w:rPr>
        <w:t xml:space="preserve"> available technologies addressing all food hygiene and safety</w:t>
      </w:r>
      <w:r w:rsidR="00EB63B4">
        <w:rPr>
          <w:color w:val="FF0000"/>
          <w:lang w:val="en-US"/>
        </w:rPr>
        <w:t xml:space="preserve"> concerns</w:t>
      </w:r>
    </w:p>
    <w:p w14:paraId="39B21F97" w14:textId="08566C51" w:rsidR="00AB10FD" w:rsidRDefault="00AB10FD" w:rsidP="00AB10FD">
      <w:pPr>
        <w:pStyle w:val="ListParagraph"/>
        <w:numPr>
          <w:ilvl w:val="0"/>
          <w:numId w:val="46"/>
        </w:numPr>
        <w:rPr>
          <w:color w:val="FF0000"/>
          <w:lang w:val="en-US"/>
        </w:rPr>
      </w:pPr>
      <w:r w:rsidRPr="00AB10FD">
        <w:rPr>
          <w:color w:val="FF0000"/>
          <w:lang w:val="en-US"/>
        </w:rPr>
        <w:t>solutions currently existing</w:t>
      </w:r>
      <w:r w:rsidR="000C3AD8" w:rsidRPr="00AB10FD">
        <w:rPr>
          <w:color w:val="FF0000"/>
          <w:lang w:val="en-US"/>
        </w:rPr>
        <w:t xml:space="preserve"> in France, Belgium, Romania, Italy, and Spain</w:t>
      </w:r>
      <w:r w:rsidRPr="00AB10FD">
        <w:rPr>
          <w:color w:val="FF0000"/>
          <w:lang w:val="en-US"/>
        </w:rPr>
        <w:t xml:space="preserve"> are </w:t>
      </w:r>
      <w:r w:rsidR="000C3AD8" w:rsidRPr="00AB10FD">
        <w:rPr>
          <w:color w:val="FF0000"/>
          <w:lang w:val="en-US"/>
        </w:rPr>
        <w:t xml:space="preserve">compatible with the proposal and which show </w:t>
      </w:r>
      <w:r w:rsidRPr="00AB10FD">
        <w:rPr>
          <w:color w:val="FF0000"/>
          <w:lang w:val="en-US"/>
        </w:rPr>
        <w:t>its</w:t>
      </w:r>
      <w:r w:rsidR="000C3AD8" w:rsidRPr="00AB10FD">
        <w:rPr>
          <w:color w:val="FF0000"/>
          <w:lang w:val="en-US"/>
        </w:rPr>
        <w:t xml:space="preserve"> full practicality </w:t>
      </w:r>
    </w:p>
    <w:p w14:paraId="0A5BBA6A" w14:textId="5BD59B38" w:rsidR="00AB10FD" w:rsidRPr="00AB10FD" w:rsidRDefault="00AB10FD" w:rsidP="00AB10FD">
      <w:pPr>
        <w:pStyle w:val="ListParagraph"/>
        <w:numPr>
          <w:ilvl w:val="0"/>
          <w:numId w:val="46"/>
        </w:numPr>
        <w:rPr>
          <w:color w:val="FF0000"/>
          <w:lang w:val="en-US"/>
        </w:rPr>
      </w:pPr>
      <w:r>
        <w:rPr>
          <w:color w:val="FF0000"/>
          <w:lang w:val="en-US"/>
        </w:rPr>
        <w:t>For the EC, some aspects of the AGRI Draft Opinion are not acceptable:</w:t>
      </w:r>
    </w:p>
    <w:p w14:paraId="35ED0FF7" w14:textId="04D41202" w:rsidR="000C3AD8" w:rsidRPr="00EB63B4" w:rsidRDefault="000C3AD8" w:rsidP="00EB63B4">
      <w:pPr>
        <w:pStyle w:val="ListParagraph"/>
        <w:numPr>
          <w:ilvl w:val="1"/>
          <w:numId w:val="47"/>
        </w:numPr>
        <w:ind w:left="709"/>
        <w:rPr>
          <w:color w:val="FF0000"/>
          <w:lang w:val="en-US"/>
        </w:rPr>
      </w:pPr>
      <w:r w:rsidRPr="00EB63B4">
        <w:rPr>
          <w:color w:val="FF0000"/>
          <w:lang w:val="en-US"/>
        </w:rPr>
        <w:t>Amendment 33 propose</w:t>
      </w:r>
      <w:r w:rsidR="00EB63B4">
        <w:rPr>
          <w:color w:val="FF0000"/>
          <w:lang w:val="en-US"/>
        </w:rPr>
        <w:t>s</w:t>
      </w:r>
      <w:r w:rsidRPr="00EB63B4">
        <w:rPr>
          <w:color w:val="FF0000"/>
          <w:lang w:val="en-US"/>
        </w:rPr>
        <w:t xml:space="preserve"> a new definition of recycling</w:t>
      </w:r>
      <w:r w:rsidR="00AB10FD" w:rsidRPr="00EB63B4">
        <w:rPr>
          <w:color w:val="FF0000"/>
          <w:lang w:val="en-US"/>
        </w:rPr>
        <w:t xml:space="preserve">: </w:t>
      </w:r>
      <w:r w:rsidRPr="00EB63B4">
        <w:rPr>
          <w:color w:val="FF0000"/>
          <w:lang w:val="en-US"/>
        </w:rPr>
        <w:t xml:space="preserve">recycling </w:t>
      </w:r>
      <w:r w:rsidR="00AB10FD" w:rsidRPr="00EB63B4">
        <w:rPr>
          <w:color w:val="FF0000"/>
          <w:lang w:val="en-US"/>
        </w:rPr>
        <w:t>is</w:t>
      </w:r>
      <w:r w:rsidRPr="00EB63B4">
        <w:rPr>
          <w:color w:val="FF0000"/>
          <w:lang w:val="en-US"/>
        </w:rPr>
        <w:t xml:space="preserve"> addressed in the Waste Framework Directive</w:t>
      </w:r>
      <w:r w:rsidR="00EB63B4" w:rsidRPr="00EB63B4">
        <w:rPr>
          <w:color w:val="FF0000"/>
          <w:lang w:val="en-US"/>
        </w:rPr>
        <w:t xml:space="preserve">, so </w:t>
      </w:r>
      <w:r w:rsidRPr="00EB63B4">
        <w:rPr>
          <w:color w:val="FF0000"/>
          <w:lang w:val="en-US"/>
        </w:rPr>
        <w:t xml:space="preserve">any modification should refer to this </w:t>
      </w:r>
      <w:r w:rsidR="00EB63B4">
        <w:rPr>
          <w:color w:val="FF0000"/>
          <w:lang w:val="en-US"/>
        </w:rPr>
        <w:t>D</w:t>
      </w:r>
      <w:r w:rsidRPr="00EB63B4">
        <w:rPr>
          <w:color w:val="FF0000"/>
          <w:lang w:val="en-US"/>
        </w:rPr>
        <w:t>irective</w:t>
      </w:r>
    </w:p>
    <w:p w14:paraId="0492D3C7" w14:textId="3D5976C5" w:rsidR="000C3AD8" w:rsidRPr="00EB63B4" w:rsidRDefault="000C3AD8" w:rsidP="00FB7CD6">
      <w:pPr>
        <w:pStyle w:val="ListParagraph"/>
        <w:numPr>
          <w:ilvl w:val="1"/>
          <w:numId w:val="47"/>
        </w:numPr>
        <w:ind w:left="709"/>
        <w:rPr>
          <w:color w:val="FF0000"/>
          <w:lang w:val="en-US"/>
        </w:rPr>
      </w:pPr>
      <w:r w:rsidRPr="00EB63B4">
        <w:rPr>
          <w:color w:val="FF0000"/>
          <w:lang w:val="en-US"/>
        </w:rPr>
        <w:t>Amendments 59, 60, and 61 tr</w:t>
      </w:r>
      <w:r w:rsidR="00EB63B4" w:rsidRPr="00EB63B4">
        <w:rPr>
          <w:color w:val="FF0000"/>
          <w:lang w:val="en-US"/>
        </w:rPr>
        <w:t>y</w:t>
      </w:r>
      <w:r w:rsidRPr="00EB63B4">
        <w:rPr>
          <w:color w:val="FF0000"/>
          <w:lang w:val="en-US"/>
        </w:rPr>
        <w:t xml:space="preserve"> to generalize a number of references to geographical denominations of origin and with designs protected by intellectual property rights</w:t>
      </w:r>
      <w:r w:rsidR="00EB63B4" w:rsidRPr="00EB63B4">
        <w:rPr>
          <w:color w:val="FF0000"/>
          <w:lang w:val="en-US"/>
        </w:rPr>
        <w:t xml:space="preserve">, making </w:t>
      </w:r>
      <w:r w:rsidRPr="00EB63B4">
        <w:rPr>
          <w:color w:val="FF0000"/>
          <w:lang w:val="en-US"/>
        </w:rPr>
        <w:t>the proposed provisions even weaker than the currently applicable standards on the market</w:t>
      </w:r>
    </w:p>
    <w:p w14:paraId="1D9320A6" w14:textId="77777777" w:rsidR="000C3AD8" w:rsidRPr="00EB63B4" w:rsidRDefault="000C3AD8" w:rsidP="00EB63B4">
      <w:pPr>
        <w:pStyle w:val="ListParagraph"/>
        <w:numPr>
          <w:ilvl w:val="1"/>
          <w:numId w:val="47"/>
        </w:numPr>
        <w:ind w:left="709"/>
        <w:rPr>
          <w:color w:val="FF0000"/>
          <w:lang w:val="en-US"/>
        </w:rPr>
      </w:pPr>
      <w:r w:rsidRPr="00EB63B4">
        <w:rPr>
          <w:color w:val="FF0000"/>
          <w:lang w:val="en-US"/>
        </w:rPr>
        <w:t>Amendments 67, 73, 71, 70, and 74 would weaken the situation on reuse targets compared to the current situation.</w:t>
      </w:r>
    </w:p>
    <w:p w14:paraId="118E0399" w14:textId="77777777" w:rsidR="000C3AD8" w:rsidRPr="000C3AD8" w:rsidRDefault="000C3AD8" w:rsidP="00833221">
      <w:pPr>
        <w:rPr>
          <w:lang/>
        </w:rPr>
      </w:pPr>
    </w:p>
    <w:p w14:paraId="1EDA4668" w14:textId="77777777" w:rsidR="000C3AD8" w:rsidRDefault="000C3AD8" w:rsidP="00833221"/>
    <w:p w14:paraId="78586787" w14:textId="19C94581" w:rsidR="00C20C91" w:rsidRPr="00C20C91" w:rsidRDefault="00C20C91" w:rsidP="00833221">
      <w:pPr>
        <w:rPr>
          <w:b/>
          <w:bCs/>
        </w:rPr>
      </w:pPr>
      <w:r w:rsidRPr="00C20C91">
        <w:rPr>
          <w:b/>
          <w:bCs/>
        </w:rPr>
        <w:t>COUNCIL OF THE EU</w:t>
      </w:r>
    </w:p>
    <w:p w14:paraId="7D05CBBC" w14:textId="77777777" w:rsidR="00C20C91" w:rsidRDefault="00C20C91" w:rsidP="00833221"/>
    <w:p w14:paraId="56B28198" w14:textId="104F188F" w:rsidR="00C20C91" w:rsidRDefault="004B5574" w:rsidP="00833221">
      <w:r>
        <w:t xml:space="preserve">In the Council, the Working Party on Environment is responsible for this file. No </w:t>
      </w:r>
      <w:r w:rsidR="00C66EFA">
        <w:t>other Council</w:t>
      </w:r>
      <w:r>
        <w:t xml:space="preserve"> formations are officially involved in the works (contrary to the European Parliament) and the coordination with other relevant ministries (i.e. Agriculture, Industry or else) is left in the hands of each Member State to carry out at national level.</w:t>
      </w:r>
    </w:p>
    <w:p w14:paraId="6EB61721" w14:textId="5AA232D1" w:rsidR="009F42C7" w:rsidRDefault="009F42C7" w:rsidP="00833221"/>
    <w:p w14:paraId="21762DA7" w14:textId="4BDCE057" w:rsidR="004B5574" w:rsidRDefault="009F42C7" w:rsidP="00833221">
      <w:r>
        <w:t xml:space="preserve">On 20 December 2022, only three weeks after the publication of the PPWR, the Council held a preliminary exchange of views on the proposal. </w:t>
      </w:r>
      <w:r w:rsidR="004B5574">
        <w:t>The</w:t>
      </w:r>
      <w:r>
        <w:t>n, the</w:t>
      </w:r>
      <w:r w:rsidR="004B5574">
        <w:t xml:space="preserve"> Working Party on Environment started to work on the proposal in mid-January. For two months, under the aegis of the Swedish Presidency, Environment Attaches have carried out a first reading of the PPWR, using this as an opportunity to ask the European </w:t>
      </w:r>
      <w:r>
        <w:t>Commission</w:t>
      </w:r>
      <w:r w:rsidR="004B5574">
        <w:t xml:space="preserve"> to clarify certain aspects of the proposal. Most of the Member States had a scruti</w:t>
      </w:r>
      <w:r>
        <w:t>ny</w:t>
      </w:r>
      <w:r w:rsidR="004B5574">
        <w:t xml:space="preserve"> reservation during this period, meaning that they did not have yet a position on the text.</w:t>
      </w:r>
    </w:p>
    <w:p w14:paraId="5B83C90C" w14:textId="0CA8FB0C" w:rsidR="004B5574" w:rsidRDefault="004B5574" w:rsidP="00833221">
      <w:r>
        <w:lastRenderedPageBreak/>
        <w:t>This is also due to the fact that the proposal had not been translated in many of the EU languages. All the translation</w:t>
      </w:r>
      <w:r w:rsidR="009F42C7">
        <w:t>s</w:t>
      </w:r>
      <w:r>
        <w:t xml:space="preserve"> have been finally made available</w:t>
      </w:r>
      <w:r w:rsidR="009F42C7">
        <w:t xml:space="preserve"> </w:t>
      </w:r>
      <w:r>
        <w:t>at the beginning of March.</w:t>
      </w:r>
    </w:p>
    <w:p w14:paraId="0D94B5ED" w14:textId="77777777" w:rsidR="004B5574" w:rsidRDefault="004B5574" w:rsidP="00833221"/>
    <w:p w14:paraId="4668D0B3" w14:textId="14B8243D" w:rsidR="009F42C7" w:rsidRDefault="009F42C7" w:rsidP="00833221">
      <w:r>
        <w:t>We understand that France and Germany are supportive of the proposal, whereas Italy is vocally concerned by the push on reusable packaging as preferred option vis-à-vis recycling. Finland and Czech Republic are reported to have raised concerns during the meetings of the Working Party on Environment.</w:t>
      </w:r>
    </w:p>
    <w:p w14:paraId="41C02C9A" w14:textId="77777777" w:rsidR="00F827D8" w:rsidRDefault="00F827D8" w:rsidP="00833221"/>
    <w:p w14:paraId="1E719077" w14:textId="68B0E674" w:rsidR="00F827D8" w:rsidRDefault="00F827D8" w:rsidP="00833221">
      <w:r>
        <w:t xml:space="preserve"> ***</w:t>
      </w:r>
    </w:p>
    <w:p w14:paraId="3700768D" w14:textId="77777777" w:rsidR="009F42C7" w:rsidRDefault="009F42C7" w:rsidP="00833221"/>
    <w:p w14:paraId="1550E061" w14:textId="456DEA6F" w:rsidR="00C66EFA" w:rsidRPr="00F827D8" w:rsidRDefault="009F42C7" w:rsidP="00833221">
      <w:pPr>
        <w:rPr>
          <w:color w:val="002060"/>
        </w:rPr>
      </w:pPr>
      <w:r w:rsidRPr="00F827D8">
        <w:rPr>
          <w:color w:val="002060"/>
        </w:rPr>
        <w:t>On 16 March, the EU Ministers for the Environment h</w:t>
      </w:r>
      <w:r w:rsidR="00C66EFA" w:rsidRPr="00F827D8">
        <w:rPr>
          <w:color w:val="002060"/>
        </w:rPr>
        <w:t>e</w:t>
      </w:r>
      <w:r w:rsidRPr="00F827D8">
        <w:rPr>
          <w:color w:val="002060"/>
        </w:rPr>
        <w:t xml:space="preserve">ld a policy debate on the PPWR proposal. </w:t>
      </w:r>
      <w:r w:rsidR="00C66EFA" w:rsidRPr="00F827D8">
        <w:rPr>
          <w:color w:val="002060"/>
        </w:rPr>
        <w:t>This indicated the</w:t>
      </w:r>
      <w:r w:rsidRPr="00F827D8">
        <w:rPr>
          <w:color w:val="002060"/>
        </w:rPr>
        <w:t xml:space="preserve"> political </w:t>
      </w:r>
      <w:r w:rsidR="00C66EFA" w:rsidRPr="00F827D8">
        <w:rPr>
          <w:color w:val="002060"/>
        </w:rPr>
        <w:t xml:space="preserve">priorities of the Member States, without digging into the </w:t>
      </w:r>
      <w:r w:rsidRPr="00F827D8">
        <w:rPr>
          <w:color w:val="002060"/>
        </w:rPr>
        <w:t>technical</w:t>
      </w:r>
      <w:r w:rsidR="00C66EFA" w:rsidRPr="00F827D8">
        <w:rPr>
          <w:color w:val="002060"/>
        </w:rPr>
        <w:t xml:space="preserve"> details of the proposal. Here you can find the positions expressed by Member States on key issues for the food and drink sector: </w:t>
      </w:r>
    </w:p>
    <w:p w14:paraId="24C77EEA" w14:textId="77777777" w:rsidR="00C66EFA" w:rsidRPr="00F827D8" w:rsidRDefault="00C66EFA" w:rsidP="00833221">
      <w:pPr>
        <w:rPr>
          <w:color w:val="002060"/>
        </w:rPr>
      </w:pPr>
    </w:p>
    <w:p w14:paraId="48DB0811" w14:textId="678B3EC6" w:rsidR="009F42C7" w:rsidRPr="00F827D8" w:rsidRDefault="00C66EFA" w:rsidP="006427A9">
      <w:pPr>
        <w:pStyle w:val="ListParagraph"/>
        <w:numPr>
          <w:ilvl w:val="0"/>
          <w:numId w:val="27"/>
        </w:numPr>
        <w:ind w:left="360"/>
        <w:rPr>
          <w:color w:val="002060"/>
          <w:u w:val="single"/>
        </w:rPr>
      </w:pPr>
      <w:r w:rsidRPr="00F827D8">
        <w:rPr>
          <w:color w:val="002060"/>
          <w:u w:val="single"/>
        </w:rPr>
        <w:t>Regulation or Directive</w:t>
      </w:r>
    </w:p>
    <w:p w14:paraId="63F417AE" w14:textId="67C4D443" w:rsidR="00C66EFA" w:rsidRPr="00F827D8" w:rsidRDefault="00C66EFA" w:rsidP="006427A9">
      <w:pPr>
        <w:pStyle w:val="ListParagraph"/>
        <w:ind w:left="360"/>
        <w:rPr>
          <w:color w:val="002060"/>
        </w:rPr>
      </w:pPr>
      <w:r w:rsidRPr="00F827D8">
        <w:rPr>
          <w:color w:val="002060"/>
        </w:rPr>
        <w:t xml:space="preserve">In favour of a Directive as a way to give more room for manoeuvre to Member States: Austria, Belgium, </w:t>
      </w:r>
      <w:r w:rsidR="001C7205" w:rsidRPr="00F827D8">
        <w:rPr>
          <w:color w:val="002060"/>
        </w:rPr>
        <w:t>Croatia, Czechia</w:t>
      </w:r>
      <w:r w:rsidR="00433B52" w:rsidRPr="00F827D8">
        <w:rPr>
          <w:color w:val="002060"/>
        </w:rPr>
        <w:t>, Latvia, Luxembourg</w:t>
      </w:r>
      <w:r w:rsidR="00861834" w:rsidRPr="00F827D8">
        <w:rPr>
          <w:color w:val="002060"/>
        </w:rPr>
        <w:t>, Greece</w:t>
      </w:r>
    </w:p>
    <w:p w14:paraId="13B27EEF" w14:textId="28628647" w:rsidR="000626BA" w:rsidRPr="00F827D8" w:rsidRDefault="000626BA" w:rsidP="006427A9">
      <w:pPr>
        <w:pStyle w:val="ListParagraph"/>
        <w:ind w:left="360"/>
        <w:rPr>
          <w:color w:val="002060"/>
        </w:rPr>
      </w:pPr>
      <w:r w:rsidRPr="00F827D8">
        <w:rPr>
          <w:color w:val="002060"/>
        </w:rPr>
        <w:t>In favour of a Regulation: Netherlands (but in some areas there should be room for more ambitious policies)</w:t>
      </w:r>
      <w:r w:rsidR="00861834" w:rsidRPr="00F827D8">
        <w:rPr>
          <w:color w:val="002060"/>
        </w:rPr>
        <w:t>, Bulgaria, Estonia</w:t>
      </w:r>
    </w:p>
    <w:p w14:paraId="1BD9002B" w14:textId="145CA1A4" w:rsidR="00C66EFA" w:rsidRPr="00F827D8" w:rsidRDefault="00C66EFA" w:rsidP="006427A9">
      <w:pPr>
        <w:pStyle w:val="ListParagraph"/>
        <w:numPr>
          <w:ilvl w:val="0"/>
          <w:numId w:val="27"/>
        </w:numPr>
        <w:ind w:left="360"/>
        <w:rPr>
          <w:color w:val="002060"/>
          <w:u w:val="single"/>
        </w:rPr>
      </w:pPr>
      <w:r w:rsidRPr="00F827D8">
        <w:rPr>
          <w:color w:val="002060"/>
          <w:u w:val="single"/>
        </w:rPr>
        <w:t>Internal market legal basis (only) or dual legal basis (internal market + environment)</w:t>
      </w:r>
    </w:p>
    <w:p w14:paraId="7EAB4F42" w14:textId="34CDFE41" w:rsidR="00C66EFA" w:rsidRPr="00F827D8" w:rsidRDefault="00C66EFA" w:rsidP="006427A9">
      <w:pPr>
        <w:pStyle w:val="ListParagraph"/>
        <w:ind w:left="360"/>
        <w:rPr>
          <w:color w:val="002060"/>
        </w:rPr>
      </w:pPr>
      <w:r w:rsidRPr="00F827D8">
        <w:rPr>
          <w:color w:val="002060"/>
        </w:rPr>
        <w:t xml:space="preserve">In favour of a dual legal basis as a way to give Member States the possibility to adopt or maintain ambitious national measures: </w:t>
      </w:r>
      <w:r w:rsidR="000626BA" w:rsidRPr="00F827D8">
        <w:rPr>
          <w:color w:val="002060"/>
        </w:rPr>
        <w:t>Austria, France</w:t>
      </w:r>
      <w:r w:rsidR="00433B52" w:rsidRPr="00F827D8">
        <w:rPr>
          <w:color w:val="002060"/>
        </w:rPr>
        <w:t>, Ireland, Luxembourg</w:t>
      </w:r>
    </w:p>
    <w:p w14:paraId="777D9EAC" w14:textId="19462326" w:rsidR="00C66EFA" w:rsidRPr="00F827D8" w:rsidRDefault="00C66EFA" w:rsidP="006427A9">
      <w:pPr>
        <w:pStyle w:val="ListParagraph"/>
        <w:numPr>
          <w:ilvl w:val="0"/>
          <w:numId w:val="27"/>
        </w:numPr>
        <w:ind w:left="360"/>
        <w:rPr>
          <w:color w:val="002060"/>
          <w:u w:val="single"/>
        </w:rPr>
      </w:pPr>
      <w:r w:rsidRPr="00F827D8">
        <w:rPr>
          <w:color w:val="002060"/>
          <w:u w:val="single"/>
        </w:rPr>
        <w:t xml:space="preserve">Reuse </w:t>
      </w:r>
    </w:p>
    <w:p w14:paraId="2820C821" w14:textId="13642EB1" w:rsidR="00C66EFA" w:rsidRPr="00F827D8" w:rsidRDefault="00C66EFA" w:rsidP="006427A9">
      <w:pPr>
        <w:pStyle w:val="ListParagraph"/>
        <w:ind w:left="360"/>
        <w:rPr>
          <w:color w:val="002060"/>
        </w:rPr>
      </w:pPr>
      <w:r w:rsidRPr="00F827D8">
        <w:rPr>
          <w:color w:val="002060"/>
        </w:rPr>
        <w:t>In favour or reuse</w:t>
      </w:r>
      <w:r w:rsidR="000626BA" w:rsidRPr="00F827D8">
        <w:rPr>
          <w:color w:val="002060"/>
        </w:rPr>
        <w:t>: Netherlands, Spain</w:t>
      </w:r>
      <w:r w:rsidR="00433B52" w:rsidRPr="00F827D8">
        <w:rPr>
          <w:color w:val="002060"/>
        </w:rPr>
        <w:t>, Latvia</w:t>
      </w:r>
    </w:p>
    <w:p w14:paraId="36E29387" w14:textId="5D9FD476" w:rsidR="00C66EFA" w:rsidRPr="00F827D8" w:rsidRDefault="00C66EFA" w:rsidP="006427A9">
      <w:pPr>
        <w:pStyle w:val="ListParagraph"/>
        <w:ind w:left="360"/>
        <w:rPr>
          <w:color w:val="002060"/>
        </w:rPr>
      </w:pPr>
      <w:r w:rsidRPr="00F827D8">
        <w:rPr>
          <w:color w:val="002060"/>
        </w:rPr>
        <w:t>Cautious on pushing reuse (“vs” recycling)</w:t>
      </w:r>
      <w:r w:rsidR="001C7205" w:rsidRPr="00F827D8">
        <w:rPr>
          <w:color w:val="002060"/>
        </w:rPr>
        <w:t>, look at impact</w:t>
      </w:r>
      <w:r w:rsidRPr="00F827D8">
        <w:rPr>
          <w:color w:val="002060"/>
        </w:rPr>
        <w:t>: Italy</w:t>
      </w:r>
      <w:r w:rsidR="001C7205" w:rsidRPr="00F827D8">
        <w:rPr>
          <w:color w:val="002060"/>
        </w:rPr>
        <w:t>, Slovakia, Croatia</w:t>
      </w:r>
      <w:r w:rsidR="00861834" w:rsidRPr="00F827D8">
        <w:rPr>
          <w:color w:val="002060"/>
        </w:rPr>
        <w:t>, Luxembourg, Greece, Malta</w:t>
      </w:r>
    </w:p>
    <w:p w14:paraId="69F38625" w14:textId="5B3705D4" w:rsidR="00C66EFA" w:rsidRPr="00F827D8" w:rsidRDefault="00C66EFA" w:rsidP="006427A9">
      <w:pPr>
        <w:pStyle w:val="ListParagraph"/>
        <w:numPr>
          <w:ilvl w:val="0"/>
          <w:numId w:val="27"/>
        </w:numPr>
        <w:ind w:left="360"/>
        <w:rPr>
          <w:color w:val="002060"/>
          <w:u w:val="single"/>
        </w:rPr>
      </w:pPr>
      <w:r w:rsidRPr="00F827D8">
        <w:rPr>
          <w:color w:val="002060"/>
          <w:u w:val="single"/>
        </w:rPr>
        <w:t>Targets and deadlines</w:t>
      </w:r>
    </w:p>
    <w:p w14:paraId="24C1031A" w14:textId="4AF63A0C" w:rsidR="00C66EFA" w:rsidRPr="00F827D8" w:rsidRDefault="00C66EFA" w:rsidP="006427A9">
      <w:pPr>
        <w:pStyle w:val="ListParagraph"/>
        <w:ind w:left="360"/>
        <w:rPr>
          <w:color w:val="002060"/>
        </w:rPr>
      </w:pPr>
      <w:r w:rsidRPr="00F827D8">
        <w:rPr>
          <w:color w:val="002060"/>
        </w:rPr>
        <w:t>In favour or higher targets and shorter deadlines: Netherlands</w:t>
      </w:r>
      <w:r w:rsidR="00861834" w:rsidRPr="00F827D8">
        <w:rPr>
          <w:color w:val="002060"/>
        </w:rPr>
        <w:t>, Luxembourg</w:t>
      </w:r>
    </w:p>
    <w:p w14:paraId="6D634C69" w14:textId="57A68C55" w:rsidR="000626BA" w:rsidRPr="00F827D8" w:rsidRDefault="001C7205" w:rsidP="006427A9">
      <w:pPr>
        <w:pStyle w:val="ListParagraph"/>
        <w:ind w:left="360"/>
        <w:rPr>
          <w:color w:val="002060"/>
        </w:rPr>
      </w:pPr>
      <w:r w:rsidRPr="00F827D8">
        <w:rPr>
          <w:color w:val="002060"/>
        </w:rPr>
        <w:t>Believes that they are too ambitious: Czechia (deadlines), Lithuania</w:t>
      </w:r>
      <w:r w:rsidR="00861834" w:rsidRPr="00F827D8">
        <w:rPr>
          <w:color w:val="002060"/>
        </w:rPr>
        <w:t>, Greece</w:t>
      </w:r>
    </w:p>
    <w:p w14:paraId="578E92BB" w14:textId="41C1E470" w:rsidR="00C66EFA" w:rsidRPr="00F827D8" w:rsidRDefault="000626BA" w:rsidP="006427A9">
      <w:pPr>
        <w:pStyle w:val="ListParagraph"/>
        <w:numPr>
          <w:ilvl w:val="0"/>
          <w:numId w:val="27"/>
        </w:numPr>
        <w:ind w:left="360"/>
        <w:rPr>
          <w:color w:val="002060"/>
          <w:u w:val="single"/>
        </w:rPr>
      </w:pPr>
      <w:r w:rsidRPr="00F827D8">
        <w:rPr>
          <w:color w:val="002060"/>
          <w:u w:val="single"/>
        </w:rPr>
        <w:t>Chemical recycling</w:t>
      </w:r>
    </w:p>
    <w:p w14:paraId="23DD8442" w14:textId="2B626E13" w:rsidR="000626BA" w:rsidRPr="00F827D8" w:rsidRDefault="001C7205" w:rsidP="006427A9">
      <w:pPr>
        <w:pStyle w:val="ListParagraph"/>
        <w:ind w:left="360"/>
        <w:rPr>
          <w:color w:val="002060"/>
        </w:rPr>
      </w:pPr>
      <w:r w:rsidRPr="00F827D8">
        <w:rPr>
          <w:color w:val="002060"/>
        </w:rPr>
        <w:t>In favour: Slovakia, Finland</w:t>
      </w:r>
    </w:p>
    <w:p w14:paraId="7B4AC668" w14:textId="3AA054D9" w:rsidR="00C66EFA" w:rsidRPr="00F827D8" w:rsidRDefault="00C66EFA" w:rsidP="006427A9">
      <w:pPr>
        <w:pStyle w:val="ListParagraph"/>
        <w:numPr>
          <w:ilvl w:val="0"/>
          <w:numId w:val="27"/>
        </w:numPr>
        <w:ind w:left="360"/>
        <w:rPr>
          <w:color w:val="002060"/>
          <w:u w:val="single"/>
        </w:rPr>
      </w:pPr>
      <w:r w:rsidRPr="00F827D8">
        <w:rPr>
          <w:color w:val="002060"/>
          <w:u w:val="single"/>
        </w:rPr>
        <w:t>Food safety</w:t>
      </w:r>
    </w:p>
    <w:p w14:paraId="601918A9" w14:textId="538942A8" w:rsidR="00C66EFA" w:rsidRPr="00F827D8" w:rsidRDefault="00C66EFA" w:rsidP="006427A9">
      <w:pPr>
        <w:pStyle w:val="ListParagraph"/>
        <w:ind w:left="360"/>
        <w:rPr>
          <w:color w:val="002060"/>
        </w:rPr>
      </w:pPr>
      <w:r w:rsidRPr="00F827D8">
        <w:rPr>
          <w:color w:val="002060"/>
        </w:rPr>
        <w:t>Special mention to the need to preserve food safety: Italy</w:t>
      </w:r>
      <w:r w:rsidR="00433B52" w:rsidRPr="00F827D8">
        <w:rPr>
          <w:color w:val="002060"/>
        </w:rPr>
        <w:t>, Latvia</w:t>
      </w:r>
    </w:p>
    <w:p w14:paraId="096C2E2A" w14:textId="1FDAEC33" w:rsidR="00C66EFA" w:rsidRPr="00F827D8" w:rsidRDefault="00C66EFA" w:rsidP="006427A9">
      <w:pPr>
        <w:pStyle w:val="ListParagraph"/>
        <w:numPr>
          <w:ilvl w:val="0"/>
          <w:numId w:val="27"/>
        </w:numPr>
        <w:ind w:left="360"/>
        <w:rPr>
          <w:color w:val="002060"/>
          <w:u w:val="single"/>
        </w:rPr>
      </w:pPr>
      <w:r w:rsidRPr="00F827D8">
        <w:rPr>
          <w:color w:val="002060"/>
          <w:u w:val="single"/>
        </w:rPr>
        <w:t>Cost/burden for SMEs</w:t>
      </w:r>
    </w:p>
    <w:p w14:paraId="5437CB90" w14:textId="53CF084A" w:rsidR="00C66EFA" w:rsidRPr="00F827D8" w:rsidRDefault="00C66EFA" w:rsidP="006427A9">
      <w:pPr>
        <w:pStyle w:val="ListParagraph"/>
        <w:ind w:left="360"/>
        <w:rPr>
          <w:color w:val="002060"/>
        </w:rPr>
      </w:pPr>
      <w:r w:rsidRPr="00F827D8">
        <w:rPr>
          <w:color w:val="002060"/>
        </w:rPr>
        <w:t>Special mention to the burden that the new rules would create for SMEs: Italy</w:t>
      </w:r>
      <w:r w:rsidR="000626BA" w:rsidRPr="00F827D8">
        <w:rPr>
          <w:color w:val="002060"/>
        </w:rPr>
        <w:t>, Poland</w:t>
      </w:r>
      <w:r w:rsidR="00861834" w:rsidRPr="00F827D8">
        <w:rPr>
          <w:color w:val="002060"/>
        </w:rPr>
        <w:t>, Greece, Malta</w:t>
      </w:r>
    </w:p>
    <w:p w14:paraId="7FE5A19F" w14:textId="77777777" w:rsidR="00C66EFA" w:rsidRPr="00F827D8" w:rsidRDefault="00C66EFA" w:rsidP="006427A9">
      <w:pPr>
        <w:pStyle w:val="ListParagraph"/>
        <w:numPr>
          <w:ilvl w:val="0"/>
          <w:numId w:val="27"/>
        </w:numPr>
        <w:ind w:left="360"/>
        <w:rPr>
          <w:color w:val="002060"/>
          <w:u w:val="single"/>
        </w:rPr>
      </w:pPr>
      <w:r w:rsidRPr="00F827D8">
        <w:rPr>
          <w:color w:val="002060"/>
          <w:u w:val="single"/>
        </w:rPr>
        <w:t>Delegated acts</w:t>
      </w:r>
    </w:p>
    <w:p w14:paraId="185B90CF" w14:textId="487DCFE1" w:rsidR="00C66EFA" w:rsidRPr="00F827D8" w:rsidRDefault="00C66EFA" w:rsidP="006427A9">
      <w:pPr>
        <w:pStyle w:val="ListParagraph"/>
        <w:ind w:left="360"/>
        <w:rPr>
          <w:color w:val="002060"/>
        </w:rPr>
      </w:pPr>
      <w:r w:rsidRPr="00F827D8">
        <w:rPr>
          <w:color w:val="002060"/>
        </w:rPr>
        <w:t>Doubtful on the number of delegated acts: Italy</w:t>
      </w:r>
      <w:r w:rsidR="000626BA" w:rsidRPr="00F827D8">
        <w:rPr>
          <w:color w:val="002060"/>
        </w:rPr>
        <w:t>, Belgium</w:t>
      </w:r>
      <w:r w:rsidR="001C7205" w:rsidRPr="00F827D8">
        <w:rPr>
          <w:color w:val="002060"/>
        </w:rPr>
        <w:t>, Czechia</w:t>
      </w:r>
      <w:r w:rsidR="00861834" w:rsidRPr="00F827D8">
        <w:rPr>
          <w:color w:val="002060"/>
        </w:rPr>
        <w:t>, Bulgaria, Slovenia</w:t>
      </w:r>
    </w:p>
    <w:p w14:paraId="5B95804F" w14:textId="61BFDBAE" w:rsidR="00C66EFA" w:rsidRPr="00F827D8" w:rsidRDefault="00C66EFA" w:rsidP="006427A9">
      <w:pPr>
        <w:pStyle w:val="ListParagraph"/>
        <w:numPr>
          <w:ilvl w:val="0"/>
          <w:numId w:val="27"/>
        </w:numPr>
        <w:ind w:left="360"/>
        <w:rPr>
          <w:color w:val="002060"/>
          <w:u w:val="single"/>
        </w:rPr>
      </w:pPr>
      <w:r w:rsidRPr="00F827D8">
        <w:rPr>
          <w:color w:val="002060"/>
          <w:u w:val="single"/>
        </w:rPr>
        <w:t>More</w:t>
      </w:r>
    </w:p>
    <w:p w14:paraId="2CF07E21" w14:textId="7BF57246" w:rsidR="00C66EFA" w:rsidRPr="00F827D8" w:rsidRDefault="00C66EFA" w:rsidP="006427A9">
      <w:pPr>
        <w:pStyle w:val="ListParagraph"/>
        <w:numPr>
          <w:ilvl w:val="0"/>
          <w:numId w:val="28"/>
        </w:numPr>
        <w:rPr>
          <w:color w:val="002060"/>
        </w:rPr>
      </w:pPr>
      <w:r w:rsidRPr="00F827D8">
        <w:rPr>
          <w:color w:val="002060"/>
        </w:rPr>
        <w:t>Italy askes to update the Commission’s Impact Assessment</w:t>
      </w:r>
    </w:p>
    <w:p w14:paraId="122DDEDE" w14:textId="577DAE58" w:rsidR="00433B52" w:rsidRPr="00F827D8" w:rsidRDefault="00433B52" w:rsidP="006427A9">
      <w:pPr>
        <w:pStyle w:val="ListParagraph"/>
        <w:numPr>
          <w:ilvl w:val="0"/>
          <w:numId w:val="28"/>
        </w:numPr>
        <w:rPr>
          <w:color w:val="002060"/>
        </w:rPr>
      </w:pPr>
      <w:r w:rsidRPr="00F827D8">
        <w:rPr>
          <w:color w:val="002060"/>
        </w:rPr>
        <w:t>Italy: no one-size-fits-all</w:t>
      </w:r>
    </w:p>
    <w:p w14:paraId="7EFAB1D5" w14:textId="47449854" w:rsidR="000626BA" w:rsidRPr="00F827D8" w:rsidRDefault="000626BA" w:rsidP="006427A9">
      <w:pPr>
        <w:pStyle w:val="ListParagraph"/>
        <w:numPr>
          <w:ilvl w:val="0"/>
          <w:numId w:val="28"/>
        </w:numPr>
        <w:rPr>
          <w:color w:val="002060"/>
        </w:rPr>
      </w:pPr>
      <w:r w:rsidRPr="00F827D8">
        <w:rPr>
          <w:color w:val="002060"/>
        </w:rPr>
        <w:t>Spain: sorted collection should be improved, as well as better recycling techniques</w:t>
      </w:r>
    </w:p>
    <w:p w14:paraId="2D94B3F8" w14:textId="7F649BA6" w:rsidR="000626BA" w:rsidRPr="00F827D8" w:rsidRDefault="000626BA" w:rsidP="006427A9">
      <w:pPr>
        <w:pStyle w:val="ListParagraph"/>
        <w:numPr>
          <w:ilvl w:val="0"/>
          <w:numId w:val="28"/>
        </w:numPr>
        <w:rPr>
          <w:color w:val="002060"/>
        </w:rPr>
      </w:pPr>
      <w:r w:rsidRPr="00F827D8">
        <w:rPr>
          <w:color w:val="002060"/>
        </w:rPr>
        <w:t>France: packaging should be standardised</w:t>
      </w:r>
    </w:p>
    <w:p w14:paraId="51B4246B" w14:textId="4720052E" w:rsidR="000626BA" w:rsidRPr="00F827D8" w:rsidRDefault="000626BA" w:rsidP="006427A9">
      <w:pPr>
        <w:pStyle w:val="ListParagraph"/>
        <w:numPr>
          <w:ilvl w:val="0"/>
          <w:numId w:val="28"/>
        </w:numPr>
        <w:rPr>
          <w:color w:val="002060"/>
        </w:rPr>
      </w:pPr>
      <w:r w:rsidRPr="00F827D8">
        <w:rPr>
          <w:color w:val="002060"/>
        </w:rPr>
        <w:t>France: certain types of packaging should be banned where alternatives exist</w:t>
      </w:r>
    </w:p>
    <w:p w14:paraId="32737FAB" w14:textId="6E5AE004" w:rsidR="001C7205" w:rsidRPr="00F827D8" w:rsidRDefault="001C7205" w:rsidP="006427A9">
      <w:pPr>
        <w:pStyle w:val="ListParagraph"/>
        <w:numPr>
          <w:ilvl w:val="0"/>
          <w:numId w:val="28"/>
        </w:numPr>
        <w:rPr>
          <w:color w:val="002060"/>
        </w:rPr>
      </w:pPr>
      <w:r w:rsidRPr="00F827D8">
        <w:rPr>
          <w:color w:val="002060"/>
        </w:rPr>
        <w:t>Croatia: to properly assess all impacts of the proposal, this file should not be rushed</w:t>
      </w:r>
    </w:p>
    <w:p w14:paraId="2F50E5E0" w14:textId="36080B41" w:rsidR="001C7205" w:rsidRPr="00F827D8" w:rsidRDefault="001C7205" w:rsidP="006427A9">
      <w:pPr>
        <w:pStyle w:val="ListParagraph"/>
        <w:numPr>
          <w:ilvl w:val="0"/>
          <w:numId w:val="28"/>
        </w:numPr>
        <w:rPr>
          <w:color w:val="002060"/>
        </w:rPr>
      </w:pPr>
      <w:r w:rsidRPr="00F827D8">
        <w:rPr>
          <w:color w:val="002060"/>
        </w:rPr>
        <w:t>Czechia: for effective implementation, at least 2 years are needed for adaptation</w:t>
      </w:r>
    </w:p>
    <w:p w14:paraId="6DA49494" w14:textId="792C8CF9" w:rsidR="001C7205" w:rsidRPr="00F827D8" w:rsidRDefault="001C7205" w:rsidP="006427A9">
      <w:pPr>
        <w:pStyle w:val="ListParagraph"/>
        <w:numPr>
          <w:ilvl w:val="0"/>
          <w:numId w:val="28"/>
        </w:numPr>
        <w:rPr>
          <w:color w:val="002060"/>
        </w:rPr>
      </w:pPr>
      <w:r w:rsidRPr="00F827D8">
        <w:rPr>
          <w:color w:val="002060"/>
        </w:rPr>
        <w:lastRenderedPageBreak/>
        <w:t>Germany: the proposal could be more ambitious when it comes to recyclability</w:t>
      </w:r>
    </w:p>
    <w:p w14:paraId="3D29138F" w14:textId="68C618D2" w:rsidR="001C7205" w:rsidRPr="00F827D8" w:rsidRDefault="001C7205" w:rsidP="006427A9">
      <w:pPr>
        <w:pStyle w:val="ListParagraph"/>
        <w:numPr>
          <w:ilvl w:val="0"/>
          <w:numId w:val="28"/>
        </w:numPr>
        <w:rPr>
          <w:color w:val="002060"/>
        </w:rPr>
      </w:pPr>
      <w:r w:rsidRPr="00F827D8">
        <w:rPr>
          <w:color w:val="002060"/>
        </w:rPr>
        <w:t>Finland: the requirements for recycling at scale should be further specified and assessed in terms of appropriateness</w:t>
      </w:r>
    </w:p>
    <w:p w14:paraId="12B32003" w14:textId="0EDC217A" w:rsidR="00433B52" w:rsidRPr="00F827D8" w:rsidRDefault="00433B52" w:rsidP="006427A9">
      <w:pPr>
        <w:pStyle w:val="ListParagraph"/>
        <w:numPr>
          <w:ilvl w:val="0"/>
          <w:numId w:val="28"/>
        </w:numPr>
        <w:rPr>
          <w:color w:val="002060"/>
        </w:rPr>
      </w:pPr>
      <w:r w:rsidRPr="00F827D8">
        <w:rPr>
          <w:color w:val="002060"/>
        </w:rPr>
        <w:t>Lithuania: recycling and reuse targets should not be contradictory; they could be set by the type of packaging and type of use</w:t>
      </w:r>
    </w:p>
    <w:p w14:paraId="2DFCF606" w14:textId="4DA2CC91" w:rsidR="00433B52" w:rsidRPr="00F827D8" w:rsidRDefault="00433B52" w:rsidP="006427A9">
      <w:pPr>
        <w:pStyle w:val="ListParagraph"/>
        <w:numPr>
          <w:ilvl w:val="0"/>
          <w:numId w:val="28"/>
        </w:numPr>
        <w:rPr>
          <w:color w:val="002060"/>
        </w:rPr>
      </w:pPr>
      <w:r w:rsidRPr="00F827D8">
        <w:rPr>
          <w:color w:val="002060"/>
        </w:rPr>
        <w:t>Ireland: consistency with other EU legislation is needed</w:t>
      </w:r>
    </w:p>
    <w:p w14:paraId="5EC89601" w14:textId="2E1F2238" w:rsidR="00861834" w:rsidRPr="00F827D8" w:rsidRDefault="00433B52" w:rsidP="006427A9">
      <w:pPr>
        <w:pStyle w:val="ListParagraph"/>
        <w:numPr>
          <w:ilvl w:val="0"/>
          <w:numId w:val="28"/>
        </w:numPr>
        <w:rPr>
          <w:color w:val="002060"/>
        </w:rPr>
      </w:pPr>
      <w:r w:rsidRPr="00F827D8">
        <w:rPr>
          <w:color w:val="002060"/>
        </w:rPr>
        <w:t>Ireland: targets should be based on robust analysis and data</w:t>
      </w:r>
    </w:p>
    <w:p w14:paraId="7B708333" w14:textId="5B3752EA" w:rsidR="00861834" w:rsidRPr="00F827D8" w:rsidRDefault="00861834" w:rsidP="006427A9">
      <w:pPr>
        <w:pStyle w:val="ListParagraph"/>
        <w:numPr>
          <w:ilvl w:val="0"/>
          <w:numId w:val="28"/>
        </w:numPr>
        <w:rPr>
          <w:color w:val="002060"/>
        </w:rPr>
      </w:pPr>
      <w:r w:rsidRPr="00F827D8">
        <w:rPr>
          <w:color w:val="002060"/>
        </w:rPr>
        <w:t>Romania: the calculation methods have to be adopted before the deadlines and economic operators need to have transitional periods</w:t>
      </w:r>
    </w:p>
    <w:p w14:paraId="55359C50" w14:textId="2FB6F32B" w:rsidR="00433B52" w:rsidRPr="00F827D8" w:rsidRDefault="00433B52" w:rsidP="006427A9">
      <w:pPr>
        <w:pStyle w:val="ListParagraph"/>
        <w:numPr>
          <w:ilvl w:val="0"/>
          <w:numId w:val="28"/>
        </w:numPr>
        <w:rPr>
          <w:color w:val="002060"/>
        </w:rPr>
      </w:pPr>
      <w:r w:rsidRPr="00F827D8">
        <w:rPr>
          <w:color w:val="002060"/>
        </w:rPr>
        <w:t>Latvia: the principle of proportionality should be applied to food packaging; this is vital in preventing the increase in food waste due to less substantial packaging</w:t>
      </w:r>
    </w:p>
    <w:p w14:paraId="189B9490" w14:textId="68412109" w:rsidR="00433B52" w:rsidRPr="00F827D8" w:rsidRDefault="00433B52" w:rsidP="006427A9">
      <w:pPr>
        <w:pStyle w:val="ListParagraph"/>
        <w:numPr>
          <w:ilvl w:val="0"/>
          <w:numId w:val="28"/>
        </w:numPr>
        <w:rPr>
          <w:color w:val="002060"/>
        </w:rPr>
      </w:pPr>
      <w:r w:rsidRPr="00F827D8">
        <w:rPr>
          <w:color w:val="002060"/>
        </w:rPr>
        <w:t>Portugal: need to develop the infrastructure for collecting, sorting and recycling</w:t>
      </w:r>
    </w:p>
    <w:p w14:paraId="259D42EB" w14:textId="2F5CAC54" w:rsidR="00433B52" w:rsidRPr="00F827D8" w:rsidRDefault="00433B52" w:rsidP="006427A9">
      <w:pPr>
        <w:pStyle w:val="ListParagraph"/>
        <w:numPr>
          <w:ilvl w:val="0"/>
          <w:numId w:val="28"/>
        </w:numPr>
        <w:rPr>
          <w:color w:val="002060"/>
        </w:rPr>
      </w:pPr>
      <w:r w:rsidRPr="00F827D8">
        <w:rPr>
          <w:color w:val="002060"/>
        </w:rPr>
        <w:t>Portugal: having rates of minimum recycled content in plastic packaging is good to boost the demand for secondary raw materials; however, the amount available does not match the demand</w:t>
      </w:r>
    </w:p>
    <w:p w14:paraId="114BE218" w14:textId="0579901E" w:rsidR="00861834" w:rsidRPr="00F827D8" w:rsidRDefault="00861834" w:rsidP="006427A9">
      <w:pPr>
        <w:pStyle w:val="ListParagraph"/>
        <w:numPr>
          <w:ilvl w:val="0"/>
          <w:numId w:val="28"/>
        </w:numPr>
        <w:rPr>
          <w:color w:val="002060"/>
        </w:rPr>
      </w:pPr>
      <w:r w:rsidRPr="00F827D8">
        <w:rPr>
          <w:color w:val="002060"/>
        </w:rPr>
        <w:t>Luxembourg: it is paramount that these rules would lead to more sustainable solutions</w:t>
      </w:r>
    </w:p>
    <w:p w14:paraId="1DF55B8E" w14:textId="218B6BBD" w:rsidR="00433B52" w:rsidRPr="00F827D8" w:rsidRDefault="00861834" w:rsidP="006427A9">
      <w:pPr>
        <w:pStyle w:val="ListParagraph"/>
        <w:numPr>
          <w:ilvl w:val="0"/>
          <w:numId w:val="28"/>
        </w:numPr>
        <w:rPr>
          <w:color w:val="002060"/>
        </w:rPr>
      </w:pPr>
      <w:r w:rsidRPr="00F827D8">
        <w:rPr>
          <w:color w:val="002060"/>
        </w:rPr>
        <w:t>Greece: the recycled plastic target is impossible to achieve (60% by 2040)</w:t>
      </w:r>
    </w:p>
    <w:p w14:paraId="7CB0F9AA" w14:textId="3FDEFB3D" w:rsidR="00861834" w:rsidRPr="00F827D8" w:rsidRDefault="00861834" w:rsidP="006427A9">
      <w:pPr>
        <w:pStyle w:val="ListParagraph"/>
        <w:numPr>
          <w:ilvl w:val="0"/>
          <w:numId w:val="28"/>
        </w:numPr>
        <w:rPr>
          <w:color w:val="002060"/>
        </w:rPr>
      </w:pPr>
      <w:r w:rsidRPr="00F827D8">
        <w:rPr>
          <w:color w:val="002060"/>
        </w:rPr>
        <w:t>Bulgaria, Romania: against “per unit” target for recycled content</w:t>
      </w:r>
    </w:p>
    <w:p w14:paraId="4F63D980" w14:textId="6625496A" w:rsidR="006427A9" w:rsidRPr="00F827D8" w:rsidRDefault="00861834" w:rsidP="006427A9">
      <w:pPr>
        <w:pStyle w:val="ListParagraph"/>
        <w:numPr>
          <w:ilvl w:val="0"/>
          <w:numId w:val="28"/>
        </w:numPr>
        <w:rPr>
          <w:color w:val="002060"/>
        </w:rPr>
      </w:pPr>
      <w:r w:rsidRPr="00F827D8">
        <w:rPr>
          <w:color w:val="002060"/>
        </w:rPr>
        <w:t>Bulgaria: in favour of priority access to recycled materials for food packaging</w:t>
      </w:r>
    </w:p>
    <w:p w14:paraId="3F7E5953" w14:textId="19ED9F86" w:rsidR="006427A9" w:rsidRPr="00F827D8" w:rsidRDefault="006427A9" w:rsidP="006427A9">
      <w:pPr>
        <w:pStyle w:val="ListParagraph"/>
        <w:numPr>
          <w:ilvl w:val="0"/>
          <w:numId w:val="28"/>
        </w:numPr>
        <w:rPr>
          <w:rStyle w:val="Strong"/>
          <w:color w:val="002060"/>
        </w:rPr>
      </w:pPr>
      <w:r w:rsidRPr="00F827D8">
        <w:rPr>
          <w:color w:val="002060"/>
        </w:rPr>
        <w:t>Slovenia: concerned that environmental matters would be “subordinated” to issues linked to the internal market</w:t>
      </w:r>
    </w:p>
    <w:p w14:paraId="6AE03374" w14:textId="77777777" w:rsidR="00F827D8" w:rsidRDefault="00F827D8" w:rsidP="00833221">
      <w:pPr>
        <w:rPr>
          <w:lang/>
        </w:rPr>
      </w:pPr>
    </w:p>
    <w:p w14:paraId="74926463" w14:textId="16177D6A" w:rsidR="00F827D8" w:rsidRDefault="00F827D8" w:rsidP="00833221">
      <w:pPr>
        <w:rPr>
          <w:lang w:val="en-US"/>
        </w:rPr>
      </w:pPr>
      <w:r>
        <w:rPr>
          <w:lang w:val="en-US"/>
        </w:rPr>
        <w:t xml:space="preserve"> ***</w:t>
      </w:r>
    </w:p>
    <w:p w14:paraId="25BA77BB" w14:textId="4A9B0051" w:rsidR="00F827D8" w:rsidRPr="000775AD" w:rsidRDefault="00F827D8" w:rsidP="00833221">
      <w:pPr>
        <w:rPr>
          <w:color w:val="002060"/>
          <w:lang w:val="en-US"/>
        </w:rPr>
      </w:pPr>
      <w:r w:rsidRPr="000775AD">
        <w:rPr>
          <w:color w:val="002060"/>
          <w:lang w:val="en-US"/>
        </w:rPr>
        <w:t>07/04/2023</w:t>
      </w:r>
    </w:p>
    <w:p w14:paraId="2A8035FB" w14:textId="77777777" w:rsidR="00F827D8" w:rsidRPr="000775AD" w:rsidRDefault="00F827D8" w:rsidP="00833221">
      <w:pPr>
        <w:rPr>
          <w:color w:val="002060"/>
          <w:lang w:val="en-US"/>
        </w:rPr>
      </w:pPr>
    </w:p>
    <w:p w14:paraId="4E690CB8" w14:textId="61E4589B" w:rsidR="00F827D8" w:rsidRPr="000775AD" w:rsidRDefault="00F827D8" w:rsidP="00F827D8">
      <w:pPr>
        <w:rPr>
          <w:color w:val="002060"/>
          <w:lang/>
        </w:rPr>
      </w:pPr>
      <w:r w:rsidRPr="000775AD">
        <w:rPr>
          <w:color w:val="002060"/>
          <w:lang/>
        </w:rPr>
        <w:t>We understand that there is a proposal now being discussed in the Working Party on Environment. Member States ha</w:t>
      </w:r>
      <w:r w:rsidR="000775AD">
        <w:rPr>
          <w:color w:val="002060"/>
          <w:lang w:val="en-US"/>
        </w:rPr>
        <w:t>ve</w:t>
      </w:r>
      <w:r w:rsidRPr="000775AD">
        <w:rPr>
          <w:color w:val="002060"/>
          <w:lang/>
        </w:rPr>
        <w:t xml:space="preserve"> to provide written input to the Swedish Presidency by 19 April, so it would be important to reach out</w:t>
      </w:r>
      <w:r w:rsidRPr="000775AD">
        <w:rPr>
          <w:color w:val="002060"/>
          <w:lang w:val="en-US"/>
        </w:rPr>
        <w:t xml:space="preserve"> to the national governments and the Permanent Representations</w:t>
      </w:r>
      <w:r w:rsidRPr="000775AD">
        <w:rPr>
          <w:color w:val="002060"/>
          <w:lang/>
        </w:rPr>
        <w:t xml:space="preserve"> as soon as possible.</w:t>
      </w:r>
    </w:p>
    <w:p w14:paraId="5C431AD8" w14:textId="77777777" w:rsidR="00F827D8" w:rsidRPr="000775AD" w:rsidRDefault="00F827D8" w:rsidP="00F827D8">
      <w:pPr>
        <w:rPr>
          <w:color w:val="002060"/>
          <w:lang/>
        </w:rPr>
      </w:pPr>
    </w:p>
    <w:p w14:paraId="2F19C696" w14:textId="25B99984" w:rsidR="00F827D8" w:rsidRPr="000775AD" w:rsidRDefault="00F827D8" w:rsidP="00F827D8">
      <w:pPr>
        <w:rPr>
          <w:color w:val="002060"/>
          <w:lang/>
        </w:rPr>
      </w:pPr>
      <w:r w:rsidRPr="000775AD">
        <w:rPr>
          <w:color w:val="002060"/>
          <w:lang/>
        </w:rPr>
        <w:t>According to our understanding, the Swedish presidency is going in this direction:</w:t>
      </w:r>
    </w:p>
    <w:p w14:paraId="0AE436DF" w14:textId="77777777" w:rsidR="00F827D8" w:rsidRPr="000775AD" w:rsidRDefault="00F827D8" w:rsidP="00F827D8">
      <w:pPr>
        <w:rPr>
          <w:color w:val="002060"/>
          <w:lang/>
        </w:rPr>
      </w:pPr>
    </w:p>
    <w:p w14:paraId="7019BC56" w14:textId="77777777" w:rsidR="00F827D8" w:rsidRPr="000775AD" w:rsidRDefault="00F827D8" w:rsidP="00F827D8">
      <w:pPr>
        <w:rPr>
          <w:color w:val="002060"/>
          <w:lang/>
        </w:rPr>
      </w:pPr>
      <w:r w:rsidRPr="000775AD">
        <w:rPr>
          <w:color w:val="002060"/>
          <w:lang/>
        </w:rPr>
        <w:t xml:space="preserve">Article 6 </w:t>
      </w:r>
    </w:p>
    <w:p w14:paraId="265B1958" w14:textId="11EB280C" w:rsidR="00F827D8" w:rsidRPr="000775AD" w:rsidRDefault="00F827D8" w:rsidP="00F827D8">
      <w:pPr>
        <w:pStyle w:val="ListParagraph"/>
        <w:numPr>
          <w:ilvl w:val="0"/>
          <w:numId w:val="27"/>
        </w:numPr>
        <w:ind w:left="426"/>
        <w:rPr>
          <w:color w:val="002060"/>
          <w:lang/>
        </w:rPr>
      </w:pPr>
      <w:r w:rsidRPr="000775AD">
        <w:rPr>
          <w:color w:val="002060"/>
          <w:lang/>
        </w:rPr>
        <w:t>introduction in the recitals of a definition of “material recycling” and “high-quality recycling”:</w:t>
      </w:r>
    </w:p>
    <w:p w14:paraId="0FE8003E" w14:textId="2183D851" w:rsidR="00F827D8" w:rsidRPr="000775AD" w:rsidRDefault="00F827D8" w:rsidP="00F827D8">
      <w:pPr>
        <w:pStyle w:val="ListParagraph"/>
        <w:numPr>
          <w:ilvl w:val="0"/>
          <w:numId w:val="29"/>
        </w:numPr>
        <w:rPr>
          <w:color w:val="002060"/>
          <w:lang/>
        </w:rPr>
      </w:pPr>
      <w:r w:rsidRPr="000775AD">
        <w:rPr>
          <w:color w:val="002060"/>
          <w:lang/>
        </w:rPr>
        <w:t xml:space="preserve">Material recycling would be any recovery operation, other than biological treatment of waste, that reprocesses waste materials into materials or substances for the original or other purposes; it would not include energy recovery and the reprocessing into materials that are to be </w:t>
      </w:r>
      <w:r w:rsidRPr="000775AD">
        <w:rPr>
          <w:color w:val="002060"/>
          <w:lang w:val="en-US"/>
        </w:rPr>
        <w:t>u</w:t>
      </w:r>
      <w:r w:rsidRPr="000775AD">
        <w:rPr>
          <w:color w:val="002060"/>
          <w:lang/>
        </w:rPr>
        <w:t xml:space="preserve">sed as fuels or for backfilling operations. </w:t>
      </w:r>
    </w:p>
    <w:p w14:paraId="525DF1A3" w14:textId="76D82D54" w:rsidR="00F827D8" w:rsidRPr="000775AD" w:rsidRDefault="00F827D8" w:rsidP="00F827D8">
      <w:pPr>
        <w:pStyle w:val="ListParagraph"/>
        <w:numPr>
          <w:ilvl w:val="0"/>
          <w:numId w:val="29"/>
        </w:numPr>
        <w:rPr>
          <w:color w:val="002060"/>
          <w:lang/>
        </w:rPr>
      </w:pPr>
      <w:r w:rsidRPr="000775AD">
        <w:rPr>
          <w:color w:val="002060"/>
          <w:lang/>
        </w:rPr>
        <w:t>High quality recycling implies that the recycled materials, based on preserved technical characteristics, are of sufficient quality to be used as a substitute to primary raw materials for packaging applications. This could mean to apply closed-loop to all type of packaging material, even where not technologically feasible.</w:t>
      </w:r>
    </w:p>
    <w:p w14:paraId="790BCD02" w14:textId="5C57A3F7" w:rsidR="00F827D8" w:rsidRPr="000775AD" w:rsidRDefault="00F827D8" w:rsidP="00F827D8">
      <w:pPr>
        <w:pStyle w:val="ListParagraph"/>
        <w:numPr>
          <w:ilvl w:val="0"/>
          <w:numId w:val="30"/>
        </w:numPr>
        <w:rPr>
          <w:color w:val="002060"/>
          <w:lang/>
        </w:rPr>
      </w:pPr>
      <w:r w:rsidRPr="000775AD">
        <w:rPr>
          <w:color w:val="002060"/>
          <w:highlight w:val="yellow"/>
          <w:lang/>
        </w:rPr>
        <w:t>Our position</w:t>
      </w:r>
      <w:r w:rsidRPr="000775AD">
        <w:rPr>
          <w:color w:val="002060"/>
          <w:lang/>
        </w:rPr>
        <w:t xml:space="preserve">: it is not technically possible to only envisage packaging-to-packaging recycling under Art.6. Packaging recycling processes do not always produce secondary raw materials that can be used in packaging applications. </w:t>
      </w:r>
      <w:r w:rsidRPr="000775AD">
        <w:rPr>
          <w:color w:val="002060"/>
          <w:lang/>
        </w:rPr>
        <w:lastRenderedPageBreak/>
        <w:t>This is because of several reasons varying depending on the material. It is possible to strive for packaging-to-packaging recycling</w:t>
      </w:r>
      <w:r w:rsidRPr="000775AD">
        <w:rPr>
          <w:color w:val="002060"/>
          <w:lang w:val="en-US"/>
        </w:rPr>
        <w:t>,</w:t>
      </w:r>
      <w:r w:rsidRPr="000775AD">
        <w:rPr>
          <w:color w:val="002060"/>
          <w:lang/>
        </w:rPr>
        <w:t xml:space="preserve"> but it cannot become a mandatory requirement for “recyclable” packaging. For example, in the absence of scalable technical solutions, mechanical recycling processes nowadays cannot give food-contact recyclates for the polymers (polyolefins) used in flexible packaging (in other words, nowadays it is not possible to require ‘food packaging-to-food packaging’ applications for flexible packaging.</w:t>
      </w:r>
    </w:p>
    <w:p w14:paraId="09782950" w14:textId="77777777" w:rsidR="00F827D8" w:rsidRPr="000775AD" w:rsidRDefault="00F827D8" w:rsidP="00F827D8">
      <w:pPr>
        <w:rPr>
          <w:color w:val="002060"/>
          <w:lang/>
        </w:rPr>
      </w:pPr>
    </w:p>
    <w:p w14:paraId="54C4BAEA" w14:textId="2B2A1BC5" w:rsidR="00F827D8" w:rsidRPr="000775AD" w:rsidRDefault="00F827D8" w:rsidP="00F827D8">
      <w:pPr>
        <w:rPr>
          <w:color w:val="002060"/>
          <w:lang/>
        </w:rPr>
      </w:pPr>
      <w:r w:rsidRPr="000775AD">
        <w:rPr>
          <w:color w:val="002060"/>
          <w:lang/>
        </w:rPr>
        <w:t>Article 7</w:t>
      </w:r>
    </w:p>
    <w:p w14:paraId="5E7AABCF" w14:textId="77777777" w:rsidR="00F827D8" w:rsidRPr="000775AD" w:rsidRDefault="00F827D8" w:rsidP="00F827D8">
      <w:pPr>
        <w:pStyle w:val="ListParagraph"/>
        <w:numPr>
          <w:ilvl w:val="0"/>
          <w:numId w:val="30"/>
        </w:numPr>
        <w:ind w:left="426"/>
        <w:rPr>
          <w:color w:val="002060"/>
          <w:lang/>
        </w:rPr>
      </w:pPr>
      <w:r w:rsidRPr="000775AD">
        <w:rPr>
          <w:color w:val="002060"/>
          <w:lang/>
        </w:rPr>
        <w:t>change the calculation of recycled content targets from “per unit of packaging” to “per manufacturing plant and per year” (we understand the idea is to align with the approach chosen for the Battery Regulation approach. The Council is often referring to the Battery Regulation as an example to look at; however, when it comes to this specific calculation methodology, using the exact same approach of the Battery Regulation would not simplify things but rather increase confusion)</w:t>
      </w:r>
    </w:p>
    <w:p w14:paraId="074FB9D1" w14:textId="77777777" w:rsidR="00F827D8" w:rsidRPr="000775AD" w:rsidRDefault="00F827D8" w:rsidP="00F827D8">
      <w:pPr>
        <w:pStyle w:val="ListParagraph"/>
        <w:numPr>
          <w:ilvl w:val="0"/>
          <w:numId w:val="31"/>
        </w:numPr>
        <w:rPr>
          <w:color w:val="002060"/>
          <w:lang/>
        </w:rPr>
      </w:pPr>
      <w:r w:rsidRPr="000775AD">
        <w:rPr>
          <w:color w:val="002060"/>
          <w:highlight w:val="yellow"/>
          <w:lang/>
        </w:rPr>
        <w:t>Our position</w:t>
      </w:r>
      <w:r w:rsidRPr="000775AD">
        <w:rPr>
          <w:color w:val="002060"/>
          <w:lang/>
        </w:rPr>
        <w:t>: We would prefer calculating recycled content “as an average for the plastic packaging portfolio of each economic operator”; this would achieve the use of the same percentage of recycled content overall in packaging applications (as a % of their overall plastic packaging portfolio) while adapting to food contact needs and availability of the material</w:t>
      </w:r>
    </w:p>
    <w:p w14:paraId="7993EC54" w14:textId="52FB21E2" w:rsidR="00F827D8" w:rsidRPr="000775AD" w:rsidRDefault="00F827D8" w:rsidP="00F827D8">
      <w:pPr>
        <w:pStyle w:val="ListParagraph"/>
        <w:numPr>
          <w:ilvl w:val="0"/>
          <w:numId w:val="30"/>
        </w:numPr>
        <w:ind w:left="426"/>
        <w:rPr>
          <w:color w:val="002060"/>
          <w:lang/>
        </w:rPr>
        <w:sectPr w:rsidR="00F827D8" w:rsidRPr="000775AD" w:rsidSect="00D34A88">
          <w:headerReference w:type="even" r:id="rId13"/>
          <w:headerReference w:type="default" r:id="rId14"/>
          <w:footerReference w:type="even" r:id="rId15"/>
          <w:footerReference w:type="default" r:id="rId16"/>
          <w:headerReference w:type="first" r:id="rId17"/>
          <w:footerReference w:type="first" r:id="rId18"/>
          <w:pgSz w:w="11900" w:h="16840"/>
          <w:pgMar w:top="2410" w:right="1440" w:bottom="1440" w:left="1440" w:header="708" w:footer="397" w:gutter="0"/>
          <w:cols w:space="708"/>
          <w:titlePg/>
          <w:docGrid w:linePitch="360"/>
        </w:sectPr>
      </w:pPr>
      <w:r w:rsidRPr="000775AD">
        <w:rPr>
          <w:color w:val="002060"/>
          <w:lang/>
        </w:rPr>
        <w:t>to clarify how the SUPD (Single Use Plastics Directive) targets on recycled content for plastic beverage bottles would apply once the PPWR enter into force, the proposal would be to indicate that the SUPD is a lex specialis in relation to this Regulation. In the event of a conflict on recycled content targets between SUPD and this Regulation, SUPD should prevail within the scope of its application, unless specifically provided otherwise in this Regulation.</w:t>
      </w:r>
    </w:p>
    <w:p w14:paraId="307220AC" w14:textId="67D8FB67" w:rsidR="001F774D" w:rsidRDefault="001F50E1" w:rsidP="00833221">
      <w:r>
        <w:rPr>
          <w:noProof/>
        </w:rPr>
        <w:lastRenderedPageBreak/>
        <w:drawing>
          <wp:anchor distT="0" distB="0" distL="114300" distR="114300" simplePos="0" relativeHeight="251662336" behindDoc="0" locked="0" layoutInCell="1" allowOverlap="1" wp14:anchorId="0A317EA1" wp14:editId="4A19390D">
            <wp:simplePos x="0" y="0"/>
            <wp:positionH relativeFrom="page">
              <wp:align>left</wp:align>
            </wp:positionH>
            <wp:positionV relativeFrom="margin">
              <wp:posOffset>-1345202</wp:posOffset>
            </wp:positionV>
            <wp:extent cx="10628829" cy="5890143"/>
            <wp:effectExtent l="0" t="0" r="1270" b="0"/>
            <wp:wrapSquare wrapText="bothSides"/>
            <wp:docPr id="521677280"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77280" name="Picture 1" descr="A picture containing graphical user interface&#10;&#10;Description automatically generated"/>
                    <pic:cNvPicPr/>
                  </pic:nvPicPr>
                  <pic:blipFill rotWithShape="1">
                    <a:blip r:embed="rId19">
                      <a:extLst>
                        <a:ext uri="{28A0092B-C50C-407E-A947-70E740481C1C}">
                          <a14:useLocalDpi xmlns:a14="http://schemas.microsoft.com/office/drawing/2010/main" val="0"/>
                        </a:ext>
                      </a:extLst>
                    </a:blip>
                    <a:srcRect l="23823" t="23285" r="8123" b="9671"/>
                    <a:stretch/>
                  </pic:blipFill>
                  <pic:spPr bwMode="auto">
                    <a:xfrm>
                      <a:off x="0" y="0"/>
                      <a:ext cx="10628829" cy="5890143"/>
                    </a:xfrm>
                    <a:prstGeom prst="rect">
                      <a:avLst/>
                    </a:prstGeom>
                    <a:ln>
                      <a:noFill/>
                    </a:ln>
                    <a:extLst>
                      <a:ext uri="{53640926-AAD7-44D8-BBD7-CCE9431645EC}">
                        <a14:shadowObscured xmlns:a14="http://schemas.microsoft.com/office/drawing/2010/main"/>
                      </a:ext>
                    </a:extLst>
                  </pic:spPr>
                </pic:pic>
              </a:graphicData>
            </a:graphic>
          </wp:anchor>
        </w:drawing>
      </w:r>
    </w:p>
    <w:p w14:paraId="48688FB8" w14:textId="6C1B34FB" w:rsidR="00C20C91" w:rsidRDefault="00C20C91" w:rsidP="00C20C91">
      <w:pPr>
        <w:tabs>
          <w:tab w:val="left" w:pos="0"/>
        </w:tabs>
        <w:ind w:right="284"/>
      </w:pPr>
    </w:p>
    <w:sectPr w:rsidR="00C20C91" w:rsidSect="00D34A88">
      <w:pgSz w:w="16840" w:h="11900" w:orient="landscape"/>
      <w:pgMar w:top="1440" w:right="538" w:bottom="1440"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3BBF" w14:textId="77777777" w:rsidR="00DE0AB1" w:rsidRDefault="00DE0AB1" w:rsidP="00144D9D">
      <w:pPr>
        <w:spacing w:line="240" w:lineRule="auto"/>
      </w:pPr>
      <w:r>
        <w:separator/>
      </w:r>
    </w:p>
    <w:p w14:paraId="2E1ED771" w14:textId="77777777" w:rsidR="00DE0AB1" w:rsidRDefault="00DE0AB1"/>
  </w:endnote>
  <w:endnote w:type="continuationSeparator" w:id="0">
    <w:p w14:paraId="45350CE8" w14:textId="77777777" w:rsidR="00DE0AB1" w:rsidRDefault="00DE0AB1" w:rsidP="00144D9D">
      <w:pPr>
        <w:spacing w:line="240" w:lineRule="auto"/>
      </w:pPr>
      <w:r>
        <w:continuationSeparator/>
      </w:r>
    </w:p>
    <w:p w14:paraId="1F3CE764" w14:textId="77777777" w:rsidR="00DE0AB1" w:rsidRDefault="00DE0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64230"/>
      <w:docPartObj>
        <w:docPartGallery w:val="Page Numbers (Bottom of Page)"/>
        <w:docPartUnique/>
      </w:docPartObj>
    </w:sdtPr>
    <w:sdtEndPr>
      <w:rPr>
        <w:rStyle w:val="PageNumber"/>
      </w:rPr>
    </w:sdtEndPr>
    <w:sdtContent>
      <w:p w14:paraId="6C0F88A0" w14:textId="77777777" w:rsidR="00095C3A" w:rsidRDefault="00095C3A" w:rsidP="00057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95B23" w14:textId="77777777" w:rsidR="003823CD" w:rsidRDefault="003823CD" w:rsidP="00095C3A">
    <w:pPr>
      <w:pStyle w:val="Footer"/>
      <w:ind w:right="360"/>
    </w:pPr>
  </w:p>
  <w:p w14:paraId="3B2A0EAE" w14:textId="77777777" w:rsidR="00057CA9" w:rsidRDefault="00057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6D1F" w14:textId="65DFCEF4" w:rsidR="00057CA9" w:rsidRPr="00D34A88" w:rsidRDefault="00D34A88" w:rsidP="00D34A88">
    <w:pPr>
      <w:pStyle w:val="Footer"/>
      <w:jc w:val="right"/>
      <w:rPr>
        <w:rFonts w:ascii="Arial" w:hAnsi="Arial" w:cs="Arial"/>
        <w:color w:val="333399"/>
        <w:sz w:val="18"/>
      </w:rPr>
    </w:pPr>
    <w:r w:rsidRPr="00D34A88">
      <w:rPr>
        <w:rFonts w:ascii="Arial" w:hAnsi="Arial" w:cs="Arial"/>
        <w:color w:val="333399"/>
        <w:sz w:val="18"/>
      </w:rPr>
      <w:fldChar w:fldCharType="begin"/>
    </w:r>
    <w:r w:rsidRPr="00D34A88">
      <w:rPr>
        <w:rFonts w:ascii="Arial" w:hAnsi="Arial" w:cs="Arial"/>
        <w:color w:val="333399"/>
        <w:sz w:val="18"/>
      </w:rPr>
      <w:instrText xml:space="preserve"> PAGE \* MERGEFORMAT </w:instrText>
    </w:r>
    <w:r w:rsidRPr="00D34A88">
      <w:rPr>
        <w:rFonts w:ascii="Arial" w:hAnsi="Arial" w:cs="Arial"/>
        <w:color w:val="333399"/>
        <w:sz w:val="18"/>
      </w:rPr>
      <w:fldChar w:fldCharType="separate"/>
    </w:r>
    <w:r w:rsidRPr="00D34A88">
      <w:rPr>
        <w:rFonts w:ascii="Arial" w:hAnsi="Arial" w:cs="Arial"/>
        <w:noProof/>
        <w:color w:val="333399"/>
        <w:sz w:val="18"/>
      </w:rPr>
      <w:t>2</w:t>
    </w:r>
    <w:r w:rsidRPr="00D34A88">
      <w:rPr>
        <w:rFonts w:ascii="Arial" w:hAnsi="Arial" w:cs="Arial"/>
        <w:color w:val="333399"/>
        <w:sz w:val="18"/>
      </w:rPr>
      <w:fldChar w:fldCharType="end"/>
    </w:r>
    <w:r w:rsidRPr="00D34A88">
      <w:rPr>
        <w:rFonts w:ascii="Arial" w:hAnsi="Arial" w:cs="Arial"/>
        <w:color w:val="333399"/>
        <w:sz w:val="18"/>
      </w:rPr>
      <w:t>/</w:t>
    </w:r>
    <w:r w:rsidRPr="00D34A88">
      <w:rPr>
        <w:rFonts w:ascii="Arial" w:hAnsi="Arial" w:cs="Arial"/>
        <w:color w:val="333399"/>
        <w:sz w:val="18"/>
      </w:rPr>
      <w:fldChar w:fldCharType="begin"/>
    </w:r>
    <w:r w:rsidRPr="00D34A88">
      <w:rPr>
        <w:rFonts w:ascii="Arial" w:hAnsi="Arial" w:cs="Arial"/>
        <w:color w:val="333399"/>
        <w:sz w:val="18"/>
      </w:rPr>
      <w:instrText xml:space="preserve"> NUMPAGES \* MERGEFORMAT </w:instrText>
    </w:r>
    <w:r w:rsidRPr="00D34A88">
      <w:rPr>
        <w:rFonts w:ascii="Arial" w:hAnsi="Arial" w:cs="Arial"/>
        <w:color w:val="333399"/>
        <w:sz w:val="18"/>
      </w:rPr>
      <w:fldChar w:fldCharType="separate"/>
    </w:r>
    <w:r w:rsidRPr="00D34A88">
      <w:rPr>
        <w:rFonts w:ascii="Arial" w:hAnsi="Arial" w:cs="Arial"/>
        <w:noProof/>
        <w:color w:val="333399"/>
        <w:sz w:val="18"/>
      </w:rPr>
      <w:t>7</w:t>
    </w:r>
    <w:r w:rsidRPr="00D34A88">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19E1" w14:textId="77777777" w:rsidR="00D34A88" w:rsidRPr="00D34A88" w:rsidRDefault="00D34A88" w:rsidP="00D34A88">
    <w:pPr>
      <w:pStyle w:val="Footer"/>
      <w:rPr>
        <w:rFonts w:ascii="Arial" w:hAnsi="Arial" w:cs="Arial"/>
        <w:color w:val="333399"/>
        <w:sz w:val="18"/>
      </w:rPr>
    </w:pPr>
    <w:r w:rsidRPr="00D34A88">
      <w:rPr>
        <w:rFonts w:ascii="Arial" w:hAnsi="Arial" w:cs="Arial"/>
        <w:color w:val="333399"/>
        <w:sz w:val="18"/>
      </w:rPr>
      <w:t>© FoodDrinkEurope aisbl - Avenue des Nerviens 9-31 - 1040 Brussels – BELGIUM - Tel. +32 2 514 11 11</w:t>
    </w:r>
  </w:p>
  <w:p w14:paraId="306CBF8B" w14:textId="491A9040" w:rsidR="003823CD" w:rsidRPr="00D34A88" w:rsidRDefault="00D34A88" w:rsidP="00D34A88">
    <w:pPr>
      <w:pStyle w:val="Footer"/>
      <w:rPr>
        <w:rFonts w:ascii="Arial" w:hAnsi="Arial" w:cs="Arial"/>
        <w:color w:val="333399"/>
        <w:sz w:val="18"/>
      </w:rPr>
    </w:pPr>
    <w:r w:rsidRPr="00D34A88">
      <w:rPr>
        <w:rFonts w:ascii="Arial" w:hAnsi="Arial"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0157" w14:textId="77777777" w:rsidR="00DE0AB1" w:rsidRDefault="00DE0AB1" w:rsidP="00144D9D">
      <w:pPr>
        <w:spacing w:line="240" w:lineRule="auto"/>
      </w:pPr>
      <w:r>
        <w:separator/>
      </w:r>
    </w:p>
    <w:p w14:paraId="44AC51E7" w14:textId="77777777" w:rsidR="00DE0AB1" w:rsidRDefault="00DE0AB1"/>
  </w:footnote>
  <w:footnote w:type="continuationSeparator" w:id="0">
    <w:p w14:paraId="19CBB0E9" w14:textId="77777777" w:rsidR="00DE0AB1" w:rsidRDefault="00DE0AB1" w:rsidP="00144D9D">
      <w:pPr>
        <w:spacing w:line="240" w:lineRule="auto"/>
      </w:pPr>
      <w:r>
        <w:continuationSeparator/>
      </w:r>
    </w:p>
    <w:p w14:paraId="364E8D12" w14:textId="77777777" w:rsidR="00DE0AB1" w:rsidRDefault="00DE0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8A3" w14:textId="77777777" w:rsidR="00D34A88" w:rsidRDefault="00D3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5"/>
      <w:gridCol w:w="4505"/>
    </w:tblGrid>
    <w:tr w:rsidR="00043FEE" w:rsidRPr="00043FEE" w14:paraId="51C8677E" w14:textId="77777777" w:rsidTr="00043FEE">
      <w:tc>
        <w:tcPr>
          <w:tcW w:w="4505" w:type="dxa"/>
          <w:tcBorders>
            <w:top w:val="nil"/>
            <w:left w:val="nil"/>
            <w:bottom w:val="nil"/>
            <w:right w:val="nil"/>
          </w:tcBorders>
          <w:shd w:val="clear" w:color="auto" w:fill="auto"/>
        </w:tcPr>
        <w:p w14:paraId="52F3DF82" w14:textId="77777777" w:rsidR="00043FEE" w:rsidRPr="00043FEE" w:rsidRDefault="00043FEE" w:rsidP="00043FEE">
          <w:pPr>
            <w:pStyle w:val="Header"/>
            <w:jc w:val="right"/>
            <w:rPr>
              <w:rFonts w:ascii="Arial" w:hAnsi="Arial" w:cs="Arial"/>
              <w:sz w:val="18"/>
            </w:rPr>
          </w:pPr>
        </w:p>
      </w:tc>
      <w:tc>
        <w:tcPr>
          <w:tcW w:w="4505" w:type="dxa"/>
          <w:tcBorders>
            <w:top w:val="nil"/>
            <w:left w:val="nil"/>
            <w:bottom w:val="nil"/>
            <w:right w:val="nil"/>
          </w:tcBorders>
          <w:shd w:val="clear" w:color="auto" w:fill="auto"/>
        </w:tcPr>
        <w:p w14:paraId="1EF5C2AC" w14:textId="77777777" w:rsidR="00043FEE" w:rsidRPr="00043FEE" w:rsidRDefault="00043FEE" w:rsidP="00043FEE">
          <w:pPr>
            <w:pStyle w:val="Header"/>
            <w:jc w:val="right"/>
            <w:rPr>
              <w:rFonts w:ascii="Arial" w:hAnsi="Arial" w:cs="Arial"/>
              <w:color w:val="000000"/>
              <w:sz w:val="18"/>
            </w:rPr>
          </w:pPr>
          <w:r w:rsidRPr="00043FEE">
            <w:rPr>
              <w:rFonts w:ascii="Arial" w:hAnsi="Arial" w:cs="Arial"/>
              <w:noProof/>
              <w:sz w:val="18"/>
            </w:rPr>
            <w:drawing>
              <wp:inline distT="0" distB="0" distL="0" distR="0" wp14:anchorId="4E20D76D" wp14:editId="1A10E32D">
                <wp:extent cx="1395987" cy="697993"/>
                <wp:effectExtent l="0" t="0" r="0" b="6985"/>
                <wp:docPr id="272679979" name="Picture 3"/>
                <wp:cNvGraphicFramePr/>
                <a:graphic xmlns:a="http://schemas.openxmlformats.org/drawingml/2006/main">
                  <a:graphicData uri="http://schemas.openxmlformats.org/drawingml/2006/picture">
                    <pic:pic xmlns:pic="http://schemas.openxmlformats.org/drawingml/2006/picture">
                      <pic:nvPicPr>
                        <pic:cNvPr id="272679979"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2EA98F80" w14:textId="77777777" w:rsidR="00043FEE" w:rsidRPr="00043FEE" w:rsidRDefault="00043FEE" w:rsidP="00043FEE">
          <w:pPr>
            <w:pStyle w:val="Header"/>
            <w:jc w:val="right"/>
            <w:rPr>
              <w:rFonts w:ascii="Arial" w:hAnsi="Arial" w:cs="Arial"/>
              <w:color w:val="000000"/>
              <w:sz w:val="18"/>
            </w:rPr>
          </w:pPr>
        </w:p>
        <w:p w14:paraId="70D26061" w14:textId="39F2FA71" w:rsidR="00043FEE" w:rsidRPr="00043FEE" w:rsidRDefault="00043FEE" w:rsidP="00043FEE">
          <w:pPr>
            <w:pStyle w:val="Header"/>
            <w:jc w:val="right"/>
            <w:rPr>
              <w:rFonts w:ascii="Arial" w:hAnsi="Arial" w:cs="Arial"/>
              <w:color w:val="000000"/>
              <w:sz w:val="18"/>
            </w:rPr>
          </w:pPr>
          <w:r w:rsidRPr="00043FEE">
            <w:rPr>
              <w:rFonts w:ascii="Arial" w:hAnsi="Arial" w:cs="Arial"/>
              <w:color w:val="000000"/>
              <w:sz w:val="18"/>
            </w:rPr>
            <w:t>ENVI/CIRCECON/012/23E</w:t>
          </w:r>
        </w:p>
      </w:tc>
    </w:tr>
  </w:tbl>
  <w:p w14:paraId="68BB698C" w14:textId="6C20DD2B" w:rsidR="00057CA9" w:rsidRPr="00043FEE" w:rsidRDefault="00057CA9" w:rsidP="00043FEE">
    <w:pPr>
      <w:pStyle w:val="Header"/>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5"/>
      <w:gridCol w:w="4505"/>
    </w:tblGrid>
    <w:tr w:rsidR="00043FEE" w:rsidRPr="00043FEE" w14:paraId="7FA5CC5C" w14:textId="77777777" w:rsidTr="00043FEE">
      <w:tc>
        <w:tcPr>
          <w:tcW w:w="4505" w:type="dxa"/>
          <w:tcBorders>
            <w:top w:val="nil"/>
            <w:left w:val="nil"/>
            <w:bottom w:val="nil"/>
            <w:right w:val="nil"/>
          </w:tcBorders>
          <w:shd w:val="clear" w:color="auto" w:fill="auto"/>
        </w:tcPr>
        <w:p w14:paraId="0B3CA9C8" w14:textId="77777777" w:rsidR="00043FEE" w:rsidRPr="00043FEE" w:rsidRDefault="00043FEE" w:rsidP="00043FEE">
          <w:pPr>
            <w:pStyle w:val="Header"/>
            <w:jc w:val="right"/>
            <w:rPr>
              <w:rFonts w:ascii="Arial" w:hAnsi="Arial" w:cs="Arial"/>
              <w:sz w:val="18"/>
            </w:rPr>
          </w:pPr>
        </w:p>
      </w:tc>
      <w:tc>
        <w:tcPr>
          <w:tcW w:w="4505" w:type="dxa"/>
          <w:tcBorders>
            <w:top w:val="nil"/>
            <w:left w:val="nil"/>
            <w:bottom w:val="nil"/>
            <w:right w:val="nil"/>
          </w:tcBorders>
          <w:shd w:val="clear" w:color="auto" w:fill="auto"/>
        </w:tcPr>
        <w:p w14:paraId="4677E40C" w14:textId="77777777" w:rsidR="00043FEE" w:rsidRPr="00043FEE" w:rsidRDefault="00043FEE" w:rsidP="00043FEE">
          <w:pPr>
            <w:pStyle w:val="Header"/>
            <w:jc w:val="right"/>
            <w:rPr>
              <w:rFonts w:ascii="Arial" w:hAnsi="Arial" w:cs="Arial"/>
              <w:color w:val="000000"/>
              <w:sz w:val="18"/>
            </w:rPr>
          </w:pPr>
          <w:r w:rsidRPr="00043FEE">
            <w:rPr>
              <w:rFonts w:ascii="Arial" w:hAnsi="Arial" w:cs="Arial"/>
              <w:noProof/>
              <w:sz w:val="18"/>
            </w:rPr>
            <w:drawing>
              <wp:inline distT="0" distB="0" distL="0" distR="0" wp14:anchorId="4A462992" wp14:editId="62329EE2">
                <wp:extent cx="1395987" cy="697993"/>
                <wp:effectExtent l="0" t="0" r="0" b="6985"/>
                <wp:docPr id="817487195" name="Picture 2"/>
                <wp:cNvGraphicFramePr/>
                <a:graphic xmlns:a="http://schemas.openxmlformats.org/drawingml/2006/main">
                  <a:graphicData uri="http://schemas.openxmlformats.org/drawingml/2006/picture">
                    <pic:pic xmlns:pic="http://schemas.openxmlformats.org/drawingml/2006/picture">
                      <pic:nvPicPr>
                        <pic:cNvPr id="817487195"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10D3F8F1" w14:textId="77777777" w:rsidR="00043FEE" w:rsidRPr="00043FEE" w:rsidRDefault="00043FEE" w:rsidP="00043FEE">
          <w:pPr>
            <w:pStyle w:val="Header"/>
            <w:jc w:val="right"/>
            <w:rPr>
              <w:rFonts w:ascii="Arial" w:hAnsi="Arial" w:cs="Arial"/>
              <w:color w:val="000000"/>
              <w:sz w:val="18"/>
            </w:rPr>
          </w:pPr>
        </w:p>
        <w:p w14:paraId="314A04C5" w14:textId="2F01F505" w:rsidR="00043FEE" w:rsidRPr="00043FEE" w:rsidRDefault="00043FEE" w:rsidP="00043FEE">
          <w:pPr>
            <w:pStyle w:val="Header"/>
            <w:jc w:val="right"/>
            <w:rPr>
              <w:rFonts w:ascii="Arial" w:hAnsi="Arial" w:cs="Arial"/>
              <w:color w:val="000000"/>
              <w:sz w:val="18"/>
            </w:rPr>
          </w:pPr>
          <w:r w:rsidRPr="00043FEE">
            <w:rPr>
              <w:rFonts w:ascii="Arial" w:hAnsi="Arial" w:cs="Arial"/>
              <w:color w:val="000000"/>
              <w:sz w:val="18"/>
            </w:rPr>
            <w:t>ENVI/CIRCECON/012/23E</w:t>
          </w:r>
        </w:p>
      </w:tc>
    </w:tr>
  </w:tbl>
  <w:p w14:paraId="48F111D5" w14:textId="69CDBC8B" w:rsidR="003823CD" w:rsidRPr="00043FEE" w:rsidRDefault="003823CD" w:rsidP="00043FEE">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A1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41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A3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F6C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62E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42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0B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8B6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453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E699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7D54"/>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9B4295"/>
    <w:multiLevelType w:val="multilevel"/>
    <w:tmpl w:val="E970ECBC"/>
    <w:styleLink w:val="BulletListLevels"/>
    <w:lvl w:ilvl="0">
      <w:start w:val="1"/>
      <w:numFmt w:val="bullet"/>
      <w:lvlText w:val=""/>
      <w:lvlJc w:val="left"/>
      <w:pPr>
        <w:ind w:left="890" w:hanging="170"/>
      </w:pPr>
      <w:rPr>
        <w:rFonts w:ascii="Symbol" w:hAnsi="Symbol" w:hint="default"/>
        <w:b w:val="0"/>
        <w:i w:val="0"/>
        <w:color w:val="DD492F" w:themeColor="accent2"/>
        <w:sz w:val="16"/>
      </w:rPr>
    </w:lvl>
    <w:lvl w:ilvl="1">
      <w:start w:val="1"/>
      <w:numFmt w:val="bullet"/>
      <w:lvlText w:val=""/>
      <w:lvlJc w:val="left"/>
      <w:pPr>
        <w:ind w:left="1364" w:hanging="360"/>
      </w:pPr>
      <w:rPr>
        <w:rFonts w:ascii="Symbol" w:hAnsi="Symbol" w:hint="default"/>
        <w:color w:val="DD492F" w:themeColor="accent2"/>
        <w:sz w:val="16"/>
      </w:rPr>
    </w:lvl>
    <w:lvl w:ilvl="2">
      <w:start w:val="1"/>
      <w:numFmt w:val="bullet"/>
      <w:lvlText w:val=""/>
      <w:lvlJc w:val="left"/>
      <w:pPr>
        <w:ind w:left="1648" w:hanging="360"/>
      </w:pPr>
      <w:rPr>
        <w:rFonts w:ascii="Symbol" w:hAnsi="Symbol" w:hint="default"/>
        <w:color w:val="DD492F" w:themeColor="accent2"/>
        <w:sz w:val="16"/>
      </w:rPr>
    </w:lvl>
    <w:lvl w:ilvl="3">
      <w:start w:val="1"/>
      <w:numFmt w:val="bullet"/>
      <w:lvlText w:val=""/>
      <w:lvlJc w:val="left"/>
      <w:pPr>
        <w:ind w:left="2041" w:hanging="397"/>
      </w:pPr>
      <w:rPr>
        <w:rFonts w:ascii="Symbol" w:hAnsi="Symbol" w:hint="default"/>
        <w:color w:val="DD492F" w:themeColor="accent2"/>
        <w:sz w:val="16"/>
      </w:rPr>
    </w:lvl>
    <w:lvl w:ilvl="4">
      <w:start w:val="1"/>
      <w:numFmt w:val="bullet"/>
      <w:lvlText w:val=""/>
      <w:lvlJc w:val="left"/>
      <w:pPr>
        <w:ind w:left="2892" w:hanging="624"/>
      </w:pPr>
      <w:rPr>
        <w:rFonts w:ascii="Symbol" w:hAnsi="Symbol" w:hint="default"/>
        <w:color w:val="DD492F" w:themeColor="accent2"/>
        <w:sz w:val="16"/>
      </w:rPr>
    </w:lvl>
    <w:lvl w:ilvl="5">
      <w:start w:val="1"/>
      <w:numFmt w:val="bullet"/>
      <w:lvlText w:val=""/>
      <w:lvlJc w:val="left"/>
      <w:pPr>
        <w:ind w:left="5040" w:hanging="360"/>
      </w:pPr>
      <w:rPr>
        <w:rFonts w:ascii="Wingdings" w:hAnsi="Wingdings" w:hint="default"/>
        <w:color w:val="DD492F" w:themeColor="accent2"/>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1DB51F0"/>
    <w:multiLevelType w:val="multilevel"/>
    <w:tmpl w:val="250476C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05EB3849"/>
    <w:multiLevelType w:val="multilevel"/>
    <w:tmpl w:val="2D5EB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03669B"/>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771E13"/>
    <w:multiLevelType w:val="hybridMultilevel"/>
    <w:tmpl w:val="0FF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6A31621"/>
    <w:multiLevelType w:val="multilevel"/>
    <w:tmpl w:val="E970ECBC"/>
    <w:numStyleLink w:val="BulletListLevels"/>
  </w:abstractNum>
  <w:abstractNum w:abstractNumId="17" w15:restartNumberingAfterBreak="0">
    <w:nsid w:val="18621407"/>
    <w:multiLevelType w:val="multilevel"/>
    <w:tmpl w:val="E970ECBC"/>
    <w:numStyleLink w:val="BulletListLevels"/>
  </w:abstractNum>
  <w:abstractNum w:abstractNumId="18" w15:restartNumberingAfterBreak="0">
    <w:nsid w:val="18C45555"/>
    <w:multiLevelType w:val="hybridMultilevel"/>
    <w:tmpl w:val="431E47F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1B096055"/>
    <w:multiLevelType w:val="hybridMultilevel"/>
    <w:tmpl w:val="DE62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12481"/>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DA5FD8"/>
    <w:multiLevelType w:val="multilevel"/>
    <w:tmpl w:val="4446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057F3D"/>
    <w:multiLevelType w:val="multilevel"/>
    <w:tmpl w:val="446E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3E7D52"/>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C61F4E"/>
    <w:multiLevelType w:val="multilevel"/>
    <w:tmpl w:val="6FB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1A2350"/>
    <w:multiLevelType w:val="multilevel"/>
    <w:tmpl w:val="D8028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801E8F"/>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B53E4C"/>
    <w:multiLevelType w:val="multilevel"/>
    <w:tmpl w:val="9CE81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6D2843"/>
    <w:multiLevelType w:val="multilevel"/>
    <w:tmpl w:val="7FF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C6870"/>
    <w:multiLevelType w:val="multilevel"/>
    <w:tmpl w:val="CD3C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690421"/>
    <w:multiLevelType w:val="multilevel"/>
    <w:tmpl w:val="25047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4041D7"/>
    <w:multiLevelType w:val="multilevel"/>
    <w:tmpl w:val="3DF0B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D20B6E"/>
    <w:multiLevelType w:val="hybridMultilevel"/>
    <w:tmpl w:val="4766960E"/>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1052B53"/>
    <w:multiLevelType w:val="hybridMultilevel"/>
    <w:tmpl w:val="4F4A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2455"/>
    <w:multiLevelType w:val="hybridMultilevel"/>
    <w:tmpl w:val="255213E0"/>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BC4C88"/>
    <w:multiLevelType w:val="multilevel"/>
    <w:tmpl w:val="893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172A2C"/>
    <w:multiLevelType w:val="hybridMultilevel"/>
    <w:tmpl w:val="A4281BB8"/>
    <w:lvl w:ilvl="0" w:tplc="E89408FA">
      <w:start w:val="1"/>
      <w:numFmt w:val="bullet"/>
      <w:pStyle w:val="Bulletlist"/>
      <w:lvlText w:val=""/>
      <w:lvlJc w:val="left"/>
      <w:pPr>
        <w:ind w:left="720" w:hanging="360"/>
      </w:pPr>
      <w:rPr>
        <w:rFonts w:ascii="Symbol" w:hAnsi="Symbol" w:hint="default"/>
      </w:rPr>
    </w:lvl>
    <w:lvl w:ilvl="1" w:tplc="7D4A0EA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465ED"/>
    <w:multiLevelType w:val="multilevel"/>
    <w:tmpl w:val="05E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61663C"/>
    <w:multiLevelType w:val="multilevel"/>
    <w:tmpl w:val="BDA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F10E3B"/>
    <w:multiLevelType w:val="multilevel"/>
    <w:tmpl w:val="E970ECBC"/>
    <w:numStyleLink w:val="BulletListLevels"/>
  </w:abstractNum>
  <w:abstractNum w:abstractNumId="40" w15:restartNumberingAfterBreak="0">
    <w:nsid w:val="66EE176C"/>
    <w:multiLevelType w:val="multilevel"/>
    <w:tmpl w:val="E970ECBC"/>
    <w:numStyleLink w:val="BulletListLevels"/>
  </w:abstractNum>
  <w:abstractNum w:abstractNumId="41" w15:restartNumberingAfterBreak="0">
    <w:nsid w:val="69FB1826"/>
    <w:multiLevelType w:val="multilevel"/>
    <w:tmpl w:val="52EC8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6326AE"/>
    <w:multiLevelType w:val="multilevel"/>
    <w:tmpl w:val="3CA61E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Arial" w:hAnsi="Aria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1826288"/>
    <w:multiLevelType w:val="hybridMultilevel"/>
    <w:tmpl w:val="9A54F2F2"/>
    <w:lvl w:ilvl="0" w:tplc="7384F64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F54CD9"/>
    <w:multiLevelType w:val="hybridMultilevel"/>
    <w:tmpl w:val="833C23DA"/>
    <w:lvl w:ilvl="0" w:tplc="CC626376">
      <w:start w:val="1"/>
      <w:numFmt w:val="bullet"/>
      <w:lvlText w:val=""/>
      <w:lvlJc w:val="left"/>
      <w:pPr>
        <w:ind w:left="170" w:hanging="170"/>
      </w:pPr>
      <w:rPr>
        <w:rFonts w:ascii="Symbol" w:hAnsi="Symbol" w:hint="default"/>
        <w:b w:val="0"/>
        <w:i w:val="0"/>
        <w:color w:val="DD492F" w:themeColor="accent2"/>
        <w:sz w:val="16"/>
      </w:rPr>
    </w:lvl>
    <w:lvl w:ilvl="1" w:tplc="BA7CCE9A">
      <w:start w:val="1"/>
      <w:numFmt w:val="bullet"/>
      <w:pStyle w:val="Style1"/>
      <w:lvlText w:val=""/>
      <w:lvlJc w:val="left"/>
      <w:pPr>
        <w:ind w:left="644" w:hanging="360"/>
      </w:pPr>
      <w:rPr>
        <w:rFonts w:ascii="Symbol" w:hAnsi="Symbol" w:hint="default"/>
        <w:color w:val="E3981C" w:themeColor="accent1"/>
      </w:rPr>
    </w:lvl>
    <w:lvl w:ilvl="2" w:tplc="AB428C0C">
      <w:start w:val="1"/>
      <w:numFmt w:val="bullet"/>
      <w:lvlText w:val=""/>
      <w:lvlJc w:val="left"/>
      <w:pPr>
        <w:ind w:left="928" w:hanging="360"/>
      </w:pPr>
      <w:rPr>
        <w:rFonts w:ascii="Symbol" w:hAnsi="Symbol" w:hint="default"/>
        <w:color w:val="E3981C" w:themeColor="accen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B4F05"/>
    <w:multiLevelType w:val="multilevel"/>
    <w:tmpl w:val="EB62D4C8"/>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183F14"/>
    <w:multiLevelType w:val="hybridMultilevel"/>
    <w:tmpl w:val="2CBEF9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630013736">
    <w:abstractNumId w:val="8"/>
  </w:num>
  <w:num w:numId="2" w16cid:durableId="113524686">
    <w:abstractNumId w:val="9"/>
  </w:num>
  <w:num w:numId="3" w16cid:durableId="948969104">
    <w:abstractNumId w:val="44"/>
  </w:num>
  <w:num w:numId="4" w16cid:durableId="1312254202">
    <w:abstractNumId w:val="27"/>
  </w:num>
  <w:num w:numId="5" w16cid:durableId="1416439011">
    <w:abstractNumId w:val="45"/>
  </w:num>
  <w:num w:numId="6" w16cid:durableId="437678422">
    <w:abstractNumId w:val="7"/>
  </w:num>
  <w:num w:numId="7" w16cid:durableId="1415971275">
    <w:abstractNumId w:val="10"/>
  </w:num>
  <w:num w:numId="8" w16cid:durableId="1762339284">
    <w:abstractNumId w:val="11"/>
  </w:num>
  <w:num w:numId="9" w16cid:durableId="1251039585">
    <w:abstractNumId w:val="14"/>
  </w:num>
  <w:num w:numId="10" w16cid:durableId="647979573">
    <w:abstractNumId w:val="16"/>
  </w:num>
  <w:num w:numId="11" w16cid:durableId="1719356464">
    <w:abstractNumId w:val="0"/>
  </w:num>
  <w:num w:numId="12" w16cid:durableId="695010011">
    <w:abstractNumId w:val="1"/>
  </w:num>
  <w:num w:numId="13" w16cid:durableId="1731078418">
    <w:abstractNumId w:val="2"/>
  </w:num>
  <w:num w:numId="14" w16cid:durableId="1188134272">
    <w:abstractNumId w:val="3"/>
  </w:num>
  <w:num w:numId="15" w16cid:durableId="578639032">
    <w:abstractNumId w:val="4"/>
  </w:num>
  <w:num w:numId="16" w16cid:durableId="329216667">
    <w:abstractNumId w:val="5"/>
  </w:num>
  <w:num w:numId="17" w16cid:durableId="1951159514">
    <w:abstractNumId w:val="6"/>
  </w:num>
  <w:num w:numId="18" w16cid:durableId="1506945226">
    <w:abstractNumId w:val="23"/>
  </w:num>
  <w:num w:numId="19" w16cid:durableId="1440106642">
    <w:abstractNumId w:val="26"/>
  </w:num>
  <w:num w:numId="20" w16cid:durableId="640497446">
    <w:abstractNumId w:val="17"/>
  </w:num>
  <w:num w:numId="21" w16cid:durableId="1097210808">
    <w:abstractNumId w:val="20"/>
  </w:num>
  <w:num w:numId="22" w16cid:durableId="1650207928">
    <w:abstractNumId w:val="40"/>
  </w:num>
  <w:num w:numId="23" w16cid:durableId="905843784">
    <w:abstractNumId w:val="39"/>
  </w:num>
  <w:num w:numId="24" w16cid:durableId="936013615">
    <w:abstractNumId w:val="19"/>
  </w:num>
  <w:num w:numId="25" w16cid:durableId="1365011796">
    <w:abstractNumId w:val="36"/>
  </w:num>
  <w:num w:numId="26" w16cid:durableId="1093820862">
    <w:abstractNumId w:val="33"/>
  </w:num>
  <w:num w:numId="27" w16cid:durableId="63918208">
    <w:abstractNumId w:val="15"/>
  </w:num>
  <w:num w:numId="28" w16cid:durableId="453523360">
    <w:abstractNumId w:val="32"/>
  </w:num>
  <w:num w:numId="29" w16cid:durableId="163522619">
    <w:abstractNumId w:val="34"/>
  </w:num>
  <w:num w:numId="30" w16cid:durableId="1478650804">
    <w:abstractNumId w:val="18"/>
  </w:num>
  <w:num w:numId="31" w16cid:durableId="1330523864">
    <w:abstractNumId w:val="43"/>
  </w:num>
  <w:num w:numId="32" w16cid:durableId="727924690">
    <w:abstractNumId w:val="31"/>
  </w:num>
  <w:num w:numId="33" w16cid:durableId="671029847">
    <w:abstractNumId w:val="25"/>
  </w:num>
  <w:num w:numId="34" w16cid:durableId="815268804">
    <w:abstractNumId w:val="35"/>
  </w:num>
  <w:num w:numId="35" w16cid:durableId="789515412">
    <w:abstractNumId w:val="22"/>
  </w:num>
  <w:num w:numId="36" w16cid:durableId="1016883760">
    <w:abstractNumId w:val="13"/>
  </w:num>
  <w:num w:numId="37" w16cid:durableId="150563951">
    <w:abstractNumId w:val="41"/>
  </w:num>
  <w:num w:numId="38" w16cid:durableId="622155248">
    <w:abstractNumId w:val="37"/>
  </w:num>
  <w:num w:numId="39" w16cid:durableId="313728710">
    <w:abstractNumId w:val="21"/>
  </w:num>
  <w:num w:numId="40" w16cid:durableId="1289161412">
    <w:abstractNumId w:val="28"/>
  </w:num>
  <w:num w:numId="41" w16cid:durableId="1135417497">
    <w:abstractNumId w:val="38"/>
  </w:num>
  <w:num w:numId="42" w16cid:durableId="1661690800">
    <w:abstractNumId w:val="24"/>
  </w:num>
  <w:num w:numId="43" w16cid:durableId="879249122">
    <w:abstractNumId w:val="29"/>
  </w:num>
  <w:num w:numId="44" w16cid:durableId="476142442">
    <w:abstractNumId w:val="30"/>
  </w:num>
  <w:num w:numId="45" w16cid:durableId="441846076">
    <w:abstractNumId w:val="46"/>
  </w:num>
  <w:num w:numId="46" w16cid:durableId="1531843017">
    <w:abstractNumId w:val="12"/>
  </w:num>
  <w:num w:numId="47" w16cid:durableId="2854308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B1"/>
    <w:rsid w:val="00043FEE"/>
    <w:rsid w:val="00057CA9"/>
    <w:rsid w:val="000626BA"/>
    <w:rsid w:val="00066EEC"/>
    <w:rsid w:val="000775AD"/>
    <w:rsid w:val="00090B57"/>
    <w:rsid w:val="00094324"/>
    <w:rsid w:val="00095C3A"/>
    <w:rsid w:val="000C3AD8"/>
    <w:rsid w:val="001010A6"/>
    <w:rsid w:val="00144D9D"/>
    <w:rsid w:val="001535E8"/>
    <w:rsid w:val="00154281"/>
    <w:rsid w:val="001764E5"/>
    <w:rsid w:val="001C7205"/>
    <w:rsid w:val="001F50E1"/>
    <w:rsid w:val="001F774D"/>
    <w:rsid w:val="00221603"/>
    <w:rsid w:val="0022715E"/>
    <w:rsid w:val="002C6339"/>
    <w:rsid w:val="002D32E3"/>
    <w:rsid w:val="002E2C9A"/>
    <w:rsid w:val="0031662F"/>
    <w:rsid w:val="003409E6"/>
    <w:rsid w:val="00346481"/>
    <w:rsid w:val="003466DA"/>
    <w:rsid w:val="00382345"/>
    <w:rsid w:val="003823CD"/>
    <w:rsid w:val="003E5720"/>
    <w:rsid w:val="0041468B"/>
    <w:rsid w:val="00421093"/>
    <w:rsid w:val="00433B52"/>
    <w:rsid w:val="00447EE5"/>
    <w:rsid w:val="0046659D"/>
    <w:rsid w:val="00484CEA"/>
    <w:rsid w:val="00486347"/>
    <w:rsid w:val="004B0E24"/>
    <w:rsid w:val="004B2DF2"/>
    <w:rsid w:val="004B5574"/>
    <w:rsid w:val="004E23E7"/>
    <w:rsid w:val="00520F6F"/>
    <w:rsid w:val="00526F2E"/>
    <w:rsid w:val="005312A7"/>
    <w:rsid w:val="00544E03"/>
    <w:rsid w:val="005F08D1"/>
    <w:rsid w:val="006032DC"/>
    <w:rsid w:val="0062272F"/>
    <w:rsid w:val="006427A9"/>
    <w:rsid w:val="006A43CC"/>
    <w:rsid w:val="006A7826"/>
    <w:rsid w:val="006C7A3A"/>
    <w:rsid w:val="006D0112"/>
    <w:rsid w:val="00740B64"/>
    <w:rsid w:val="0074455E"/>
    <w:rsid w:val="00771199"/>
    <w:rsid w:val="007B2B17"/>
    <w:rsid w:val="007E5B79"/>
    <w:rsid w:val="007E6A4C"/>
    <w:rsid w:val="0080512C"/>
    <w:rsid w:val="00805C7D"/>
    <w:rsid w:val="00833221"/>
    <w:rsid w:val="00843BA9"/>
    <w:rsid w:val="00860382"/>
    <w:rsid w:val="00861834"/>
    <w:rsid w:val="00867DEB"/>
    <w:rsid w:val="00885AEC"/>
    <w:rsid w:val="008F04AA"/>
    <w:rsid w:val="008F2D32"/>
    <w:rsid w:val="00901AC5"/>
    <w:rsid w:val="00952E34"/>
    <w:rsid w:val="00982E1F"/>
    <w:rsid w:val="009D3826"/>
    <w:rsid w:val="009D499A"/>
    <w:rsid w:val="009F42C7"/>
    <w:rsid w:val="00AB10FD"/>
    <w:rsid w:val="00AF1C94"/>
    <w:rsid w:val="00B42368"/>
    <w:rsid w:val="00B564A0"/>
    <w:rsid w:val="00C0789C"/>
    <w:rsid w:val="00C20C91"/>
    <w:rsid w:val="00C32B6F"/>
    <w:rsid w:val="00C363C3"/>
    <w:rsid w:val="00C66EFA"/>
    <w:rsid w:val="00CA7226"/>
    <w:rsid w:val="00D34A88"/>
    <w:rsid w:val="00D82B8D"/>
    <w:rsid w:val="00DA498C"/>
    <w:rsid w:val="00DA5C84"/>
    <w:rsid w:val="00DE0AB1"/>
    <w:rsid w:val="00E1370C"/>
    <w:rsid w:val="00E5064D"/>
    <w:rsid w:val="00E80B18"/>
    <w:rsid w:val="00EA1E7D"/>
    <w:rsid w:val="00EA5D50"/>
    <w:rsid w:val="00EB2A51"/>
    <w:rsid w:val="00EB63B4"/>
    <w:rsid w:val="00EB711C"/>
    <w:rsid w:val="00ED4583"/>
    <w:rsid w:val="00EE7090"/>
    <w:rsid w:val="00F01C88"/>
    <w:rsid w:val="00F15489"/>
    <w:rsid w:val="00F20B05"/>
    <w:rsid w:val="00F25119"/>
    <w:rsid w:val="00F54363"/>
    <w:rsid w:val="00F5591F"/>
    <w:rsid w:val="00F767E6"/>
    <w:rsid w:val="00F827D8"/>
    <w:rsid w:val="00FF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DCEF"/>
  <w15:chartTrackingRefBased/>
  <w15:docId w15:val="{28373E9A-294F-46E8-A354-5B4760A4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21"/>
    <w:pPr>
      <w:spacing w:line="259" w:lineRule="auto"/>
    </w:pPr>
    <w:rPr>
      <w:color w:val="0D1956" w:themeColor="accent5"/>
      <w:sz w:val="22"/>
      <w:szCs w:val="22"/>
    </w:rPr>
  </w:style>
  <w:style w:type="paragraph" w:styleId="Heading1">
    <w:name w:val="heading 1"/>
    <w:basedOn w:val="Normal"/>
    <w:next w:val="Normal"/>
    <w:link w:val="Heading1Char"/>
    <w:uiPriority w:val="9"/>
    <w:qFormat/>
    <w:rsid w:val="00833221"/>
    <w:pPr>
      <w:keepNext/>
      <w:keepLines/>
      <w:spacing w:before="240"/>
      <w:outlineLvl w:val="0"/>
    </w:pPr>
    <w:rPr>
      <w:rFonts w:asciiTheme="majorHAnsi" w:eastAsiaTheme="majorEastAsia" w:hAnsiTheme="majorHAnsi" w:cstheme="majorBidi"/>
      <w:b/>
      <w:sz w:val="24"/>
      <w:szCs w:val="24"/>
    </w:rPr>
  </w:style>
  <w:style w:type="paragraph" w:styleId="Heading2">
    <w:name w:val="heading 2"/>
    <w:basedOn w:val="Normal"/>
    <w:next w:val="Normal"/>
    <w:link w:val="Heading2Char"/>
    <w:autoRedefine/>
    <w:uiPriority w:val="9"/>
    <w:unhideWhenUsed/>
    <w:qFormat/>
    <w:rsid w:val="00805C7D"/>
    <w:pPr>
      <w:keepNext/>
      <w:keepLines/>
      <w:spacing w:before="40"/>
      <w:outlineLvl w:val="1"/>
    </w:pPr>
    <w:rPr>
      <w:rFonts w:asciiTheme="majorHAnsi" w:eastAsiaTheme="majorEastAsia" w:hAnsiTheme="majorHAnsi" w:cstheme="majorBidi"/>
      <w:b/>
      <w:color w:val="2754A5" w:themeColor="background2"/>
      <w:sz w:val="26"/>
      <w:szCs w:val="26"/>
    </w:rPr>
  </w:style>
  <w:style w:type="paragraph" w:styleId="Heading3">
    <w:name w:val="heading 3"/>
    <w:basedOn w:val="Normal"/>
    <w:next w:val="Normal"/>
    <w:link w:val="Heading3Char"/>
    <w:autoRedefine/>
    <w:uiPriority w:val="9"/>
    <w:unhideWhenUsed/>
    <w:qFormat/>
    <w:rsid w:val="00DA5C84"/>
    <w:pPr>
      <w:keepNext/>
      <w:keepLines/>
      <w:spacing w:before="40"/>
      <w:outlineLvl w:val="2"/>
    </w:pPr>
    <w:rPr>
      <w:rFonts w:asciiTheme="majorHAnsi" w:eastAsiaTheme="majorEastAsia" w:hAnsiTheme="majorHAnsi" w:cstheme="majorBidi"/>
      <w:b/>
      <w:sz w:val="24"/>
      <w:szCs w:val="24"/>
      <w:lang w:val="fr-FR"/>
    </w:rPr>
  </w:style>
  <w:style w:type="paragraph" w:styleId="Heading4">
    <w:name w:val="heading 4"/>
    <w:basedOn w:val="Normal"/>
    <w:link w:val="Heading4Char"/>
    <w:uiPriority w:val="9"/>
    <w:qFormat/>
    <w:rsid w:val="000C3AD8"/>
    <w:pPr>
      <w:spacing w:before="100" w:beforeAutospacing="1" w:after="100" w:afterAutospacing="1" w:line="240" w:lineRule="auto"/>
      <w:outlineLvl w:val="3"/>
    </w:pPr>
    <w:rPr>
      <w:rFonts w:ascii="Times New Roman" w:eastAsia="Times New Roman" w:hAnsi="Times New Roman" w:cs="Times New Roman"/>
      <w:b/>
      <w:bCs/>
      <w:color w:val="auto"/>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9D"/>
    <w:pPr>
      <w:tabs>
        <w:tab w:val="center" w:pos="4513"/>
        <w:tab w:val="right" w:pos="9026"/>
      </w:tabs>
      <w:spacing w:line="240" w:lineRule="auto"/>
    </w:pPr>
  </w:style>
  <w:style w:type="character" w:customStyle="1" w:styleId="HeaderChar">
    <w:name w:val="Header Char"/>
    <w:basedOn w:val="DefaultParagraphFont"/>
    <w:link w:val="Header"/>
    <w:uiPriority w:val="99"/>
    <w:rsid w:val="00144D9D"/>
    <w:rPr>
      <w:color w:val="0D1956" w:themeColor="accent5"/>
      <w:sz w:val="20"/>
      <w:szCs w:val="22"/>
      <w:lang w:val="en-GB"/>
    </w:rPr>
  </w:style>
  <w:style w:type="paragraph" w:styleId="Footer">
    <w:name w:val="footer"/>
    <w:basedOn w:val="Normal"/>
    <w:link w:val="FooterChar"/>
    <w:uiPriority w:val="99"/>
    <w:unhideWhenUsed/>
    <w:rsid w:val="00144D9D"/>
    <w:pPr>
      <w:tabs>
        <w:tab w:val="center" w:pos="4513"/>
        <w:tab w:val="right" w:pos="9026"/>
      </w:tabs>
      <w:spacing w:line="240" w:lineRule="auto"/>
    </w:pPr>
  </w:style>
  <w:style w:type="character" w:customStyle="1" w:styleId="FooterChar">
    <w:name w:val="Footer Char"/>
    <w:basedOn w:val="DefaultParagraphFont"/>
    <w:link w:val="Footer"/>
    <w:uiPriority w:val="99"/>
    <w:rsid w:val="00144D9D"/>
    <w:rPr>
      <w:color w:val="0D1956" w:themeColor="accent5"/>
      <w:sz w:val="20"/>
      <w:szCs w:val="22"/>
      <w:lang w:val="en-GB"/>
    </w:rPr>
  </w:style>
  <w:style w:type="table" w:styleId="TableGrid">
    <w:name w:val="Table Grid"/>
    <w:basedOn w:val="TableNormal"/>
    <w:uiPriority w:val="39"/>
    <w:rsid w:val="009D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221"/>
    <w:rPr>
      <w:rFonts w:asciiTheme="majorHAnsi" w:eastAsiaTheme="majorEastAsia" w:hAnsiTheme="majorHAnsi" w:cstheme="majorBidi"/>
      <w:b/>
      <w:color w:val="0D1956" w:themeColor="accent5"/>
    </w:rPr>
  </w:style>
  <w:style w:type="character" w:styleId="Hyperlink">
    <w:name w:val="Hyperlink"/>
    <w:basedOn w:val="DefaultParagraphFont"/>
    <w:uiPriority w:val="99"/>
    <w:unhideWhenUsed/>
    <w:rsid w:val="00095C3A"/>
    <w:rPr>
      <w:color w:val="EF8300" w:themeColor="hyperlink"/>
      <w:u w:val="single"/>
    </w:rPr>
  </w:style>
  <w:style w:type="character" w:styleId="UnresolvedMention">
    <w:name w:val="Unresolved Mention"/>
    <w:basedOn w:val="DefaultParagraphFont"/>
    <w:uiPriority w:val="99"/>
    <w:semiHidden/>
    <w:unhideWhenUsed/>
    <w:rsid w:val="00095C3A"/>
    <w:rPr>
      <w:color w:val="605E5C"/>
      <w:shd w:val="clear" w:color="auto" w:fill="E1DFDD"/>
    </w:rPr>
  </w:style>
  <w:style w:type="character" w:styleId="FollowedHyperlink">
    <w:name w:val="FollowedHyperlink"/>
    <w:basedOn w:val="DefaultParagraphFont"/>
    <w:uiPriority w:val="99"/>
    <w:semiHidden/>
    <w:unhideWhenUsed/>
    <w:rsid w:val="00095C3A"/>
    <w:rPr>
      <w:color w:val="CF481C" w:themeColor="followedHyperlink"/>
      <w:u w:val="single"/>
    </w:rPr>
  </w:style>
  <w:style w:type="character" w:styleId="PageNumber">
    <w:name w:val="page number"/>
    <w:basedOn w:val="DefaultParagraphFont"/>
    <w:uiPriority w:val="99"/>
    <w:semiHidden/>
    <w:unhideWhenUsed/>
    <w:rsid w:val="00095C3A"/>
  </w:style>
  <w:style w:type="character" w:customStyle="1" w:styleId="Heading2Char">
    <w:name w:val="Heading 2 Char"/>
    <w:basedOn w:val="DefaultParagraphFont"/>
    <w:link w:val="Heading2"/>
    <w:uiPriority w:val="9"/>
    <w:rsid w:val="00805C7D"/>
    <w:rPr>
      <w:rFonts w:asciiTheme="majorHAnsi" w:eastAsiaTheme="majorEastAsia" w:hAnsiTheme="majorHAnsi" w:cstheme="majorBidi"/>
      <w:b/>
      <w:color w:val="2754A5" w:themeColor="background2"/>
      <w:sz w:val="26"/>
      <w:szCs w:val="26"/>
    </w:rPr>
  </w:style>
  <w:style w:type="character" w:customStyle="1" w:styleId="Heading3Char">
    <w:name w:val="Heading 3 Char"/>
    <w:basedOn w:val="DefaultParagraphFont"/>
    <w:link w:val="Heading3"/>
    <w:uiPriority w:val="9"/>
    <w:rsid w:val="00DA5C84"/>
    <w:rPr>
      <w:rFonts w:asciiTheme="majorHAnsi" w:eastAsiaTheme="majorEastAsia" w:hAnsiTheme="majorHAnsi" w:cstheme="majorBidi"/>
      <w:b/>
      <w:color w:val="0D1956" w:themeColor="accent5"/>
      <w:lang w:val="fr-FR"/>
    </w:rPr>
  </w:style>
  <w:style w:type="paragraph" w:customStyle="1" w:styleId="Column-left-top">
    <w:name w:val="Column-left-top"/>
    <w:basedOn w:val="Normal"/>
    <w:autoRedefine/>
    <w:qFormat/>
    <w:rsid w:val="00F01C88"/>
    <w:pPr>
      <w:framePr w:hSpace="180" w:wrap="around" w:vAnchor="text" w:hAnchor="page" w:x="2897" w:y="142"/>
      <w:spacing w:after="40"/>
      <w:jc w:val="center"/>
    </w:pPr>
    <w:rPr>
      <w:b/>
      <w:sz w:val="24"/>
      <w:szCs w:val="24"/>
    </w:rPr>
  </w:style>
  <w:style w:type="paragraph" w:customStyle="1" w:styleId="ColumnTabletext">
    <w:name w:val="Column Table text"/>
    <w:basedOn w:val="Heading1"/>
    <w:autoRedefine/>
    <w:qFormat/>
    <w:rsid w:val="0074455E"/>
  </w:style>
  <w:style w:type="paragraph" w:customStyle="1" w:styleId="Tableright">
    <w:name w:val="Table right"/>
    <w:basedOn w:val="ColumnTabletext"/>
    <w:autoRedefine/>
    <w:qFormat/>
    <w:rsid w:val="001764E5"/>
    <w:pPr>
      <w:spacing w:before="0" w:line="240" w:lineRule="auto"/>
      <w:jc w:val="right"/>
      <w:outlineLvl w:val="9"/>
    </w:pPr>
    <w:rPr>
      <w:bCs/>
      <w:sz w:val="20"/>
      <w:szCs w:val="20"/>
    </w:rPr>
  </w:style>
  <w:style w:type="table" w:styleId="GridTable1Light-Accent2">
    <w:name w:val="Grid Table 1 Light Accent 2"/>
    <w:basedOn w:val="TableNormal"/>
    <w:uiPriority w:val="46"/>
    <w:rsid w:val="00867DEB"/>
    <w:tblPr>
      <w:tblStyleRowBandSize w:val="1"/>
      <w:tblStyleColBandSize w:val="1"/>
      <w:tblBorders>
        <w:top w:val="single" w:sz="4" w:space="0" w:color="F1B5AB" w:themeColor="accent2" w:themeTint="66"/>
        <w:left w:val="single" w:sz="4" w:space="0" w:color="F1B5AB" w:themeColor="accent2" w:themeTint="66"/>
        <w:bottom w:val="single" w:sz="4" w:space="0" w:color="F1B5AB" w:themeColor="accent2" w:themeTint="66"/>
        <w:right w:val="single" w:sz="4" w:space="0" w:color="F1B5AB" w:themeColor="accent2" w:themeTint="66"/>
        <w:insideH w:val="single" w:sz="4" w:space="0" w:color="F1B5AB" w:themeColor="accent2" w:themeTint="66"/>
        <w:insideV w:val="single" w:sz="4" w:space="0" w:color="F1B5AB" w:themeColor="accent2" w:themeTint="66"/>
      </w:tblBorders>
    </w:tblPr>
    <w:tblStylePr w:type="firstRow">
      <w:rPr>
        <w:b/>
        <w:bCs/>
      </w:rPr>
      <w:tblPr/>
      <w:tcPr>
        <w:tcBorders>
          <w:bottom w:val="single" w:sz="12" w:space="0" w:color="EA9182" w:themeColor="accent2" w:themeTint="99"/>
        </w:tcBorders>
      </w:tcPr>
    </w:tblStylePr>
    <w:tblStylePr w:type="lastRow">
      <w:rPr>
        <w:b/>
        <w:bCs/>
      </w:rPr>
      <w:tblPr/>
      <w:tcPr>
        <w:tcBorders>
          <w:top w:val="double" w:sz="2" w:space="0" w:color="EA9182"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7DEB"/>
    <w:tblPr>
      <w:tblStyleRowBandSize w:val="1"/>
      <w:tblStyleColBandSize w:val="1"/>
      <w:tblBorders>
        <w:top w:val="single" w:sz="4" w:space="0" w:color="9BB6E8" w:themeColor="accent4" w:themeTint="66"/>
        <w:left w:val="single" w:sz="4" w:space="0" w:color="9BB6E8" w:themeColor="accent4" w:themeTint="66"/>
        <w:bottom w:val="single" w:sz="4" w:space="0" w:color="9BB6E8" w:themeColor="accent4" w:themeTint="66"/>
        <w:right w:val="single" w:sz="4" w:space="0" w:color="9BB6E8" w:themeColor="accent4" w:themeTint="66"/>
        <w:insideH w:val="single" w:sz="4" w:space="0" w:color="9BB6E8" w:themeColor="accent4" w:themeTint="66"/>
        <w:insideV w:val="single" w:sz="4" w:space="0" w:color="9BB6E8" w:themeColor="accent4" w:themeTint="66"/>
      </w:tblBorders>
    </w:tblPr>
    <w:tblStylePr w:type="firstRow">
      <w:rPr>
        <w:b/>
        <w:bCs/>
      </w:rPr>
      <w:tblPr/>
      <w:tcPr>
        <w:tcBorders>
          <w:bottom w:val="single" w:sz="12" w:space="0" w:color="6992DC" w:themeColor="accent4" w:themeTint="99"/>
        </w:tcBorders>
      </w:tcPr>
    </w:tblStylePr>
    <w:tblStylePr w:type="lastRow">
      <w:rPr>
        <w:b/>
        <w:bCs/>
      </w:rPr>
      <w:tblPr/>
      <w:tcPr>
        <w:tcBorders>
          <w:top w:val="double" w:sz="2" w:space="0" w:color="6992DC" w:themeColor="accent4" w:themeTint="99"/>
        </w:tcBorders>
      </w:tcPr>
    </w:tblStylePr>
    <w:tblStylePr w:type="firstCol">
      <w:rPr>
        <w:b/>
        <w:bCs/>
      </w:rPr>
    </w:tblStylePr>
    <w:tblStylePr w:type="lastCol">
      <w:rPr>
        <w:b/>
        <w:bCs/>
      </w:rPr>
    </w:tblStylePr>
  </w:style>
  <w:style w:type="paragraph" w:customStyle="1" w:styleId="Rowwithtitles-Agenda">
    <w:name w:val="Row with titles - Agenda"/>
    <w:basedOn w:val="ColumnTabletext"/>
    <w:qFormat/>
    <w:rsid w:val="002D32E3"/>
    <w:pPr>
      <w:jc w:val="center"/>
      <w:outlineLvl w:val="9"/>
    </w:pPr>
    <w:rPr>
      <w:bCs/>
      <w:color w:val="FFFFFF" w:themeColor="background1"/>
    </w:rPr>
  </w:style>
  <w:style w:type="paragraph" w:customStyle="1" w:styleId="Numberedlist">
    <w:name w:val="Numbered list"/>
    <w:basedOn w:val="ListNumber"/>
    <w:autoRedefine/>
    <w:qFormat/>
    <w:rsid w:val="00F15489"/>
    <w:pPr>
      <w:numPr>
        <w:numId w:val="0"/>
      </w:numPr>
      <w:spacing w:line="240" w:lineRule="auto"/>
      <w:jc w:val="right"/>
    </w:pPr>
  </w:style>
  <w:style w:type="paragraph" w:customStyle="1" w:styleId="Column-centerednormal">
    <w:name w:val="Column- centered normal"/>
    <w:basedOn w:val="Normal"/>
    <w:autoRedefine/>
    <w:qFormat/>
    <w:rsid w:val="00F767E6"/>
    <w:pPr>
      <w:jc w:val="center"/>
    </w:pPr>
  </w:style>
  <w:style w:type="paragraph" w:styleId="ListNumber">
    <w:name w:val="List Number"/>
    <w:basedOn w:val="Normal"/>
    <w:uiPriority w:val="99"/>
    <w:semiHidden/>
    <w:unhideWhenUsed/>
    <w:rsid w:val="00F767E6"/>
    <w:pPr>
      <w:numPr>
        <w:numId w:val="1"/>
      </w:numPr>
      <w:contextualSpacing/>
    </w:pPr>
  </w:style>
  <w:style w:type="paragraph" w:customStyle="1" w:styleId="Bulletlist">
    <w:name w:val="Bullet list"/>
    <w:basedOn w:val="ListBullet"/>
    <w:autoRedefine/>
    <w:qFormat/>
    <w:rsid w:val="00B564A0"/>
    <w:pPr>
      <w:numPr>
        <w:numId w:val="25"/>
      </w:numPr>
      <w:spacing w:line="240" w:lineRule="auto"/>
    </w:pPr>
    <w:rPr>
      <w:rFonts w:ascii="Calibri" w:hAnsi="Calibri"/>
    </w:rPr>
  </w:style>
  <w:style w:type="paragraph" w:customStyle="1" w:styleId="Style1">
    <w:name w:val="Style1"/>
    <w:basedOn w:val="ListBullet2"/>
    <w:qFormat/>
    <w:rsid w:val="00901AC5"/>
    <w:pPr>
      <w:numPr>
        <w:ilvl w:val="1"/>
        <w:numId w:val="3"/>
      </w:numPr>
      <w:ind w:left="360"/>
    </w:pPr>
  </w:style>
  <w:style w:type="paragraph" w:styleId="ListBullet">
    <w:name w:val="List Bullet"/>
    <w:basedOn w:val="Normal"/>
    <w:uiPriority w:val="99"/>
    <w:semiHidden/>
    <w:unhideWhenUsed/>
    <w:rsid w:val="00F767E6"/>
    <w:pPr>
      <w:numPr>
        <w:numId w:val="2"/>
      </w:numPr>
      <w:contextualSpacing/>
    </w:pPr>
  </w:style>
  <w:style w:type="paragraph" w:customStyle="1" w:styleId="Style11">
    <w:name w:val="Style11"/>
    <w:basedOn w:val="Bulletlist"/>
    <w:next w:val="Style1"/>
    <w:qFormat/>
    <w:rsid w:val="00901AC5"/>
    <w:pPr>
      <w:numPr>
        <w:numId w:val="0"/>
      </w:numPr>
      <w:ind w:left="644" w:hanging="360"/>
    </w:pPr>
  </w:style>
  <w:style w:type="paragraph" w:styleId="ListBullet2">
    <w:name w:val="List Bullet 2"/>
    <w:basedOn w:val="Normal"/>
    <w:uiPriority w:val="99"/>
    <w:semiHidden/>
    <w:unhideWhenUsed/>
    <w:rsid w:val="00901AC5"/>
    <w:pPr>
      <w:numPr>
        <w:numId w:val="6"/>
      </w:numPr>
      <w:contextualSpacing/>
    </w:pPr>
  </w:style>
  <w:style w:type="numbering" w:customStyle="1" w:styleId="BulletListLevels">
    <w:name w:val="Bullet List Levels"/>
    <w:uiPriority w:val="99"/>
    <w:rsid w:val="00CA7226"/>
    <w:pPr>
      <w:numPr>
        <w:numId w:val="8"/>
      </w:numPr>
    </w:pPr>
  </w:style>
  <w:style w:type="character" w:styleId="PlaceholderText">
    <w:name w:val="Placeholder Text"/>
    <w:basedOn w:val="DefaultParagraphFont"/>
    <w:uiPriority w:val="99"/>
    <w:semiHidden/>
    <w:rsid w:val="00154281"/>
    <w:rPr>
      <w:color w:val="808080"/>
    </w:rPr>
  </w:style>
  <w:style w:type="paragraph" w:customStyle="1" w:styleId="Textforexecutivesummary">
    <w:name w:val="Text for executive summary"/>
    <w:basedOn w:val="Normal"/>
    <w:autoRedefine/>
    <w:qFormat/>
    <w:rsid w:val="00805C7D"/>
    <w:rPr>
      <w:color w:val="FFFFFF" w:themeColor="background1"/>
    </w:rPr>
  </w:style>
  <w:style w:type="paragraph" w:customStyle="1" w:styleId="ExecutiveSummarytitle">
    <w:name w:val="Executive Summary title"/>
    <w:basedOn w:val="Heading1"/>
    <w:autoRedefine/>
    <w:qFormat/>
    <w:rsid w:val="00833221"/>
    <w:rPr>
      <w:color w:val="FFFFFF" w:themeColor="background1"/>
      <w:sz w:val="28"/>
    </w:rPr>
  </w:style>
  <w:style w:type="paragraph" w:styleId="NoSpacing">
    <w:name w:val="No Spacing"/>
    <w:uiPriority w:val="1"/>
    <w:qFormat/>
    <w:rsid w:val="00090B57"/>
    <w:rPr>
      <w:color w:val="0D1956" w:themeColor="accent5"/>
      <w:sz w:val="20"/>
      <w:szCs w:val="22"/>
    </w:rPr>
  </w:style>
  <w:style w:type="paragraph" w:styleId="ListParagraph">
    <w:name w:val="List Paragraph"/>
    <w:basedOn w:val="Normal"/>
    <w:uiPriority w:val="34"/>
    <w:qFormat/>
    <w:rsid w:val="00090B57"/>
    <w:pPr>
      <w:ind w:left="720"/>
      <w:contextualSpacing/>
    </w:pPr>
  </w:style>
  <w:style w:type="paragraph" w:styleId="NormalWeb">
    <w:name w:val="Normal (Web)"/>
    <w:basedOn w:val="Normal"/>
    <w:uiPriority w:val="99"/>
    <w:unhideWhenUsed/>
    <w:rsid w:val="00FF299B"/>
    <w:pPr>
      <w:spacing w:before="100" w:beforeAutospacing="1" w:after="100" w:afterAutospacing="1" w:line="240" w:lineRule="auto"/>
    </w:pPr>
    <w:rPr>
      <w:rFonts w:ascii="Calibri" w:hAnsi="Calibri" w:cs="Calibri"/>
      <w:color w:val="auto"/>
      <w:lang/>
    </w:rPr>
  </w:style>
  <w:style w:type="character" w:styleId="Strong">
    <w:name w:val="Strong"/>
    <w:basedOn w:val="DefaultParagraphFont"/>
    <w:uiPriority w:val="22"/>
    <w:qFormat/>
    <w:rsid w:val="00FF299B"/>
    <w:rPr>
      <w:b/>
      <w:bCs/>
    </w:rPr>
  </w:style>
  <w:style w:type="character" w:customStyle="1" w:styleId="Heading4Char">
    <w:name w:val="Heading 4 Char"/>
    <w:basedOn w:val="DefaultParagraphFont"/>
    <w:link w:val="Heading4"/>
    <w:uiPriority w:val="9"/>
    <w:rsid w:val="000C3AD8"/>
    <w:rPr>
      <w:rFonts w:ascii="Times New Roman" w:eastAsia="Times New Roman" w:hAnsi="Times New Roman" w:cs="Times New Roman"/>
      <w:b/>
      <w:bCs/>
      <w:lang/>
    </w:rPr>
  </w:style>
  <w:style w:type="paragraph" w:customStyle="1" w:styleId="sc-1b6lr0c-1">
    <w:name w:val="sc-1b6lr0c-1"/>
    <w:basedOn w:val="Normal"/>
    <w:rsid w:val="000C3AD8"/>
    <w:pPr>
      <w:spacing w:before="100" w:beforeAutospacing="1" w:after="100" w:afterAutospacing="1" w:line="240" w:lineRule="auto"/>
    </w:pPr>
    <w:rPr>
      <w:rFonts w:ascii="Times New Roman" w:eastAsia="Times New Roman" w:hAnsi="Times New Roman" w:cs="Times New Roman"/>
      <w:color w:val="auto"/>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4659">
      <w:bodyDiv w:val="1"/>
      <w:marLeft w:val="0"/>
      <w:marRight w:val="0"/>
      <w:marTop w:val="0"/>
      <w:marBottom w:val="0"/>
      <w:divBdr>
        <w:top w:val="none" w:sz="0" w:space="0" w:color="auto"/>
        <w:left w:val="none" w:sz="0" w:space="0" w:color="auto"/>
        <w:bottom w:val="none" w:sz="0" w:space="0" w:color="auto"/>
        <w:right w:val="none" w:sz="0" w:space="0" w:color="auto"/>
      </w:divBdr>
    </w:div>
    <w:div w:id="761410922">
      <w:bodyDiv w:val="1"/>
      <w:marLeft w:val="0"/>
      <w:marRight w:val="0"/>
      <w:marTop w:val="0"/>
      <w:marBottom w:val="0"/>
      <w:divBdr>
        <w:top w:val="none" w:sz="0" w:space="0" w:color="auto"/>
        <w:left w:val="none" w:sz="0" w:space="0" w:color="auto"/>
        <w:bottom w:val="none" w:sz="0" w:space="0" w:color="auto"/>
        <w:right w:val="none" w:sz="0" w:space="0" w:color="auto"/>
      </w:divBdr>
      <w:divsChild>
        <w:div w:id="562063112">
          <w:marLeft w:val="0"/>
          <w:marRight w:val="0"/>
          <w:marTop w:val="0"/>
          <w:marBottom w:val="0"/>
          <w:divBdr>
            <w:top w:val="none" w:sz="0" w:space="0" w:color="auto"/>
            <w:left w:val="none" w:sz="0" w:space="0" w:color="auto"/>
            <w:bottom w:val="none" w:sz="0" w:space="0" w:color="auto"/>
            <w:right w:val="none" w:sz="0" w:space="0" w:color="auto"/>
          </w:divBdr>
          <w:divsChild>
            <w:div w:id="239995328">
              <w:marLeft w:val="0"/>
              <w:marRight w:val="0"/>
              <w:marTop w:val="0"/>
              <w:marBottom w:val="0"/>
              <w:divBdr>
                <w:top w:val="none" w:sz="0" w:space="0" w:color="auto"/>
                <w:left w:val="none" w:sz="0" w:space="0" w:color="auto"/>
                <w:bottom w:val="none" w:sz="0" w:space="0" w:color="auto"/>
                <w:right w:val="none" w:sz="0" w:space="0" w:color="auto"/>
              </w:divBdr>
            </w:div>
          </w:divsChild>
        </w:div>
        <w:div w:id="195851007">
          <w:marLeft w:val="0"/>
          <w:marRight w:val="0"/>
          <w:marTop w:val="0"/>
          <w:marBottom w:val="0"/>
          <w:divBdr>
            <w:top w:val="none" w:sz="0" w:space="0" w:color="auto"/>
            <w:left w:val="none" w:sz="0" w:space="0" w:color="auto"/>
            <w:bottom w:val="none" w:sz="0" w:space="0" w:color="auto"/>
            <w:right w:val="none" w:sz="0" w:space="0" w:color="auto"/>
          </w:divBdr>
          <w:divsChild>
            <w:div w:id="376929909">
              <w:marLeft w:val="0"/>
              <w:marRight w:val="0"/>
              <w:marTop w:val="0"/>
              <w:marBottom w:val="0"/>
              <w:divBdr>
                <w:top w:val="none" w:sz="0" w:space="0" w:color="auto"/>
                <w:left w:val="none" w:sz="0" w:space="0" w:color="auto"/>
                <w:bottom w:val="none" w:sz="0" w:space="0" w:color="auto"/>
                <w:right w:val="none" w:sz="0" w:space="0" w:color="auto"/>
              </w:divBdr>
            </w:div>
          </w:divsChild>
        </w:div>
        <w:div w:id="1663122374">
          <w:marLeft w:val="0"/>
          <w:marRight w:val="0"/>
          <w:marTop w:val="0"/>
          <w:marBottom w:val="0"/>
          <w:divBdr>
            <w:top w:val="none" w:sz="0" w:space="0" w:color="auto"/>
            <w:left w:val="none" w:sz="0" w:space="0" w:color="auto"/>
            <w:bottom w:val="none" w:sz="0" w:space="0" w:color="auto"/>
            <w:right w:val="none" w:sz="0" w:space="0" w:color="auto"/>
          </w:divBdr>
          <w:divsChild>
            <w:div w:id="240334457">
              <w:marLeft w:val="0"/>
              <w:marRight w:val="0"/>
              <w:marTop w:val="0"/>
              <w:marBottom w:val="0"/>
              <w:divBdr>
                <w:top w:val="none" w:sz="0" w:space="0" w:color="auto"/>
                <w:left w:val="none" w:sz="0" w:space="0" w:color="auto"/>
                <w:bottom w:val="none" w:sz="0" w:space="0" w:color="auto"/>
                <w:right w:val="none" w:sz="0" w:space="0" w:color="auto"/>
              </w:divBdr>
            </w:div>
          </w:divsChild>
        </w:div>
        <w:div w:id="328867909">
          <w:marLeft w:val="0"/>
          <w:marRight w:val="0"/>
          <w:marTop w:val="0"/>
          <w:marBottom w:val="0"/>
          <w:divBdr>
            <w:top w:val="none" w:sz="0" w:space="0" w:color="auto"/>
            <w:left w:val="none" w:sz="0" w:space="0" w:color="auto"/>
            <w:bottom w:val="none" w:sz="0" w:space="0" w:color="auto"/>
            <w:right w:val="none" w:sz="0" w:space="0" w:color="auto"/>
          </w:divBdr>
          <w:divsChild>
            <w:div w:id="1279944268">
              <w:marLeft w:val="0"/>
              <w:marRight w:val="0"/>
              <w:marTop w:val="0"/>
              <w:marBottom w:val="0"/>
              <w:divBdr>
                <w:top w:val="none" w:sz="0" w:space="0" w:color="auto"/>
                <w:left w:val="none" w:sz="0" w:space="0" w:color="auto"/>
                <w:bottom w:val="none" w:sz="0" w:space="0" w:color="auto"/>
                <w:right w:val="none" w:sz="0" w:space="0" w:color="auto"/>
              </w:divBdr>
            </w:div>
          </w:divsChild>
        </w:div>
        <w:div w:id="1109859796">
          <w:marLeft w:val="0"/>
          <w:marRight w:val="0"/>
          <w:marTop w:val="0"/>
          <w:marBottom w:val="0"/>
          <w:divBdr>
            <w:top w:val="none" w:sz="0" w:space="0" w:color="auto"/>
            <w:left w:val="none" w:sz="0" w:space="0" w:color="auto"/>
            <w:bottom w:val="none" w:sz="0" w:space="0" w:color="auto"/>
            <w:right w:val="none" w:sz="0" w:space="0" w:color="auto"/>
          </w:divBdr>
          <w:divsChild>
            <w:div w:id="121268053">
              <w:marLeft w:val="0"/>
              <w:marRight w:val="0"/>
              <w:marTop w:val="0"/>
              <w:marBottom w:val="0"/>
              <w:divBdr>
                <w:top w:val="none" w:sz="0" w:space="0" w:color="auto"/>
                <w:left w:val="none" w:sz="0" w:space="0" w:color="auto"/>
                <w:bottom w:val="none" w:sz="0" w:space="0" w:color="auto"/>
                <w:right w:val="none" w:sz="0" w:space="0" w:color="auto"/>
              </w:divBdr>
            </w:div>
          </w:divsChild>
        </w:div>
        <w:div w:id="1160924948">
          <w:marLeft w:val="0"/>
          <w:marRight w:val="0"/>
          <w:marTop w:val="0"/>
          <w:marBottom w:val="0"/>
          <w:divBdr>
            <w:top w:val="none" w:sz="0" w:space="0" w:color="auto"/>
            <w:left w:val="none" w:sz="0" w:space="0" w:color="auto"/>
            <w:bottom w:val="none" w:sz="0" w:space="0" w:color="auto"/>
            <w:right w:val="none" w:sz="0" w:space="0" w:color="auto"/>
          </w:divBdr>
          <w:divsChild>
            <w:div w:id="966661080">
              <w:marLeft w:val="0"/>
              <w:marRight w:val="0"/>
              <w:marTop w:val="0"/>
              <w:marBottom w:val="0"/>
              <w:divBdr>
                <w:top w:val="none" w:sz="0" w:space="0" w:color="auto"/>
                <w:left w:val="none" w:sz="0" w:space="0" w:color="auto"/>
                <w:bottom w:val="none" w:sz="0" w:space="0" w:color="auto"/>
                <w:right w:val="none" w:sz="0" w:space="0" w:color="auto"/>
              </w:divBdr>
            </w:div>
          </w:divsChild>
        </w:div>
        <w:div w:id="1074353452">
          <w:marLeft w:val="0"/>
          <w:marRight w:val="0"/>
          <w:marTop w:val="0"/>
          <w:marBottom w:val="0"/>
          <w:divBdr>
            <w:top w:val="none" w:sz="0" w:space="0" w:color="auto"/>
            <w:left w:val="none" w:sz="0" w:space="0" w:color="auto"/>
            <w:bottom w:val="none" w:sz="0" w:space="0" w:color="auto"/>
            <w:right w:val="none" w:sz="0" w:space="0" w:color="auto"/>
          </w:divBdr>
          <w:divsChild>
            <w:div w:id="1459563057">
              <w:marLeft w:val="0"/>
              <w:marRight w:val="0"/>
              <w:marTop w:val="0"/>
              <w:marBottom w:val="0"/>
              <w:divBdr>
                <w:top w:val="none" w:sz="0" w:space="0" w:color="auto"/>
                <w:left w:val="none" w:sz="0" w:space="0" w:color="auto"/>
                <w:bottom w:val="none" w:sz="0" w:space="0" w:color="auto"/>
                <w:right w:val="none" w:sz="0" w:space="0" w:color="auto"/>
              </w:divBdr>
            </w:div>
          </w:divsChild>
        </w:div>
        <w:div w:id="1470631028">
          <w:marLeft w:val="0"/>
          <w:marRight w:val="0"/>
          <w:marTop w:val="0"/>
          <w:marBottom w:val="0"/>
          <w:divBdr>
            <w:top w:val="none" w:sz="0" w:space="0" w:color="auto"/>
            <w:left w:val="none" w:sz="0" w:space="0" w:color="auto"/>
            <w:bottom w:val="none" w:sz="0" w:space="0" w:color="auto"/>
            <w:right w:val="none" w:sz="0" w:space="0" w:color="auto"/>
          </w:divBdr>
          <w:divsChild>
            <w:div w:id="893200075">
              <w:marLeft w:val="0"/>
              <w:marRight w:val="0"/>
              <w:marTop w:val="0"/>
              <w:marBottom w:val="0"/>
              <w:divBdr>
                <w:top w:val="none" w:sz="0" w:space="0" w:color="auto"/>
                <w:left w:val="none" w:sz="0" w:space="0" w:color="auto"/>
                <w:bottom w:val="none" w:sz="0" w:space="0" w:color="auto"/>
                <w:right w:val="none" w:sz="0" w:space="0" w:color="auto"/>
              </w:divBdr>
            </w:div>
          </w:divsChild>
        </w:div>
        <w:div w:id="634800519">
          <w:marLeft w:val="0"/>
          <w:marRight w:val="0"/>
          <w:marTop w:val="0"/>
          <w:marBottom w:val="0"/>
          <w:divBdr>
            <w:top w:val="none" w:sz="0" w:space="0" w:color="auto"/>
            <w:left w:val="none" w:sz="0" w:space="0" w:color="auto"/>
            <w:bottom w:val="none" w:sz="0" w:space="0" w:color="auto"/>
            <w:right w:val="none" w:sz="0" w:space="0" w:color="auto"/>
          </w:divBdr>
          <w:divsChild>
            <w:div w:id="1835560939">
              <w:marLeft w:val="0"/>
              <w:marRight w:val="0"/>
              <w:marTop w:val="0"/>
              <w:marBottom w:val="0"/>
              <w:divBdr>
                <w:top w:val="none" w:sz="0" w:space="0" w:color="auto"/>
                <w:left w:val="none" w:sz="0" w:space="0" w:color="auto"/>
                <w:bottom w:val="none" w:sz="0" w:space="0" w:color="auto"/>
                <w:right w:val="none" w:sz="0" w:space="0" w:color="auto"/>
              </w:divBdr>
            </w:div>
          </w:divsChild>
        </w:div>
        <w:div w:id="956645799">
          <w:marLeft w:val="0"/>
          <w:marRight w:val="0"/>
          <w:marTop w:val="0"/>
          <w:marBottom w:val="0"/>
          <w:divBdr>
            <w:top w:val="none" w:sz="0" w:space="0" w:color="auto"/>
            <w:left w:val="none" w:sz="0" w:space="0" w:color="auto"/>
            <w:bottom w:val="none" w:sz="0" w:space="0" w:color="auto"/>
            <w:right w:val="none" w:sz="0" w:space="0" w:color="auto"/>
          </w:divBdr>
          <w:divsChild>
            <w:div w:id="29696581">
              <w:marLeft w:val="0"/>
              <w:marRight w:val="0"/>
              <w:marTop w:val="0"/>
              <w:marBottom w:val="0"/>
              <w:divBdr>
                <w:top w:val="none" w:sz="0" w:space="0" w:color="auto"/>
                <w:left w:val="none" w:sz="0" w:space="0" w:color="auto"/>
                <w:bottom w:val="none" w:sz="0" w:space="0" w:color="auto"/>
                <w:right w:val="none" w:sz="0" w:space="0" w:color="auto"/>
              </w:divBdr>
            </w:div>
          </w:divsChild>
        </w:div>
        <w:div w:id="555170351">
          <w:marLeft w:val="0"/>
          <w:marRight w:val="0"/>
          <w:marTop w:val="0"/>
          <w:marBottom w:val="0"/>
          <w:divBdr>
            <w:top w:val="none" w:sz="0" w:space="0" w:color="auto"/>
            <w:left w:val="none" w:sz="0" w:space="0" w:color="auto"/>
            <w:bottom w:val="none" w:sz="0" w:space="0" w:color="auto"/>
            <w:right w:val="none" w:sz="0" w:space="0" w:color="auto"/>
          </w:divBdr>
          <w:divsChild>
            <w:div w:id="259024293">
              <w:marLeft w:val="0"/>
              <w:marRight w:val="0"/>
              <w:marTop w:val="0"/>
              <w:marBottom w:val="0"/>
              <w:divBdr>
                <w:top w:val="none" w:sz="0" w:space="0" w:color="auto"/>
                <w:left w:val="none" w:sz="0" w:space="0" w:color="auto"/>
                <w:bottom w:val="none" w:sz="0" w:space="0" w:color="auto"/>
                <w:right w:val="none" w:sz="0" w:space="0" w:color="auto"/>
              </w:divBdr>
            </w:div>
          </w:divsChild>
        </w:div>
        <w:div w:id="1118111983">
          <w:marLeft w:val="0"/>
          <w:marRight w:val="0"/>
          <w:marTop w:val="0"/>
          <w:marBottom w:val="0"/>
          <w:divBdr>
            <w:top w:val="none" w:sz="0" w:space="0" w:color="auto"/>
            <w:left w:val="none" w:sz="0" w:space="0" w:color="auto"/>
            <w:bottom w:val="none" w:sz="0" w:space="0" w:color="auto"/>
            <w:right w:val="none" w:sz="0" w:space="0" w:color="auto"/>
          </w:divBdr>
          <w:divsChild>
            <w:div w:id="2102605409">
              <w:marLeft w:val="0"/>
              <w:marRight w:val="0"/>
              <w:marTop w:val="0"/>
              <w:marBottom w:val="0"/>
              <w:divBdr>
                <w:top w:val="none" w:sz="0" w:space="0" w:color="auto"/>
                <w:left w:val="none" w:sz="0" w:space="0" w:color="auto"/>
                <w:bottom w:val="none" w:sz="0" w:space="0" w:color="auto"/>
                <w:right w:val="none" w:sz="0" w:space="0" w:color="auto"/>
              </w:divBdr>
            </w:div>
          </w:divsChild>
        </w:div>
        <w:div w:id="905728704">
          <w:marLeft w:val="0"/>
          <w:marRight w:val="0"/>
          <w:marTop w:val="0"/>
          <w:marBottom w:val="0"/>
          <w:divBdr>
            <w:top w:val="none" w:sz="0" w:space="0" w:color="auto"/>
            <w:left w:val="none" w:sz="0" w:space="0" w:color="auto"/>
            <w:bottom w:val="none" w:sz="0" w:space="0" w:color="auto"/>
            <w:right w:val="none" w:sz="0" w:space="0" w:color="auto"/>
          </w:divBdr>
          <w:divsChild>
            <w:div w:id="1409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roparl.europa.eu/doceo/document/AGRI-PA-745499_E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doceo/document/ENVI-PR-742297_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lofrese@fooddrinkeurope.e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embers.fooddrinkeurope.eu/publishe.nsf/Redirect.xsp?refid=ENV_CIRCECON_009_23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cations\02%20ISSUE%20MANAGEMENT\Advocacy\Outreach%20on%20legislative%20dossiers\Packaging%20and%20Circular%20Economy\FDE%20-%20New%20For%20info.dotx" TargetMode="External"/></Relationships>
</file>

<file path=word/theme/theme1.xml><?xml version="1.0" encoding="utf-8"?>
<a:theme xmlns:a="http://schemas.openxmlformats.org/drawingml/2006/main" name="Office Theme">
  <a:themeElements>
    <a:clrScheme name="FoodDrink Europe">
      <a:dk1>
        <a:srgbClr val="004289"/>
      </a:dk1>
      <a:lt1>
        <a:srgbClr val="FFFFFF"/>
      </a:lt1>
      <a:dk2>
        <a:srgbClr val="B0B3B3"/>
      </a:dk2>
      <a:lt2>
        <a:srgbClr val="2754A5"/>
      </a:lt2>
      <a:accent1>
        <a:srgbClr val="E3981C"/>
      </a:accent1>
      <a:accent2>
        <a:srgbClr val="DD492F"/>
      </a:accent2>
      <a:accent3>
        <a:srgbClr val="7CB61C"/>
      </a:accent3>
      <a:accent4>
        <a:srgbClr val="2654A5"/>
      </a:accent4>
      <a:accent5>
        <a:srgbClr val="0D1956"/>
      </a:accent5>
      <a:accent6>
        <a:srgbClr val="000000"/>
      </a:accent6>
      <a:hlink>
        <a:srgbClr val="EF8300"/>
      </a:hlink>
      <a:folHlink>
        <a:srgbClr val="CF48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8E0E-696E-E241-B16C-551A1C10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 - New For info.dotx</Template>
  <TotalTime>1</TotalTime>
  <Pages>7</Pages>
  <Words>2250</Words>
  <Characters>12275</Characters>
  <Application>Microsoft Office Word</Application>
  <DocSecurity>0</DocSecurity>
  <Lines>281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AdminO365</cp:lastModifiedBy>
  <cp:revision>2</cp:revision>
  <cp:lastPrinted>2020-10-06T08:50:00Z</cp:lastPrinted>
  <dcterms:created xsi:type="dcterms:W3CDTF">2023-04-25T20:01:00Z</dcterms:created>
  <dcterms:modified xsi:type="dcterms:W3CDTF">2023-04-25T20:01:00Z</dcterms:modified>
</cp:coreProperties>
</file>