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DB53" w14:textId="7213E504" w:rsidR="00F45AA1" w:rsidRPr="007907A8" w:rsidRDefault="00AE3E4D" w:rsidP="00B2762A">
      <w:pPr>
        <w:rPr>
          <w:rFonts w:ascii="Arial" w:hAnsi="Arial" w:cs="Arial"/>
          <w:sz w:val="22"/>
          <w:szCs w:val="24"/>
        </w:rPr>
      </w:pPr>
      <w:r>
        <w:rPr>
          <w:rFonts w:ascii="Arial" w:hAnsi="Arial" w:cs="Arial"/>
          <w:noProof/>
          <w:sz w:val="22"/>
          <w:szCs w:val="24"/>
        </w:rPr>
        <w:drawing>
          <wp:anchor distT="0" distB="0" distL="114300" distR="114300" simplePos="0" relativeHeight="251658240" behindDoc="1" locked="0" layoutInCell="1" allowOverlap="1" wp14:anchorId="0045C7F6" wp14:editId="518882D8">
            <wp:simplePos x="0" y="0"/>
            <wp:positionH relativeFrom="page">
              <wp:align>left</wp:align>
            </wp:positionH>
            <wp:positionV relativeFrom="page">
              <wp:align>top</wp:align>
            </wp:positionV>
            <wp:extent cx="2523490" cy="713740"/>
            <wp:effectExtent l="0" t="0" r="0" b="0"/>
            <wp:wrapNone/>
            <wp:docPr id="1" name="DocNatureLogo"/>
            <wp:cNvGraphicFramePr/>
            <a:graphic xmlns:a="http://schemas.openxmlformats.org/drawingml/2006/main">
              <a:graphicData uri="http://schemas.openxmlformats.org/drawingml/2006/picture">
                <pic:pic xmlns:pic="http://schemas.openxmlformats.org/drawingml/2006/picture">
                  <pic:nvPicPr>
                    <pic:cNvPr id="1" name="DocNatureLogo"/>
                    <pic:cNvPicPr/>
                  </pic:nvPicPr>
                  <pic:blipFill>
                    <a:blip r:embed="rId8">
                      <a:extLst>
                        <a:ext uri="{28A0092B-C50C-407E-A947-70E740481C1C}">
                          <a14:useLocalDpi xmlns:a14="http://schemas.microsoft.com/office/drawing/2010/main" val="0"/>
                        </a:ext>
                      </a:extLst>
                    </a:blip>
                    <a:stretch>
                      <a:fillRect/>
                    </a:stretch>
                  </pic:blipFill>
                  <pic:spPr>
                    <a:xfrm>
                      <a:off x="0" y="0"/>
                      <a:ext cx="2523490" cy="713740"/>
                    </a:xfrm>
                    <a:prstGeom prst="rect">
                      <a:avLst/>
                    </a:prstGeom>
                  </pic:spPr>
                </pic:pic>
              </a:graphicData>
            </a:graphic>
          </wp:anchor>
        </w:drawing>
      </w:r>
    </w:p>
    <w:p w14:paraId="6FB9EF8F" w14:textId="77777777" w:rsidR="000A2EA0" w:rsidRDefault="000A2EA0" w:rsidP="000A2EA0">
      <w:pPr>
        <w:jc w:val="right"/>
        <w:rPr>
          <w:sz w:val="22"/>
          <w:szCs w:val="24"/>
        </w:rPr>
      </w:pPr>
    </w:p>
    <w:p w14:paraId="2D4AAA1C" w14:textId="23A5A128" w:rsidR="000A2EA0" w:rsidRDefault="000A2EA0" w:rsidP="000A2EA0">
      <w:pPr>
        <w:jc w:val="right"/>
        <w:rPr>
          <w:sz w:val="22"/>
          <w:szCs w:val="24"/>
        </w:rPr>
      </w:pPr>
      <w:r>
        <w:rPr>
          <w:sz w:val="22"/>
          <w:szCs w:val="24"/>
        </w:rPr>
        <w:t>19</w:t>
      </w:r>
      <w:r w:rsidRPr="000A2EA0">
        <w:rPr>
          <w:sz w:val="22"/>
          <w:szCs w:val="24"/>
          <w:vertAlign w:val="superscript"/>
        </w:rPr>
        <w:t>th</w:t>
      </w:r>
      <w:r>
        <w:rPr>
          <w:sz w:val="22"/>
          <w:szCs w:val="24"/>
        </w:rPr>
        <w:t xml:space="preserve"> October 2022</w:t>
      </w:r>
    </w:p>
    <w:p w14:paraId="24244B68" w14:textId="77777777" w:rsidR="00CA29F0" w:rsidRPr="00C000C4" w:rsidRDefault="00CA29F0" w:rsidP="000A2EA0">
      <w:pPr>
        <w:jc w:val="right"/>
        <w:rPr>
          <w:sz w:val="22"/>
          <w:szCs w:val="24"/>
        </w:rPr>
      </w:pPr>
    </w:p>
    <w:p w14:paraId="066E51E1" w14:textId="77777777" w:rsidR="00F45AA1" w:rsidRPr="00F45AA1" w:rsidRDefault="00F45AA1" w:rsidP="00F45AA1">
      <w:pPr>
        <w:rPr>
          <w:sz w:val="22"/>
          <w:szCs w:val="24"/>
        </w:rPr>
      </w:pPr>
    </w:p>
    <w:p w14:paraId="17ECEC3B" w14:textId="59B8D092" w:rsidR="0067329F" w:rsidRDefault="00560B59" w:rsidP="00F45AA1">
      <w:pPr>
        <w:rPr>
          <w:b/>
          <w:bCs/>
          <w:sz w:val="36"/>
          <w:szCs w:val="36"/>
        </w:rPr>
      </w:pPr>
      <w:r w:rsidRPr="00560B59">
        <w:rPr>
          <w:b/>
          <w:bCs/>
          <w:sz w:val="36"/>
          <w:szCs w:val="36"/>
        </w:rPr>
        <w:t>Overview on PPWR provisions from leaked drafted + general considerations</w:t>
      </w:r>
    </w:p>
    <w:p w14:paraId="31DEEA9D" w14:textId="542123A4" w:rsidR="000A2EA0" w:rsidRDefault="000A2EA0" w:rsidP="00F45AA1">
      <w:pPr>
        <w:rPr>
          <w:b/>
          <w:bCs/>
          <w:sz w:val="36"/>
          <w:szCs w:val="36"/>
        </w:rPr>
      </w:pPr>
    </w:p>
    <w:p w14:paraId="16611B5B" w14:textId="77777777" w:rsidR="00CA29F0" w:rsidRDefault="00CA29F0" w:rsidP="00F45AA1">
      <w:pPr>
        <w:rPr>
          <w:sz w:val="22"/>
          <w:szCs w:val="24"/>
        </w:rPr>
      </w:pPr>
    </w:p>
    <w:p w14:paraId="7ABC9445" w14:textId="05925C29" w:rsidR="00560B59" w:rsidRDefault="00560B59" w:rsidP="00560B59">
      <w:pPr>
        <w:spacing w:line="240" w:lineRule="auto"/>
        <w:jc w:val="both"/>
        <w:rPr>
          <w:rFonts w:asciiTheme="majorHAnsi" w:eastAsia="Calibri" w:hAnsiTheme="majorHAnsi" w:cstheme="majorHAnsi"/>
          <w:color w:val="132A52" w:themeColor="background2" w:themeShade="80"/>
          <w:sz w:val="22"/>
          <w:lang w:val="en-US"/>
        </w:rPr>
      </w:pPr>
      <w:r w:rsidRPr="00560B59">
        <w:rPr>
          <w:rFonts w:asciiTheme="majorHAnsi" w:eastAsia="Calibri" w:hAnsiTheme="majorHAnsi" w:cstheme="majorHAnsi"/>
          <w:color w:val="132A52" w:themeColor="background2" w:themeShade="80"/>
          <w:sz w:val="22"/>
          <w:lang w:val="en-US"/>
        </w:rPr>
        <w:t>Dear member,</w:t>
      </w:r>
    </w:p>
    <w:p w14:paraId="5AE63D67" w14:textId="77777777" w:rsidR="00CA29F0" w:rsidRPr="00560B59" w:rsidRDefault="00CA29F0" w:rsidP="00560B59">
      <w:pPr>
        <w:spacing w:line="240" w:lineRule="auto"/>
        <w:jc w:val="both"/>
        <w:rPr>
          <w:rFonts w:asciiTheme="majorHAnsi" w:eastAsia="Calibri" w:hAnsiTheme="majorHAnsi" w:cstheme="majorHAnsi"/>
          <w:color w:val="132A52" w:themeColor="background2" w:themeShade="80"/>
          <w:sz w:val="22"/>
          <w:lang w:val="en-US"/>
        </w:rPr>
      </w:pPr>
    </w:p>
    <w:p w14:paraId="2F911E0B" w14:textId="77777777" w:rsidR="00560B59" w:rsidRPr="00560B59" w:rsidRDefault="00560B59" w:rsidP="00560B59">
      <w:pPr>
        <w:spacing w:line="240" w:lineRule="auto"/>
        <w:jc w:val="both"/>
        <w:rPr>
          <w:rFonts w:asciiTheme="majorHAnsi" w:eastAsia="Calibri" w:hAnsiTheme="majorHAnsi" w:cstheme="majorHAnsi"/>
          <w:color w:val="132A52" w:themeColor="background2" w:themeShade="80"/>
          <w:sz w:val="22"/>
          <w:lang w:val="en-US"/>
        </w:rPr>
      </w:pPr>
    </w:p>
    <w:p w14:paraId="6D3A52F3" w14:textId="335DFC8A" w:rsidR="00560B59" w:rsidRDefault="00560B59" w:rsidP="00560B59">
      <w:pPr>
        <w:spacing w:line="240" w:lineRule="auto"/>
        <w:jc w:val="both"/>
        <w:rPr>
          <w:rFonts w:asciiTheme="majorHAnsi" w:eastAsia="Calibri" w:hAnsiTheme="majorHAnsi" w:cstheme="majorHAnsi"/>
          <w:color w:val="132A52" w:themeColor="background2" w:themeShade="80"/>
          <w:sz w:val="22"/>
          <w:lang w:val="en-US"/>
        </w:rPr>
      </w:pPr>
      <w:r w:rsidRPr="00560B59">
        <w:rPr>
          <w:rFonts w:asciiTheme="majorHAnsi" w:eastAsia="Calibri" w:hAnsiTheme="majorHAnsi" w:cstheme="majorHAnsi"/>
          <w:color w:val="132A52" w:themeColor="background2" w:themeShade="80"/>
          <w:sz w:val="22"/>
          <w:lang w:val="en-US"/>
        </w:rPr>
        <w:t>A leaked version of the draft proposal for the Packaging and Packaging Waste Regulation circulated recently. Please find below a summary of the main points organized per topic and a few considerations to take into account:</w:t>
      </w:r>
    </w:p>
    <w:p w14:paraId="37AE05F6" w14:textId="77777777" w:rsidR="000A2EA0" w:rsidRPr="00560B59" w:rsidRDefault="000A2EA0" w:rsidP="00560B59">
      <w:pPr>
        <w:spacing w:line="240" w:lineRule="auto"/>
        <w:jc w:val="both"/>
        <w:rPr>
          <w:rFonts w:asciiTheme="majorHAnsi" w:eastAsia="Calibri" w:hAnsiTheme="majorHAnsi" w:cstheme="majorHAnsi"/>
          <w:color w:val="132A52" w:themeColor="background2" w:themeShade="80"/>
          <w:sz w:val="22"/>
          <w:lang w:val="en-US"/>
        </w:rPr>
      </w:pPr>
    </w:p>
    <w:p w14:paraId="718D3500" w14:textId="77777777" w:rsidR="00560B59" w:rsidRPr="00560B59" w:rsidRDefault="00560B59" w:rsidP="00560B59">
      <w:pPr>
        <w:spacing w:line="240" w:lineRule="auto"/>
        <w:jc w:val="both"/>
        <w:rPr>
          <w:rFonts w:asciiTheme="majorHAnsi" w:eastAsia="Calibri" w:hAnsiTheme="majorHAnsi" w:cstheme="majorHAnsi"/>
          <w:color w:val="132A52" w:themeColor="background2" w:themeShade="80"/>
          <w:sz w:val="22"/>
          <w:lang w:val="en-US"/>
        </w:rPr>
      </w:pPr>
    </w:p>
    <w:p w14:paraId="51374399" w14:textId="229E4D75" w:rsidR="00560B59" w:rsidRDefault="00560B59" w:rsidP="00560B59">
      <w:pPr>
        <w:spacing w:line="240" w:lineRule="auto"/>
        <w:jc w:val="both"/>
        <w:rPr>
          <w:rFonts w:asciiTheme="majorHAnsi" w:eastAsia="Calibri" w:hAnsiTheme="majorHAnsi" w:cstheme="majorHAnsi"/>
          <w:b/>
          <w:bCs/>
          <w:color w:val="132A52" w:themeColor="background2" w:themeShade="80"/>
          <w:sz w:val="22"/>
          <w:lang w:val="en-US"/>
        </w:rPr>
      </w:pPr>
      <w:r w:rsidRPr="00560B59">
        <w:rPr>
          <w:rFonts w:asciiTheme="majorHAnsi" w:eastAsia="Calibri" w:hAnsiTheme="majorHAnsi" w:cstheme="majorHAnsi"/>
          <w:b/>
          <w:bCs/>
          <w:color w:val="132A52" w:themeColor="background2" w:themeShade="80"/>
          <w:sz w:val="22"/>
          <w:lang w:val="en-US"/>
        </w:rPr>
        <w:t>GENERAL OBSERVATIONS:</w:t>
      </w:r>
    </w:p>
    <w:p w14:paraId="2E0E4564" w14:textId="77777777" w:rsidR="00560B59" w:rsidRPr="00560B59" w:rsidRDefault="00560B59" w:rsidP="00560B59">
      <w:pPr>
        <w:spacing w:line="240" w:lineRule="auto"/>
        <w:jc w:val="both"/>
        <w:rPr>
          <w:rFonts w:asciiTheme="majorHAnsi" w:eastAsia="Calibri" w:hAnsiTheme="majorHAnsi" w:cstheme="majorHAnsi"/>
          <w:b/>
          <w:bCs/>
          <w:color w:val="132A52" w:themeColor="background2" w:themeShade="80"/>
          <w:sz w:val="22"/>
          <w:lang w:val="en-US"/>
        </w:rPr>
      </w:pPr>
    </w:p>
    <w:p w14:paraId="50293580" w14:textId="77777777" w:rsidR="00560B59" w:rsidRPr="00560B59" w:rsidRDefault="00560B59" w:rsidP="00560B59">
      <w:pPr>
        <w:numPr>
          <w:ilvl w:val="0"/>
          <w:numId w:val="24"/>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The proposal is an extremely ambitious legal text composed of 124 pages where the Commission decided to go beyond the simple establishment of targets and set new and stronger reuse and recycling systems. The Regulation sets very ambitious targets on MS or economic operators.</w:t>
      </w:r>
    </w:p>
    <w:p w14:paraId="57F63F13" w14:textId="77777777" w:rsidR="00560B59" w:rsidRPr="00560B59" w:rsidRDefault="00560B59" w:rsidP="00560B59">
      <w:pPr>
        <w:numPr>
          <w:ilvl w:val="0"/>
          <w:numId w:val="24"/>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 xml:space="preserve">At the time of co-decision, if the proposal will be presented as it is currently written, it is likely to find the Parliament support, but a strong opposition from MS as most of the measures require setting up of new systems in terms of logistics, monitoring, reporting and procedures. </w:t>
      </w:r>
    </w:p>
    <w:p w14:paraId="1CDE91FF" w14:textId="77777777" w:rsidR="00560B59" w:rsidRPr="00560B59" w:rsidRDefault="00560B59" w:rsidP="00560B59">
      <w:pPr>
        <w:numPr>
          <w:ilvl w:val="0"/>
          <w:numId w:val="24"/>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The Commission goes strong on reuse, basically banning all single use for transporting goods within a MS territory stating that “economic operators delivering goods to another economic operator within the same MS should use only reusable transport packaging”.</w:t>
      </w:r>
    </w:p>
    <w:p w14:paraId="2193B22A" w14:textId="77777777" w:rsidR="00560B59" w:rsidRPr="00560B59" w:rsidRDefault="00560B59" w:rsidP="00560B59">
      <w:pPr>
        <w:numPr>
          <w:ilvl w:val="0"/>
          <w:numId w:val="24"/>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The Commission sets in an Annex a lists of packaging formats that economic operators won’t be able to place in the market. There is no specified timeline, so it should be at the time of implementation of the Regulation.</w:t>
      </w:r>
    </w:p>
    <w:p w14:paraId="3A26B685" w14:textId="77777777" w:rsidR="00560B59" w:rsidRPr="00560B59" w:rsidRDefault="00560B59" w:rsidP="00560B59">
      <w:pPr>
        <w:numPr>
          <w:ilvl w:val="0"/>
          <w:numId w:val="24"/>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Also, the Commission aims at creating a monitoring and reporting system to track packaging and packaging waste.</w:t>
      </w:r>
    </w:p>
    <w:p w14:paraId="7A34EE2B" w14:textId="77777777" w:rsidR="00560B59" w:rsidRPr="00560B59" w:rsidRDefault="00560B59" w:rsidP="00560B59">
      <w:pPr>
        <w:numPr>
          <w:ilvl w:val="0"/>
          <w:numId w:val="24"/>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 xml:space="preserve">The Commission clearly differentiate between reuse and refill, setting targets to be achieved by reuse </w:t>
      </w:r>
      <w:r w:rsidRPr="00560B59">
        <w:rPr>
          <w:rFonts w:asciiTheme="majorHAnsi" w:eastAsia="Times New Roman" w:hAnsiTheme="majorHAnsi" w:cstheme="majorHAnsi"/>
          <w:b/>
          <w:bCs/>
          <w:color w:val="132A52" w:themeColor="background2" w:themeShade="80"/>
          <w:sz w:val="22"/>
          <w:u w:val="single"/>
          <w:lang w:val="en-US"/>
        </w:rPr>
        <w:t>OR</w:t>
      </w:r>
      <w:r w:rsidRPr="00560B59">
        <w:rPr>
          <w:rFonts w:asciiTheme="majorHAnsi" w:eastAsia="Times New Roman" w:hAnsiTheme="majorHAnsi" w:cstheme="majorHAnsi"/>
          <w:color w:val="132A52" w:themeColor="background2" w:themeShade="80"/>
          <w:sz w:val="22"/>
          <w:lang w:val="en-US"/>
        </w:rPr>
        <w:t xml:space="preserve"> refill.</w:t>
      </w:r>
    </w:p>
    <w:p w14:paraId="5BA1F05D" w14:textId="77777777" w:rsidR="00560B59" w:rsidRPr="00560B59" w:rsidRDefault="00560B59" w:rsidP="00560B59">
      <w:pPr>
        <w:numPr>
          <w:ilvl w:val="0"/>
          <w:numId w:val="24"/>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On recycling, the EC goes beyond what set in the SUP Directive, increasing targets for certain materials, and putting new targets for all main types of materials.</w:t>
      </w:r>
    </w:p>
    <w:p w14:paraId="6E8F0CA7" w14:textId="26631E31" w:rsidR="00560B59" w:rsidRDefault="00560B59" w:rsidP="00560B59">
      <w:pPr>
        <w:spacing w:line="240" w:lineRule="auto"/>
        <w:jc w:val="both"/>
        <w:rPr>
          <w:rFonts w:asciiTheme="majorHAnsi" w:eastAsia="Calibri" w:hAnsiTheme="majorHAnsi" w:cstheme="majorHAnsi"/>
          <w:color w:val="132A52" w:themeColor="background2" w:themeShade="80"/>
          <w:sz w:val="22"/>
          <w:lang w:val="en-US"/>
        </w:rPr>
      </w:pPr>
    </w:p>
    <w:p w14:paraId="438A171E" w14:textId="79399BAA" w:rsidR="00CA29F0" w:rsidRDefault="00CA29F0" w:rsidP="00560B59">
      <w:pPr>
        <w:spacing w:line="240" w:lineRule="auto"/>
        <w:jc w:val="both"/>
        <w:rPr>
          <w:rFonts w:asciiTheme="majorHAnsi" w:eastAsia="Calibri" w:hAnsiTheme="majorHAnsi" w:cstheme="majorHAnsi"/>
          <w:color w:val="132A52" w:themeColor="background2" w:themeShade="80"/>
          <w:sz w:val="22"/>
          <w:lang w:val="en-US"/>
        </w:rPr>
      </w:pPr>
    </w:p>
    <w:p w14:paraId="3215B375" w14:textId="77777777" w:rsidR="00CA29F0" w:rsidRPr="00560B59" w:rsidRDefault="00CA29F0" w:rsidP="00560B59">
      <w:pPr>
        <w:spacing w:line="240" w:lineRule="auto"/>
        <w:jc w:val="both"/>
        <w:rPr>
          <w:rFonts w:asciiTheme="majorHAnsi" w:eastAsia="Calibri" w:hAnsiTheme="majorHAnsi" w:cstheme="majorHAnsi"/>
          <w:color w:val="132A52" w:themeColor="background2" w:themeShade="80"/>
          <w:sz w:val="22"/>
          <w:lang w:val="en-US"/>
        </w:rPr>
      </w:pPr>
    </w:p>
    <w:p w14:paraId="00E55FF4" w14:textId="58BCB744" w:rsidR="00560B59" w:rsidRDefault="00560B59" w:rsidP="00560B59">
      <w:pPr>
        <w:spacing w:line="240" w:lineRule="auto"/>
        <w:jc w:val="both"/>
        <w:rPr>
          <w:rFonts w:asciiTheme="majorHAnsi" w:eastAsia="Calibri" w:hAnsiTheme="majorHAnsi" w:cstheme="majorHAnsi"/>
          <w:color w:val="132A52" w:themeColor="background2" w:themeShade="80"/>
          <w:sz w:val="22"/>
          <w:lang w:val="en-US"/>
        </w:rPr>
      </w:pPr>
      <w:r w:rsidRPr="00560B59">
        <w:rPr>
          <w:rFonts w:asciiTheme="majorHAnsi" w:eastAsia="Calibri" w:hAnsiTheme="majorHAnsi" w:cstheme="majorHAnsi"/>
          <w:color w:val="132A52" w:themeColor="background2" w:themeShade="80"/>
          <w:sz w:val="22"/>
          <w:lang w:val="en-US"/>
        </w:rPr>
        <w:t>Below, detailed analysis of each provision:</w:t>
      </w:r>
    </w:p>
    <w:p w14:paraId="7A9EBBB9" w14:textId="77777777" w:rsidR="00560B59" w:rsidRPr="00560B59" w:rsidRDefault="00560B59" w:rsidP="00560B59">
      <w:pPr>
        <w:spacing w:line="240" w:lineRule="auto"/>
        <w:jc w:val="both"/>
        <w:rPr>
          <w:rFonts w:asciiTheme="majorHAnsi" w:eastAsia="Calibri" w:hAnsiTheme="majorHAnsi" w:cstheme="majorHAnsi"/>
          <w:color w:val="132A52" w:themeColor="background2" w:themeShade="80"/>
          <w:sz w:val="22"/>
          <w:lang w:val="en-US"/>
        </w:rPr>
      </w:pPr>
    </w:p>
    <w:p w14:paraId="3694AF3B" w14:textId="7488D688" w:rsidR="00560B59" w:rsidRDefault="00560B59" w:rsidP="00560B59">
      <w:pPr>
        <w:numPr>
          <w:ilvl w:val="0"/>
          <w:numId w:val="25"/>
        </w:numPr>
        <w:spacing w:line="240" w:lineRule="auto"/>
        <w:jc w:val="both"/>
        <w:rPr>
          <w:rFonts w:asciiTheme="majorHAnsi" w:eastAsia="Times New Roman" w:hAnsiTheme="majorHAnsi" w:cstheme="majorHAnsi"/>
          <w:b/>
          <w:bCs/>
          <w:color w:val="132A52" w:themeColor="background2" w:themeShade="80"/>
          <w:sz w:val="22"/>
          <w:lang w:val="en-US"/>
        </w:rPr>
      </w:pPr>
      <w:r w:rsidRPr="00560B59">
        <w:rPr>
          <w:rFonts w:asciiTheme="majorHAnsi" w:eastAsia="Times New Roman" w:hAnsiTheme="majorHAnsi" w:cstheme="majorHAnsi"/>
          <w:b/>
          <w:bCs/>
          <w:color w:val="132A52" w:themeColor="background2" w:themeShade="80"/>
          <w:sz w:val="22"/>
          <w:lang w:val="en-US"/>
        </w:rPr>
        <w:t>Recyclability (Article 6)</w:t>
      </w:r>
    </w:p>
    <w:p w14:paraId="409B0B01" w14:textId="77777777" w:rsidR="00560B59" w:rsidRPr="00560B59" w:rsidRDefault="00560B59" w:rsidP="00560B59">
      <w:pPr>
        <w:spacing w:line="240" w:lineRule="auto"/>
        <w:ind w:left="720"/>
        <w:jc w:val="both"/>
        <w:rPr>
          <w:rFonts w:asciiTheme="majorHAnsi" w:eastAsia="Times New Roman" w:hAnsiTheme="majorHAnsi" w:cstheme="majorHAnsi"/>
          <w:b/>
          <w:bCs/>
          <w:color w:val="132A52" w:themeColor="background2" w:themeShade="80"/>
          <w:sz w:val="22"/>
          <w:lang w:val="en-US"/>
        </w:rPr>
      </w:pPr>
    </w:p>
    <w:p w14:paraId="01133597"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Sets the conditions for “</w:t>
      </w:r>
      <w:r w:rsidRPr="00560B59">
        <w:rPr>
          <w:rFonts w:asciiTheme="majorHAnsi" w:eastAsia="Times New Roman" w:hAnsiTheme="majorHAnsi" w:cstheme="majorHAnsi"/>
          <w:b/>
          <w:bCs/>
          <w:color w:val="132A52" w:themeColor="background2" w:themeShade="80"/>
          <w:sz w:val="22"/>
          <w:lang w:val="en-US"/>
        </w:rPr>
        <w:t>recyclable packaging</w:t>
      </w:r>
      <w:r w:rsidRPr="00560B59">
        <w:rPr>
          <w:rFonts w:asciiTheme="majorHAnsi" w:eastAsia="Times New Roman" w:hAnsiTheme="majorHAnsi" w:cstheme="majorHAnsi"/>
          <w:color w:val="132A52" w:themeColor="background2" w:themeShade="80"/>
          <w:sz w:val="22"/>
          <w:lang w:val="en-US"/>
        </w:rPr>
        <w:t xml:space="preserve">” and sets the </w:t>
      </w:r>
      <w:r w:rsidRPr="00560B59">
        <w:rPr>
          <w:rFonts w:asciiTheme="majorHAnsi" w:eastAsia="Times New Roman" w:hAnsiTheme="majorHAnsi" w:cstheme="majorHAnsi"/>
          <w:color w:val="132A52" w:themeColor="background2" w:themeShade="80"/>
          <w:sz w:val="22"/>
          <w:lang/>
        </w:rPr>
        <w:t xml:space="preserve">requirement be met in </w:t>
      </w:r>
      <w:r w:rsidRPr="00560B59">
        <w:rPr>
          <w:rFonts w:asciiTheme="majorHAnsi" w:eastAsia="Times New Roman" w:hAnsiTheme="majorHAnsi" w:cstheme="majorHAnsi"/>
          <w:b/>
          <w:bCs/>
          <w:color w:val="132A52" w:themeColor="background2" w:themeShade="80"/>
          <w:sz w:val="22"/>
          <w:lang/>
        </w:rPr>
        <w:t>a two-stepped approach</w:t>
      </w:r>
    </w:p>
    <w:p w14:paraId="58FB9C73" w14:textId="77777777" w:rsidR="00560B59" w:rsidRPr="00560B59" w:rsidRDefault="00560B59" w:rsidP="00560B59">
      <w:pPr>
        <w:numPr>
          <w:ilvl w:val="2"/>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rPr>
        <w:lastRenderedPageBreak/>
        <w:t>As of 1/1/2030, packaging will have to comply with the design for recycling criteria and</w:t>
      </w:r>
    </w:p>
    <w:p w14:paraId="47ADC344" w14:textId="3650BC58" w:rsidR="00560B59" w:rsidRPr="00CA29F0" w:rsidRDefault="00560B59" w:rsidP="00560B59">
      <w:pPr>
        <w:numPr>
          <w:ilvl w:val="2"/>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A</w:t>
      </w:r>
      <w:r w:rsidRPr="00560B59">
        <w:rPr>
          <w:rFonts w:asciiTheme="majorHAnsi" w:eastAsia="Times New Roman" w:hAnsiTheme="majorHAnsi" w:cstheme="majorHAnsi"/>
          <w:color w:val="132A52" w:themeColor="background2" w:themeShade="80"/>
          <w:sz w:val="22"/>
          <w:lang/>
        </w:rPr>
        <w:t xml:space="preserve">s of 1/1/2035 the requirements will be further adjusted for packaging to be effectively collected, sorted and recycled </w:t>
      </w:r>
      <w:r w:rsidRPr="00560B59">
        <w:rPr>
          <w:rFonts w:asciiTheme="majorHAnsi" w:eastAsia="Times New Roman" w:hAnsiTheme="majorHAnsi" w:cstheme="majorHAnsi"/>
          <w:b/>
          <w:bCs/>
          <w:color w:val="132A52" w:themeColor="background2" w:themeShade="80"/>
          <w:sz w:val="22"/>
          <w:u w:val="single"/>
          <w:lang/>
        </w:rPr>
        <w:t>to be considered as ‘recycled at scale’</w:t>
      </w:r>
      <w:r w:rsidRPr="00560B59">
        <w:rPr>
          <w:rFonts w:asciiTheme="majorHAnsi" w:eastAsia="Times New Roman" w:hAnsiTheme="majorHAnsi" w:cstheme="majorHAnsi"/>
          <w:color w:val="132A52" w:themeColor="background2" w:themeShade="80"/>
          <w:sz w:val="22"/>
          <w:lang/>
        </w:rPr>
        <w:t>.</w:t>
      </w:r>
    </w:p>
    <w:p w14:paraId="52564EFD" w14:textId="77777777" w:rsidR="00CA29F0" w:rsidRPr="00560B59" w:rsidRDefault="00CA29F0" w:rsidP="00CA29F0">
      <w:pPr>
        <w:spacing w:line="240" w:lineRule="auto"/>
        <w:ind w:left="2160"/>
        <w:jc w:val="both"/>
        <w:rPr>
          <w:rFonts w:asciiTheme="majorHAnsi" w:eastAsia="Times New Roman" w:hAnsiTheme="majorHAnsi" w:cstheme="majorHAnsi"/>
          <w:color w:val="132A52" w:themeColor="background2" w:themeShade="80"/>
          <w:sz w:val="22"/>
          <w:lang w:val="en-US"/>
        </w:rPr>
      </w:pPr>
    </w:p>
    <w:p w14:paraId="7028E4B0"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rPr>
        <w:t xml:space="preserve">The criteria for the </w:t>
      </w:r>
      <w:r w:rsidRPr="00560B59">
        <w:rPr>
          <w:rFonts w:asciiTheme="majorHAnsi" w:eastAsia="Times New Roman" w:hAnsiTheme="majorHAnsi" w:cstheme="majorHAnsi"/>
          <w:b/>
          <w:bCs/>
          <w:color w:val="132A52" w:themeColor="background2" w:themeShade="80"/>
          <w:sz w:val="22"/>
          <w:lang/>
        </w:rPr>
        <w:t>design of recycling</w:t>
      </w:r>
      <w:r w:rsidRPr="00560B59">
        <w:rPr>
          <w:rFonts w:asciiTheme="majorHAnsi" w:eastAsia="Times New Roman" w:hAnsiTheme="majorHAnsi" w:cstheme="majorHAnsi"/>
          <w:color w:val="132A52" w:themeColor="background2" w:themeShade="80"/>
          <w:sz w:val="22"/>
          <w:lang/>
        </w:rPr>
        <w:t xml:space="preserve"> and the methodology </w:t>
      </w:r>
      <w:r w:rsidRPr="00560B59">
        <w:rPr>
          <w:rFonts w:asciiTheme="majorHAnsi" w:eastAsia="Times New Roman" w:hAnsiTheme="majorHAnsi" w:cstheme="majorHAnsi"/>
          <w:b/>
          <w:bCs/>
          <w:color w:val="132A52" w:themeColor="background2" w:themeShade="80"/>
          <w:sz w:val="22"/>
          <w:lang/>
        </w:rPr>
        <w:t>to assess if packaging is recycled at scale</w:t>
      </w:r>
      <w:r w:rsidRPr="00560B59">
        <w:rPr>
          <w:rFonts w:asciiTheme="majorHAnsi" w:eastAsia="Times New Roman" w:hAnsiTheme="majorHAnsi" w:cstheme="majorHAnsi"/>
          <w:color w:val="132A52" w:themeColor="background2" w:themeShade="80"/>
          <w:sz w:val="22"/>
          <w:lang/>
        </w:rPr>
        <w:t xml:space="preserve"> will be established in delegated acts to be adopted by the Commission.</w:t>
      </w:r>
    </w:p>
    <w:p w14:paraId="6BDA1DBC"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rPr>
        <w:t xml:space="preserve">Packaging is collected, sorted and recycled ‘at scale’ when packaging waste can be collected, sorted and recycled in Member States representing </w:t>
      </w:r>
      <w:r w:rsidRPr="00560B59">
        <w:rPr>
          <w:rFonts w:asciiTheme="majorHAnsi" w:eastAsia="Times New Roman" w:hAnsiTheme="majorHAnsi" w:cstheme="majorHAnsi"/>
          <w:b/>
          <w:bCs/>
          <w:color w:val="132A52" w:themeColor="background2" w:themeShade="80"/>
          <w:sz w:val="22"/>
          <w:lang/>
        </w:rPr>
        <w:t>equal or more than 75% of the EU population</w:t>
      </w:r>
    </w:p>
    <w:p w14:paraId="29B3A16C"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rPr>
        <w:t xml:space="preserve">In case the Commission has not adopted such delegated act </w:t>
      </w:r>
      <w:r w:rsidRPr="00560B59">
        <w:rPr>
          <w:rFonts w:asciiTheme="majorHAnsi" w:eastAsia="Times New Roman" w:hAnsiTheme="majorHAnsi" w:cstheme="majorHAnsi"/>
          <w:b/>
          <w:bCs/>
          <w:color w:val="132A52" w:themeColor="background2" w:themeShade="80"/>
          <w:sz w:val="22"/>
          <w:lang/>
        </w:rPr>
        <w:t>by 1 January 2027</w:t>
      </w:r>
      <w:r w:rsidRPr="00560B59">
        <w:rPr>
          <w:rFonts w:asciiTheme="majorHAnsi" w:eastAsia="Times New Roman" w:hAnsiTheme="majorHAnsi" w:cstheme="majorHAnsi"/>
          <w:color w:val="132A52" w:themeColor="background2" w:themeShade="80"/>
          <w:sz w:val="22"/>
          <w:lang/>
        </w:rPr>
        <w:t xml:space="preserve">, by 1 January 2028 packaging listed in the </w:t>
      </w:r>
      <w:r w:rsidRPr="00560B59">
        <w:rPr>
          <w:rFonts w:asciiTheme="majorHAnsi" w:eastAsia="Times New Roman" w:hAnsiTheme="majorHAnsi" w:cstheme="majorHAnsi"/>
          <w:b/>
          <w:bCs/>
          <w:color w:val="132A52" w:themeColor="background2" w:themeShade="80"/>
          <w:sz w:val="22"/>
          <w:lang/>
        </w:rPr>
        <w:t>Annex II Part D</w:t>
      </w:r>
      <w:r w:rsidRPr="00560B59">
        <w:rPr>
          <w:rFonts w:asciiTheme="majorHAnsi" w:eastAsia="Times New Roman" w:hAnsiTheme="majorHAnsi" w:cstheme="majorHAnsi"/>
          <w:b/>
          <w:bCs/>
          <w:color w:val="132A52" w:themeColor="background2" w:themeShade="80"/>
          <w:sz w:val="22"/>
          <w:lang w:val="en-US"/>
        </w:rPr>
        <w:t xml:space="preserve"> (negative list of types of packaging)</w:t>
      </w:r>
      <w:r w:rsidRPr="00560B59">
        <w:rPr>
          <w:rFonts w:asciiTheme="majorHAnsi" w:eastAsia="Times New Roman" w:hAnsiTheme="majorHAnsi" w:cstheme="majorHAnsi"/>
          <w:b/>
          <w:bCs/>
          <w:color w:val="132A52" w:themeColor="background2" w:themeShade="80"/>
          <w:sz w:val="22"/>
          <w:lang/>
        </w:rPr>
        <w:t>, will be considered as not recyclable</w:t>
      </w:r>
      <w:r w:rsidRPr="00560B59">
        <w:rPr>
          <w:rFonts w:asciiTheme="majorHAnsi" w:eastAsia="Times New Roman" w:hAnsiTheme="majorHAnsi" w:cstheme="majorHAnsi"/>
          <w:color w:val="132A52" w:themeColor="background2" w:themeShade="80"/>
          <w:sz w:val="22"/>
          <w:lang/>
        </w:rPr>
        <w:t xml:space="preserve"> </w:t>
      </w:r>
      <w:r w:rsidRPr="00560B59">
        <w:rPr>
          <w:rFonts w:asciiTheme="majorHAnsi" w:eastAsia="Times New Roman" w:hAnsiTheme="majorHAnsi" w:cstheme="majorHAnsi"/>
          <w:b/>
          <w:bCs/>
          <w:color w:val="132A52" w:themeColor="background2" w:themeShade="80"/>
          <w:sz w:val="22"/>
          <w:u w:val="single"/>
          <w:lang w:val="en-US"/>
        </w:rPr>
        <w:t>(therefore not to be placed in the market – Article 14)</w:t>
      </w:r>
    </w:p>
    <w:p w14:paraId="6B4463E7"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b/>
          <w:bCs/>
          <w:color w:val="132A52" w:themeColor="background2" w:themeShade="80"/>
          <w:sz w:val="22"/>
          <w:lang w:val="en-US"/>
        </w:rPr>
        <w:t>Eco-modulation</w:t>
      </w:r>
      <w:r w:rsidRPr="00560B59">
        <w:rPr>
          <w:rFonts w:asciiTheme="majorHAnsi" w:eastAsia="Times New Roman" w:hAnsiTheme="majorHAnsi" w:cstheme="majorHAnsi"/>
          <w:color w:val="132A52" w:themeColor="background2" w:themeShade="80"/>
          <w:sz w:val="22"/>
          <w:lang w:val="en-US"/>
        </w:rPr>
        <w:t>: financial contributions to be paid by producers to comply with their extended producer responsibility obligations shall be modulated based on the recyclability performance grades under the design for recycling criteria</w:t>
      </w:r>
    </w:p>
    <w:p w14:paraId="39B9938C" w14:textId="779F41A3" w:rsid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b/>
          <w:bCs/>
          <w:color w:val="132A52" w:themeColor="background2" w:themeShade="80"/>
          <w:sz w:val="22"/>
          <w:lang w:val="en-US"/>
        </w:rPr>
        <w:t>The Annex</w:t>
      </w:r>
      <w:r w:rsidRPr="00560B59">
        <w:rPr>
          <w:rFonts w:asciiTheme="majorHAnsi" w:eastAsia="Times New Roman" w:hAnsiTheme="majorHAnsi" w:cstheme="majorHAnsi"/>
          <w:color w:val="132A52" w:themeColor="background2" w:themeShade="80"/>
          <w:sz w:val="22"/>
          <w:lang w:val="en-US"/>
        </w:rPr>
        <w:t xml:space="preserve"> provides essential elements on how to assess recyclability of a unit of packaging</w:t>
      </w:r>
    </w:p>
    <w:p w14:paraId="33A5FC2F" w14:textId="77777777" w:rsidR="00560B59" w:rsidRPr="00560B59" w:rsidRDefault="00560B59" w:rsidP="00560B59">
      <w:pPr>
        <w:spacing w:line="240" w:lineRule="auto"/>
        <w:ind w:left="1440"/>
        <w:jc w:val="both"/>
        <w:rPr>
          <w:rFonts w:asciiTheme="majorHAnsi" w:eastAsia="Times New Roman" w:hAnsiTheme="majorHAnsi" w:cstheme="majorHAnsi"/>
          <w:color w:val="132A52" w:themeColor="background2" w:themeShade="80"/>
          <w:sz w:val="22"/>
          <w:lang w:val="en-US"/>
        </w:rPr>
      </w:pPr>
    </w:p>
    <w:p w14:paraId="0DA11495" w14:textId="77777777" w:rsidR="00560B59" w:rsidRPr="00560B59" w:rsidRDefault="00560B59" w:rsidP="00560B59">
      <w:pPr>
        <w:spacing w:line="240" w:lineRule="auto"/>
        <w:ind w:left="1440"/>
        <w:jc w:val="both"/>
        <w:rPr>
          <w:rFonts w:asciiTheme="majorHAnsi" w:eastAsia="Calibri" w:hAnsiTheme="majorHAnsi" w:cstheme="majorHAnsi"/>
          <w:color w:val="132A52" w:themeColor="background2" w:themeShade="80"/>
          <w:sz w:val="22"/>
          <w:lang w:val="en-US"/>
        </w:rPr>
      </w:pPr>
    </w:p>
    <w:p w14:paraId="7D02953F" w14:textId="66C01DE9" w:rsidR="00560B59" w:rsidRDefault="00560B59" w:rsidP="00560B59">
      <w:pPr>
        <w:numPr>
          <w:ilvl w:val="0"/>
          <w:numId w:val="25"/>
        </w:numPr>
        <w:spacing w:line="240" w:lineRule="auto"/>
        <w:jc w:val="both"/>
        <w:rPr>
          <w:rFonts w:asciiTheme="majorHAnsi" w:eastAsia="Times New Roman" w:hAnsiTheme="majorHAnsi" w:cstheme="majorHAnsi"/>
          <w:b/>
          <w:bCs/>
          <w:color w:val="132A52" w:themeColor="background2" w:themeShade="80"/>
          <w:sz w:val="22"/>
          <w:lang w:val="en-US"/>
        </w:rPr>
      </w:pPr>
      <w:r w:rsidRPr="00560B59">
        <w:rPr>
          <w:rFonts w:asciiTheme="majorHAnsi" w:eastAsia="Times New Roman" w:hAnsiTheme="majorHAnsi" w:cstheme="majorHAnsi"/>
          <w:b/>
          <w:bCs/>
          <w:color w:val="132A52" w:themeColor="background2" w:themeShade="80"/>
          <w:sz w:val="22"/>
          <w:lang w:val="en-US"/>
        </w:rPr>
        <w:t>Recycling targets (article 63)</w:t>
      </w:r>
    </w:p>
    <w:p w14:paraId="73485A5E" w14:textId="77777777" w:rsidR="00560B59" w:rsidRPr="00560B59" w:rsidRDefault="00560B59" w:rsidP="00560B59">
      <w:pPr>
        <w:spacing w:line="240" w:lineRule="auto"/>
        <w:ind w:left="720"/>
        <w:jc w:val="both"/>
        <w:rPr>
          <w:rFonts w:asciiTheme="majorHAnsi" w:eastAsia="Times New Roman" w:hAnsiTheme="majorHAnsi" w:cstheme="majorHAnsi"/>
          <w:b/>
          <w:bCs/>
          <w:color w:val="132A52" w:themeColor="background2" w:themeShade="80"/>
          <w:sz w:val="22"/>
          <w:lang w:val="en-US"/>
        </w:rPr>
      </w:pPr>
    </w:p>
    <w:p w14:paraId="67249CBA"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Targets are set at MS level, these being:</w:t>
      </w:r>
    </w:p>
    <w:p w14:paraId="029D7BBE" w14:textId="77777777" w:rsidR="00560B59" w:rsidRPr="00560B59" w:rsidRDefault="00560B59" w:rsidP="00560B59">
      <w:pPr>
        <w:numPr>
          <w:ilvl w:val="2"/>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65% by weight of all packaging will be recycled by 2025. Of which, specific targets are:</w:t>
      </w:r>
    </w:p>
    <w:p w14:paraId="6EA0D846" w14:textId="77777777" w:rsidR="00560B59" w:rsidRPr="00560B59" w:rsidRDefault="00560B59" w:rsidP="00560B59">
      <w:pPr>
        <w:numPr>
          <w:ilvl w:val="3"/>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50% of plastic;</w:t>
      </w:r>
    </w:p>
    <w:p w14:paraId="2B95F4BD" w14:textId="77777777" w:rsidR="00560B59" w:rsidRPr="00560B59" w:rsidRDefault="00560B59" w:rsidP="00560B59">
      <w:pPr>
        <w:numPr>
          <w:ilvl w:val="3"/>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25 % of wood;</w:t>
      </w:r>
    </w:p>
    <w:p w14:paraId="32DAB214" w14:textId="77777777" w:rsidR="00560B59" w:rsidRPr="00560B59" w:rsidRDefault="00560B59" w:rsidP="00560B59">
      <w:pPr>
        <w:numPr>
          <w:ilvl w:val="3"/>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70 % of ferrous metals;</w:t>
      </w:r>
    </w:p>
    <w:p w14:paraId="0AEE84AF" w14:textId="77777777" w:rsidR="00560B59" w:rsidRPr="00560B59" w:rsidRDefault="00560B59" w:rsidP="00560B59">
      <w:pPr>
        <w:numPr>
          <w:ilvl w:val="3"/>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50 % of aluminium;</w:t>
      </w:r>
    </w:p>
    <w:p w14:paraId="7B64D1C3" w14:textId="77777777" w:rsidR="00560B59" w:rsidRPr="00560B59" w:rsidRDefault="00560B59" w:rsidP="00560B59">
      <w:pPr>
        <w:numPr>
          <w:ilvl w:val="3"/>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70 % of glass;</w:t>
      </w:r>
    </w:p>
    <w:p w14:paraId="65D01BC6" w14:textId="77777777" w:rsidR="00560B59" w:rsidRPr="00560B59" w:rsidRDefault="00560B59" w:rsidP="00560B59">
      <w:pPr>
        <w:numPr>
          <w:ilvl w:val="3"/>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75 % of paper and cardboard;</w:t>
      </w:r>
    </w:p>
    <w:p w14:paraId="7BC67788" w14:textId="77777777" w:rsidR="00560B59" w:rsidRPr="00560B59" w:rsidRDefault="00560B59" w:rsidP="00560B59">
      <w:pPr>
        <w:numPr>
          <w:ilvl w:val="2"/>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By 2030, 70% of all packaging waste will be recycled, of which specific targets are:</w:t>
      </w:r>
    </w:p>
    <w:p w14:paraId="07E49F3C" w14:textId="77777777" w:rsidR="00560B59" w:rsidRPr="00560B59" w:rsidRDefault="00560B59" w:rsidP="00560B59">
      <w:pPr>
        <w:numPr>
          <w:ilvl w:val="3"/>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55 % of plastic;</w:t>
      </w:r>
    </w:p>
    <w:p w14:paraId="68BD79F7" w14:textId="77777777" w:rsidR="00560B59" w:rsidRPr="00560B59" w:rsidRDefault="00560B59" w:rsidP="00560B59">
      <w:pPr>
        <w:numPr>
          <w:ilvl w:val="3"/>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30 % of wood;</w:t>
      </w:r>
    </w:p>
    <w:p w14:paraId="47FCE946" w14:textId="77777777" w:rsidR="00560B59" w:rsidRPr="00560B59" w:rsidRDefault="00560B59" w:rsidP="00560B59">
      <w:pPr>
        <w:numPr>
          <w:ilvl w:val="3"/>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80 % of ferrous metals;</w:t>
      </w:r>
    </w:p>
    <w:p w14:paraId="4C8DF586" w14:textId="77777777" w:rsidR="00560B59" w:rsidRPr="00560B59" w:rsidRDefault="00560B59" w:rsidP="00560B59">
      <w:pPr>
        <w:numPr>
          <w:ilvl w:val="3"/>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60 % of aluminium;</w:t>
      </w:r>
    </w:p>
    <w:p w14:paraId="7D110060" w14:textId="77777777" w:rsidR="00560B59" w:rsidRPr="00560B59" w:rsidRDefault="00560B59" w:rsidP="00560B59">
      <w:pPr>
        <w:numPr>
          <w:ilvl w:val="3"/>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75 % of glass;</w:t>
      </w:r>
    </w:p>
    <w:p w14:paraId="104855E5" w14:textId="77777777" w:rsidR="00560B59" w:rsidRPr="00560B59" w:rsidRDefault="00560B59" w:rsidP="00560B59">
      <w:pPr>
        <w:numPr>
          <w:ilvl w:val="3"/>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85 % of paper and cardboard.</w:t>
      </w:r>
    </w:p>
    <w:p w14:paraId="4213DEC6" w14:textId="2662EB0F" w:rsid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For the calculation of the targets, MS may decide to for a given year by taking into account reusable but no more than 5%.</w:t>
      </w:r>
    </w:p>
    <w:p w14:paraId="3BE06C27" w14:textId="1F6DA063" w:rsidR="00560B59" w:rsidRDefault="00560B59" w:rsidP="00560B59">
      <w:pPr>
        <w:spacing w:line="240" w:lineRule="auto"/>
        <w:ind w:left="1440"/>
        <w:jc w:val="both"/>
        <w:rPr>
          <w:rFonts w:asciiTheme="majorHAnsi" w:eastAsia="Times New Roman" w:hAnsiTheme="majorHAnsi" w:cstheme="majorHAnsi"/>
          <w:color w:val="132A52" w:themeColor="background2" w:themeShade="80"/>
          <w:sz w:val="22"/>
          <w:lang w:val="en-US"/>
        </w:rPr>
      </w:pPr>
    </w:p>
    <w:p w14:paraId="4BAEB401" w14:textId="083C737E" w:rsidR="00CA29F0" w:rsidRDefault="00CA29F0" w:rsidP="00560B59">
      <w:pPr>
        <w:spacing w:line="240" w:lineRule="auto"/>
        <w:ind w:left="1440"/>
        <w:jc w:val="both"/>
        <w:rPr>
          <w:rFonts w:asciiTheme="majorHAnsi" w:eastAsia="Times New Roman" w:hAnsiTheme="majorHAnsi" w:cstheme="majorHAnsi"/>
          <w:color w:val="132A52" w:themeColor="background2" w:themeShade="80"/>
          <w:sz w:val="22"/>
          <w:lang w:val="en-US"/>
        </w:rPr>
      </w:pPr>
    </w:p>
    <w:p w14:paraId="6853FDB9" w14:textId="4DCE6E36" w:rsidR="00CA29F0" w:rsidRDefault="00CA29F0" w:rsidP="00560B59">
      <w:pPr>
        <w:spacing w:line="240" w:lineRule="auto"/>
        <w:ind w:left="1440"/>
        <w:jc w:val="both"/>
        <w:rPr>
          <w:rFonts w:asciiTheme="majorHAnsi" w:eastAsia="Times New Roman" w:hAnsiTheme="majorHAnsi" w:cstheme="majorHAnsi"/>
          <w:color w:val="132A52" w:themeColor="background2" w:themeShade="80"/>
          <w:sz w:val="22"/>
          <w:lang w:val="en-US"/>
        </w:rPr>
      </w:pPr>
    </w:p>
    <w:p w14:paraId="0366E6A3" w14:textId="77777777" w:rsidR="00CA29F0" w:rsidRPr="00560B59" w:rsidRDefault="00CA29F0" w:rsidP="00560B59">
      <w:pPr>
        <w:spacing w:line="240" w:lineRule="auto"/>
        <w:ind w:left="1440"/>
        <w:jc w:val="both"/>
        <w:rPr>
          <w:rFonts w:asciiTheme="majorHAnsi" w:eastAsia="Times New Roman" w:hAnsiTheme="majorHAnsi" w:cstheme="majorHAnsi"/>
          <w:color w:val="132A52" w:themeColor="background2" w:themeShade="80"/>
          <w:sz w:val="22"/>
          <w:lang w:val="en-US"/>
        </w:rPr>
      </w:pPr>
    </w:p>
    <w:p w14:paraId="0F562EB2" w14:textId="77777777" w:rsidR="00560B59" w:rsidRPr="00560B59" w:rsidRDefault="00560B59" w:rsidP="00560B59">
      <w:pPr>
        <w:spacing w:line="240" w:lineRule="auto"/>
        <w:ind w:left="1440"/>
        <w:jc w:val="both"/>
        <w:rPr>
          <w:rFonts w:asciiTheme="majorHAnsi" w:eastAsia="Calibri" w:hAnsiTheme="majorHAnsi" w:cstheme="majorHAnsi"/>
          <w:color w:val="132A52" w:themeColor="background2" w:themeShade="80"/>
          <w:sz w:val="22"/>
          <w:lang w:val="en-US"/>
        </w:rPr>
      </w:pPr>
    </w:p>
    <w:p w14:paraId="784A1131" w14:textId="01C85532" w:rsidR="00560B59" w:rsidRDefault="00560B59" w:rsidP="00560B59">
      <w:pPr>
        <w:numPr>
          <w:ilvl w:val="0"/>
          <w:numId w:val="25"/>
        </w:numPr>
        <w:spacing w:line="240" w:lineRule="auto"/>
        <w:jc w:val="both"/>
        <w:rPr>
          <w:rFonts w:asciiTheme="majorHAnsi" w:eastAsia="Times New Roman" w:hAnsiTheme="majorHAnsi" w:cstheme="majorHAnsi"/>
          <w:b/>
          <w:bCs/>
          <w:color w:val="132A52" w:themeColor="background2" w:themeShade="80"/>
          <w:sz w:val="22"/>
          <w:lang w:val="en-US"/>
        </w:rPr>
      </w:pPr>
      <w:r w:rsidRPr="00560B59">
        <w:rPr>
          <w:rFonts w:asciiTheme="majorHAnsi" w:eastAsia="Times New Roman" w:hAnsiTheme="majorHAnsi" w:cstheme="majorHAnsi"/>
          <w:b/>
          <w:bCs/>
          <w:color w:val="132A52" w:themeColor="background2" w:themeShade="80"/>
          <w:sz w:val="22"/>
          <w:lang w:val="en-US"/>
        </w:rPr>
        <w:lastRenderedPageBreak/>
        <w:t>Recycled content targets (article 7):</w:t>
      </w:r>
    </w:p>
    <w:p w14:paraId="7D790287" w14:textId="77777777" w:rsidR="00560B59" w:rsidRPr="00560B59" w:rsidRDefault="00560B59" w:rsidP="00560B59">
      <w:pPr>
        <w:spacing w:line="240" w:lineRule="auto"/>
        <w:ind w:left="720"/>
        <w:jc w:val="both"/>
        <w:rPr>
          <w:rFonts w:asciiTheme="majorHAnsi" w:eastAsia="Times New Roman" w:hAnsiTheme="majorHAnsi" w:cstheme="majorHAnsi"/>
          <w:b/>
          <w:bCs/>
          <w:color w:val="132A52" w:themeColor="background2" w:themeShade="80"/>
          <w:sz w:val="22"/>
          <w:lang w:val="en-US"/>
        </w:rPr>
      </w:pPr>
    </w:p>
    <w:p w14:paraId="4C827D49"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Targets should be set on economic operators rather than MS</w:t>
      </w:r>
    </w:p>
    <w:p w14:paraId="450D365B"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rPr>
      </w:pPr>
      <w:r w:rsidRPr="00560B59">
        <w:rPr>
          <w:rFonts w:asciiTheme="majorHAnsi" w:eastAsia="Times New Roman" w:hAnsiTheme="majorHAnsi" w:cstheme="majorHAnsi"/>
          <w:i/>
          <w:iCs/>
          <w:color w:val="132A52" w:themeColor="background2" w:themeShade="80"/>
          <w:sz w:val="22"/>
          <w:bdr w:val="none" w:sz="0" w:space="0" w:color="auto" w:frame="1"/>
          <w:lang w:val="en-US" w:eastAsia="en-GB"/>
        </w:rPr>
        <w:t xml:space="preserve">It </w:t>
      </w:r>
      <w:r w:rsidRPr="00560B59">
        <w:rPr>
          <w:rFonts w:asciiTheme="majorHAnsi" w:eastAsia="Times New Roman" w:hAnsiTheme="majorHAnsi" w:cstheme="majorHAnsi"/>
          <w:color w:val="132A52" w:themeColor="background2" w:themeShade="80"/>
          <w:sz w:val="22"/>
          <w:bdr w:val="none" w:sz="0" w:space="0" w:color="auto" w:frame="1"/>
          <w:lang w:eastAsia="en-GB"/>
        </w:rPr>
        <w:t xml:space="preserve">requires that, as of 1 January 2030, plastic packaging shall contain certain minimum amount of recycled content </w:t>
      </w:r>
      <w:r w:rsidRPr="00560B59">
        <w:rPr>
          <w:rFonts w:asciiTheme="majorHAnsi" w:eastAsia="Times New Roman" w:hAnsiTheme="majorHAnsi" w:cstheme="majorHAnsi"/>
          <w:color w:val="132A52" w:themeColor="background2" w:themeShade="80"/>
          <w:sz w:val="22"/>
          <w:lang/>
        </w:rPr>
        <w:t xml:space="preserve">recovered </w:t>
      </w:r>
      <w:r w:rsidRPr="00560B59">
        <w:rPr>
          <w:rFonts w:asciiTheme="majorHAnsi" w:eastAsia="Times New Roman" w:hAnsiTheme="majorHAnsi" w:cstheme="majorHAnsi"/>
          <w:b/>
          <w:bCs/>
          <w:color w:val="132A52" w:themeColor="background2" w:themeShade="80"/>
          <w:sz w:val="22"/>
          <w:lang/>
        </w:rPr>
        <w:t xml:space="preserve">from </w:t>
      </w:r>
      <w:r w:rsidRPr="00560B59">
        <w:rPr>
          <w:rFonts w:asciiTheme="majorHAnsi" w:eastAsia="Times New Roman" w:hAnsiTheme="majorHAnsi" w:cstheme="majorHAnsi"/>
          <w:b/>
          <w:bCs/>
          <w:color w:val="132A52" w:themeColor="background2" w:themeShade="80"/>
          <w:sz w:val="22"/>
          <w:lang w:val="en-US"/>
        </w:rPr>
        <w:t>post-consumer plastic waste</w:t>
      </w:r>
      <w:r w:rsidRPr="00560B59">
        <w:rPr>
          <w:rFonts w:asciiTheme="majorHAnsi" w:eastAsia="Times New Roman" w:hAnsiTheme="majorHAnsi" w:cstheme="majorHAnsi"/>
          <w:color w:val="132A52" w:themeColor="background2" w:themeShade="80"/>
          <w:sz w:val="22"/>
          <w:lang/>
        </w:rPr>
        <w:t>,</w:t>
      </w:r>
      <w:r w:rsidRPr="00560B59">
        <w:rPr>
          <w:rFonts w:asciiTheme="majorHAnsi" w:eastAsia="Times New Roman" w:hAnsiTheme="majorHAnsi" w:cstheme="majorHAnsi"/>
          <w:color w:val="132A52" w:themeColor="background2" w:themeShade="80"/>
          <w:sz w:val="22"/>
          <w:lang w:val="en-US"/>
        </w:rPr>
        <w:t xml:space="preserve"> per unit </w:t>
      </w:r>
      <w:r w:rsidRPr="00560B59">
        <w:rPr>
          <w:rFonts w:asciiTheme="majorHAnsi" w:eastAsia="Times New Roman" w:hAnsiTheme="majorHAnsi" w:cstheme="majorHAnsi"/>
          <w:color w:val="132A52" w:themeColor="background2" w:themeShade="80"/>
          <w:sz w:val="22"/>
          <w:lang/>
        </w:rPr>
        <w:t>of plastic packaging</w:t>
      </w:r>
      <w:r w:rsidRPr="00560B59">
        <w:rPr>
          <w:rFonts w:asciiTheme="majorHAnsi" w:eastAsia="Times New Roman" w:hAnsiTheme="majorHAnsi" w:cstheme="majorHAnsi"/>
          <w:color w:val="132A52" w:themeColor="background2" w:themeShade="80"/>
          <w:sz w:val="22"/>
          <w:bdr w:val="none" w:sz="0" w:space="0" w:color="auto" w:frame="1"/>
          <w:lang w:eastAsia="en-GB"/>
        </w:rPr>
        <w:t xml:space="preserve">. </w:t>
      </w:r>
    </w:p>
    <w:p w14:paraId="26EB1CEC"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rPr>
      </w:pPr>
      <w:r w:rsidRPr="00560B59">
        <w:rPr>
          <w:rFonts w:asciiTheme="majorHAnsi" w:eastAsia="Times New Roman" w:hAnsiTheme="majorHAnsi" w:cstheme="majorHAnsi"/>
          <w:color w:val="132A52" w:themeColor="background2" w:themeShade="80"/>
          <w:sz w:val="22"/>
          <w:bdr w:val="none" w:sz="0" w:space="0" w:color="auto" w:frame="1"/>
          <w:lang w:eastAsia="en-GB"/>
        </w:rPr>
        <w:t xml:space="preserve">These amounts shall increase by 1 January 2040. </w:t>
      </w:r>
    </w:p>
    <w:p w14:paraId="24C157BD"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rPr>
      </w:pPr>
      <w:r w:rsidRPr="00560B59">
        <w:rPr>
          <w:rFonts w:asciiTheme="majorHAnsi" w:eastAsia="Times New Roman" w:hAnsiTheme="majorHAnsi" w:cstheme="majorHAnsi"/>
          <w:color w:val="132A52" w:themeColor="background2" w:themeShade="80"/>
          <w:sz w:val="22"/>
          <w:lang w:val="en-US"/>
        </w:rPr>
        <w:t xml:space="preserve">The Commission will adopt an implementing </w:t>
      </w:r>
      <w:r w:rsidRPr="00560B59">
        <w:rPr>
          <w:rFonts w:asciiTheme="majorHAnsi" w:eastAsia="Times New Roman" w:hAnsiTheme="majorHAnsi" w:cstheme="majorHAnsi"/>
          <w:b/>
          <w:bCs/>
          <w:color w:val="132A52" w:themeColor="background2" w:themeShade="80"/>
          <w:sz w:val="22"/>
          <w:lang w:val="en-US"/>
        </w:rPr>
        <w:t>act</w:t>
      </w:r>
      <w:r w:rsidRPr="00560B59">
        <w:rPr>
          <w:rFonts w:asciiTheme="majorHAnsi" w:eastAsia="Times New Roman" w:hAnsiTheme="majorHAnsi" w:cstheme="majorHAnsi"/>
          <w:b/>
          <w:bCs/>
          <w:color w:val="132A52" w:themeColor="background2" w:themeShade="80"/>
          <w:sz w:val="22"/>
          <w:lang/>
        </w:rPr>
        <w:t xml:space="preserve"> to establish the methodology for the calculation of the percentage of recycled </w:t>
      </w:r>
      <w:r w:rsidRPr="00560B59">
        <w:rPr>
          <w:rFonts w:asciiTheme="majorHAnsi" w:eastAsia="Times New Roman" w:hAnsiTheme="majorHAnsi" w:cstheme="majorHAnsi"/>
          <w:b/>
          <w:bCs/>
          <w:color w:val="132A52" w:themeColor="background2" w:themeShade="80"/>
          <w:sz w:val="22"/>
          <w:lang w:val="en-US"/>
        </w:rPr>
        <w:t>content by 31/12/2026</w:t>
      </w:r>
      <w:r w:rsidRPr="00560B59">
        <w:rPr>
          <w:rFonts w:asciiTheme="majorHAnsi" w:eastAsia="Times New Roman" w:hAnsiTheme="majorHAnsi" w:cstheme="majorHAnsi"/>
          <w:color w:val="132A52" w:themeColor="background2" w:themeShade="80"/>
          <w:sz w:val="22"/>
          <w:lang/>
        </w:rPr>
        <w:t xml:space="preserve">. </w:t>
      </w:r>
      <w:r w:rsidRPr="00560B59">
        <w:rPr>
          <w:rFonts w:asciiTheme="majorHAnsi" w:eastAsia="Times New Roman" w:hAnsiTheme="majorHAnsi" w:cstheme="majorHAnsi"/>
          <w:color w:val="132A52" w:themeColor="background2" w:themeShade="80"/>
          <w:sz w:val="22"/>
          <w:bdr w:val="none" w:sz="0" w:space="0" w:color="auto" w:frame="1"/>
          <w:lang w:eastAsia="en-GB"/>
        </w:rPr>
        <w:t xml:space="preserve">This provision also empowers the Commission to adopt delegated acts to amend the minimum percentage of recycled content recovered from post-consumer plastic waste. </w:t>
      </w:r>
    </w:p>
    <w:p w14:paraId="284FA482"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 xml:space="preserve">From 1/1/30, </w:t>
      </w:r>
      <w:r w:rsidRPr="00560B59">
        <w:rPr>
          <w:rFonts w:asciiTheme="majorHAnsi" w:eastAsia="Times New Roman" w:hAnsiTheme="majorHAnsi" w:cstheme="majorHAnsi"/>
          <w:b/>
          <w:bCs/>
          <w:color w:val="132A52" w:themeColor="background2" w:themeShade="80"/>
          <w:sz w:val="22"/>
          <w:lang w:val="en-US"/>
        </w:rPr>
        <w:t>minimum percentage of recycled content</w:t>
      </w:r>
      <w:r w:rsidRPr="00560B59">
        <w:rPr>
          <w:rFonts w:asciiTheme="majorHAnsi" w:eastAsia="Times New Roman" w:hAnsiTheme="majorHAnsi" w:cstheme="majorHAnsi"/>
          <w:color w:val="132A52" w:themeColor="background2" w:themeShade="80"/>
          <w:sz w:val="22"/>
          <w:lang w:val="en-US"/>
        </w:rPr>
        <w:t xml:space="preserve"> are:</w:t>
      </w:r>
    </w:p>
    <w:p w14:paraId="1266E792" w14:textId="77777777" w:rsidR="00560B59" w:rsidRPr="00560B59" w:rsidRDefault="00560B59" w:rsidP="00560B59">
      <w:pPr>
        <w:numPr>
          <w:ilvl w:val="2"/>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25% for contact sensitive plastic packaging (50% by 2040)</w:t>
      </w:r>
    </w:p>
    <w:p w14:paraId="10CE8570" w14:textId="77777777" w:rsidR="00560B59" w:rsidRPr="00560B59" w:rsidRDefault="00560B59" w:rsidP="00560B59">
      <w:pPr>
        <w:numPr>
          <w:ilvl w:val="2"/>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50% for single use plastic beverages bottles (65% by 2040)</w:t>
      </w:r>
    </w:p>
    <w:p w14:paraId="5DE1D268" w14:textId="77777777" w:rsidR="00560B59" w:rsidRPr="00560B59" w:rsidRDefault="00560B59" w:rsidP="00560B59">
      <w:pPr>
        <w:numPr>
          <w:ilvl w:val="2"/>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45% for other packaging (65% by 2040)</w:t>
      </w:r>
    </w:p>
    <w:p w14:paraId="3B51CCE1" w14:textId="2BA1D582" w:rsidR="00560B59" w:rsidRDefault="00560B59" w:rsidP="00560B59">
      <w:pPr>
        <w:spacing w:line="240" w:lineRule="auto"/>
        <w:ind w:left="2160"/>
        <w:jc w:val="both"/>
        <w:rPr>
          <w:rFonts w:asciiTheme="majorHAnsi" w:eastAsia="Calibri" w:hAnsiTheme="majorHAnsi" w:cstheme="majorHAnsi"/>
          <w:color w:val="132A52" w:themeColor="background2" w:themeShade="80"/>
          <w:sz w:val="22"/>
          <w:lang w:val="en-US"/>
        </w:rPr>
      </w:pPr>
    </w:p>
    <w:p w14:paraId="7A889EAF" w14:textId="77777777" w:rsidR="00560B59" w:rsidRPr="00560B59" w:rsidRDefault="00560B59" w:rsidP="00560B59">
      <w:pPr>
        <w:spacing w:line="240" w:lineRule="auto"/>
        <w:ind w:left="2160"/>
        <w:jc w:val="both"/>
        <w:rPr>
          <w:rFonts w:asciiTheme="majorHAnsi" w:eastAsia="Calibri" w:hAnsiTheme="majorHAnsi" w:cstheme="majorHAnsi"/>
          <w:color w:val="132A52" w:themeColor="background2" w:themeShade="80"/>
          <w:sz w:val="22"/>
          <w:lang w:val="en-US"/>
        </w:rPr>
      </w:pPr>
    </w:p>
    <w:p w14:paraId="4C2D9932" w14:textId="663CA432" w:rsidR="00560B59" w:rsidRDefault="00560B59" w:rsidP="00560B59">
      <w:pPr>
        <w:numPr>
          <w:ilvl w:val="0"/>
          <w:numId w:val="25"/>
        </w:numPr>
        <w:spacing w:line="240" w:lineRule="auto"/>
        <w:jc w:val="both"/>
        <w:rPr>
          <w:rFonts w:asciiTheme="majorHAnsi" w:eastAsia="Times New Roman" w:hAnsiTheme="majorHAnsi" w:cstheme="majorHAnsi"/>
          <w:b/>
          <w:bCs/>
          <w:color w:val="132A52" w:themeColor="background2" w:themeShade="80"/>
          <w:sz w:val="22"/>
          <w:lang w:val="en-US"/>
        </w:rPr>
      </w:pPr>
      <w:r w:rsidRPr="00560B59">
        <w:rPr>
          <w:rFonts w:asciiTheme="majorHAnsi" w:eastAsia="Times New Roman" w:hAnsiTheme="majorHAnsi" w:cstheme="majorHAnsi"/>
          <w:b/>
          <w:bCs/>
          <w:color w:val="132A52" w:themeColor="background2" w:themeShade="80"/>
          <w:sz w:val="22"/>
          <w:lang w:val="en-US"/>
        </w:rPr>
        <w:t>Compostable packaging (Article 8 + Annex III)</w:t>
      </w:r>
    </w:p>
    <w:p w14:paraId="3F73FF7C" w14:textId="77777777" w:rsidR="00560B59" w:rsidRPr="00560B59" w:rsidRDefault="00560B59" w:rsidP="00560B59">
      <w:pPr>
        <w:spacing w:line="240" w:lineRule="auto"/>
        <w:ind w:left="720"/>
        <w:jc w:val="both"/>
        <w:rPr>
          <w:rFonts w:asciiTheme="majorHAnsi" w:eastAsia="Times New Roman" w:hAnsiTheme="majorHAnsi" w:cstheme="majorHAnsi"/>
          <w:b/>
          <w:bCs/>
          <w:color w:val="132A52" w:themeColor="background2" w:themeShade="80"/>
          <w:sz w:val="22"/>
          <w:lang w:val="en-US"/>
        </w:rPr>
      </w:pPr>
    </w:p>
    <w:p w14:paraId="0C5AFB9E"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rPr>
        <w:t>In order to be considered compostable packaging shall be capable of undergoing physical, chemical, thermal or biological decomposition such that most of the finished compost ultimately decomposes into carbon dioxide, biomass and water,</w:t>
      </w:r>
    </w:p>
    <w:p w14:paraId="197397D2" w14:textId="77777777" w:rsidR="00560B59" w:rsidRPr="00560B59" w:rsidRDefault="00560B59" w:rsidP="00560B59">
      <w:pPr>
        <w:numPr>
          <w:ilvl w:val="1"/>
          <w:numId w:val="25"/>
        </w:numPr>
        <w:spacing w:line="240" w:lineRule="auto"/>
        <w:jc w:val="both"/>
        <w:rPr>
          <w:rFonts w:asciiTheme="majorHAnsi" w:eastAsia="Calibri" w:hAnsiTheme="majorHAnsi" w:cstheme="majorHAnsi"/>
          <w:color w:val="132A52" w:themeColor="background2" w:themeShade="80"/>
          <w:sz w:val="22"/>
          <w:lang/>
        </w:rPr>
      </w:pPr>
      <w:r w:rsidRPr="00560B59">
        <w:rPr>
          <w:rFonts w:asciiTheme="majorHAnsi" w:eastAsia="Times New Roman" w:hAnsiTheme="majorHAnsi" w:cstheme="majorHAnsi"/>
          <w:color w:val="132A52" w:themeColor="background2" w:themeShade="80"/>
          <w:sz w:val="22"/>
          <w:lang/>
        </w:rPr>
        <w:t xml:space="preserve">By </w:t>
      </w:r>
      <w:r w:rsidRPr="00560B59">
        <w:rPr>
          <w:rFonts w:asciiTheme="majorHAnsi" w:eastAsia="Times New Roman" w:hAnsiTheme="majorHAnsi" w:cstheme="majorHAnsi"/>
          <w:color w:val="132A52" w:themeColor="background2" w:themeShade="80"/>
          <w:sz w:val="22"/>
          <w:lang w:val="en-US"/>
        </w:rPr>
        <w:t xml:space="preserve">2 years </w:t>
      </w:r>
      <w:r w:rsidRPr="00560B59">
        <w:rPr>
          <w:rFonts w:asciiTheme="majorHAnsi" w:eastAsia="Times New Roman" w:hAnsiTheme="majorHAnsi" w:cstheme="majorHAnsi"/>
          <w:color w:val="132A52" w:themeColor="background2" w:themeShade="80"/>
          <w:sz w:val="22"/>
          <w:lang/>
        </w:rPr>
        <w:t>from the entry into force, tea bags, filter coffee pods disposed together with the used coffee products, sticky labels attached to fruit and vegetables and very lightweight plastic carrier bags shall be compostable in industrially controlled conditions in bio-waste treatment facilitie</w:t>
      </w:r>
      <w:r w:rsidRPr="00560B59">
        <w:rPr>
          <w:rFonts w:asciiTheme="majorHAnsi" w:eastAsia="Times New Roman" w:hAnsiTheme="majorHAnsi" w:cstheme="majorHAnsi"/>
          <w:color w:val="132A52" w:themeColor="background2" w:themeShade="80"/>
          <w:sz w:val="22"/>
          <w:lang w:val="en-US"/>
        </w:rPr>
        <w:t xml:space="preserve">s </w:t>
      </w:r>
    </w:p>
    <w:p w14:paraId="02940858"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In addition, within 2 years from the entry into force, other packaging beside the above-mentioned ones shall not be manufactured from compostable plastic polymers</w:t>
      </w:r>
    </w:p>
    <w:p w14:paraId="0410BC2A" w14:textId="601D1269" w:rsid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The Annex lists the conditions of use</w:t>
      </w:r>
    </w:p>
    <w:p w14:paraId="5658223B" w14:textId="77777777" w:rsidR="00560B59" w:rsidRPr="00560B59" w:rsidRDefault="00560B59" w:rsidP="00560B59">
      <w:pPr>
        <w:spacing w:line="240" w:lineRule="auto"/>
        <w:ind w:left="1440"/>
        <w:jc w:val="both"/>
        <w:rPr>
          <w:rFonts w:asciiTheme="majorHAnsi" w:eastAsia="Times New Roman" w:hAnsiTheme="majorHAnsi" w:cstheme="majorHAnsi"/>
          <w:color w:val="132A52" w:themeColor="background2" w:themeShade="80"/>
          <w:sz w:val="22"/>
          <w:lang w:val="en-US"/>
        </w:rPr>
      </w:pPr>
    </w:p>
    <w:p w14:paraId="110F4079" w14:textId="77777777" w:rsidR="00560B59" w:rsidRPr="00560B59" w:rsidRDefault="00560B59" w:rsidP="00560B59">
      <w:pPr>
        <w:spacing w:line="240" w:lineRule="auto"/>
        <w:ind w:left="1440"/>
        <w:jc w:val="both"/>
        <w:rPr>
          <w:rFonts w:asciiTheme="majorHAnsi" w:eastAsia="Calibri" w:hAnsiTheme="majorHAnsi" w:cstheme="majorHAnsi"/>
          <w:color w:val="132A52" w:themeColor="background2" w:themeShade="80"/>
          <w:sz w:val="22"/>
          <w:lang w:val="en-US"/>
        </w:rPr>
      </w:pPr>
    </w:p>
    <w:p w14:paraId="112928AF" w14:textId="1176CD04" w:rsidR="00560B59" w:rsidRPr="00560B59" w:rsidRDefault="00560B59" w:rsidP="00560B59">
      <w:pPr>
        <w:numPr>
          <w:ilvl w:val="0"/>
          <w:numId w:val="25"/>
        </w:numPr>
        <w:spacing w:line="240" w:lineRule="auto"/>
        <w:jc w:val="both"/>
        <w:rPr>
          <w:rFonts w:asciiTheme="majorHAnsi" w:eastAsia="Times New Roman" w:hAnsiTheme="majorHAnsi" w:cstheme="majorHAnsi"/>
          <w:b/>
          <w:bCs/>
          <w:color w:val="132A52" w:themeColor="background2" w:themeShade="80"/>
          <w:sz w:val="22"/>
          <w:lang/>
        </w:rPr>
      </w:pPr>
      <w:r w:rsidRPr="00560B59">
        <w:rPr>
          <w:rFonts w:asciiTheme="majorHAnsi" w:eastAsia="Times New Roman" w:hAnsiTheme="majorHAnsi" w:cstheme="majorHAnsi"/>
          <w:b/>
          <w:bCs/>
          <w:color w:val="132A52" w:themeColor="background2" w:themeShade="80"/>
          <w:sz w:val="22"/>
          <w:lang w:val="en-US"/>
        </w:rPr>
        <w:t>Packaging minimization (Article 9 + Annex IV on performance criteria for packaging minimisation)</w:t>
      </w:r>
    </w:p>
    <w:p w14:paraId="15A3C75B" w14:textId="77777777" w:rsidR="00560B59" w:rsidRPr="00560B59" w:rsidRDefault="00560B59" w:rsidP="00560B59">
      <w:pPr>
        <w:spacing w:line="240" w:lineRule="auto"/>
        <w:ind w:left="720"/>
        <w:jc w:val="both"/>
        <w:rPr>
          <w:rFonts w:asciiTheme="majorHAnsi" w:eastAsia="Times New Roman" w:hAnsiTheme="majorHAnsi" w:cstheme="majorHAnsi"/>
          <w:b/>
          <w:bCs/>
          <w:color w:val="132A52" w:themeColor="background2" w:themeShade="80"/>
          <w:sz w:val="22"/>
          <w:lang/>
        </w:rPr>
      </w:pPr>
    </w:p>
    <w:p w14:paraId="730A77C8"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bdr w:val="none" w:sz="0" w:space="0" w:color="auto" w:frame="1"/>
          <w:lang w:val="en-US" w:eastAsia="en-GB"/>
        </w:rPr>
        <w:t>It</w:t>
      </w:r>
      <w:r w:rsidRPr="00560B59">
        <w:rPr>
          <w:rFonts w:asciiTheme="majorHAnsi" w:eastAsia="Times New Roman" w:hAnsiTheme="majorHAnsi" w:cstheme="majorHAnsi"/>
          <w:color w:val="132A52" w:themeColor="background2" w:themeShade="80"/>
          <w:sz w:val="22"/>
          <w:bdr w:val="none" w:sz="0" w:space="0" w:color="auto" w:frame="1"/>
          <w:lang w:eastAsia="en-GB"/>
        </w:rPr>
        <w:t xml:space="preserve"> requires that</w:t>
      </w:r>
      <w:r w:rsidRPr="00560B59">
        <w:rPr>
          <w:rFonts w:asciiTheme="majorHAnsi" w:eastAsia="Times New Roman" w:hAnsiTheme="majorHAnsi" w:cstheme="majorHAnsi"/>
          <w:color w:val="132A52" w:themeColor="background2" w:themeShade="80"/>
          <w:sz w:val="22"/>
          <w:bdr w:val="none" w:sz="0" w:space="0" w:color="auto" w:frame="1"/>
          <w:lang w:val="en-US" w:eastAsia="en-GB"/>
        </w:rPr>
        <w:t xml:space="preserve">, </w:t>
      </w:r>
      <w:r w:rsidRPr="00560B59">
        <w:rPr>
          <w:rFonts w:asciiTheme="majorHAnsi" w:eastAsia="Times New Roman" w:hAnsiTheme="majorHAnsi" w:cstheme="majorHAnsi"/>
          <w:color w:val="132A52" w:themeColor="background2" w:themeShade="80"/>
          <w:sz w:val="22"/>
          <w:bdr w:val="none" w:sz="0" w:space="0" w:color="auto" w:frame="1"/>
          <w:lang w:eastAsia="en-GB"/>
        </w:rPr>
        <w:t xml:space="preserve">the weight, volume and layers of </w:t>
      </w:r>
      <w:r w:rsidRPr="00560B59">
        <w:rPr>
          <w:rFonts w:asciiTheme="majorHAnsi" w:eastAsia="Times New Roman" w:hAnsiTheme="majorHAnsi" w:cstheme="majorHAnsi"/>
          <w:color w:val="132A52" w:themeColor="background2" w:themeShade="80"/>
          <w:sz w:val="22"/>
          <w:bdr w:val="none" w:sz="0" w:space="0" w:color="auto" w:frame="1"/>
          <w:lang w:val="en-US" w:eastAsia="en-GB"/>
        </w:rPr>
        <w:t xml:space="preserve">each unit of packaging </w:t>
      </w:r>
      <w:r w:rsidRPr="00560B59">
        <w:rPr>
          <w:rFonts w:asciiTheme="majorHAnsi" w:eastAsia="Times New Roman" w:hAnsiTheme="majorHAnsi" w:cstheme="majorHAnsi"/>
          <w:color w:val="132A52" w:themeColor="background2" w:themeShade="80"/>
          <w:sz w:val="22"/>
          <w:bdr w:val="none" w:sz="0" w:space="0" w:color="auto" w:frame="1"/>
          <w:lang w:eastAsia="en-GB"/>
        </w:rPr>
        <w:t>packaging shall be minimised</w:t>
      </w:r>
      <w:r w:rsidRPr="00560B59">
        <w:rPr>
          <w:rFonts w:asciiTheme="majorHAnsi" w:eastAsia="Times New Roman" w:hAnsiTheme="majorHAnsi" w:cstheme="majorHAnsi"/>
          <w:color w:val="132A52" w:themeColor="background2" w:themeShade="80"/>
          <w:sz w:val="22"/>
          <w:lang/>
        </w:rPr>
        <w:t xml:space="preserve"> with due account taken of the packaging’s safety and functionality</w:t>
      </w:r>
      <w:r w:rsidRPr="00560B59">
        <w:rPr>
          <w:rFonts w:asciiTheme="majorHAnsi" w:eastAsia="Times New Roman" w:hAnsiTheme="majorHAnsi" w:cstheme="majorHAnsi"/>
          <w:color w:val="132A52" w:themeColor="background2" w:themeShade="80"/>
          <w:sz w:val="22"/>
          <w:bdr w:val="none" w:sz="0" w:space="0" w:color="auto" w:frame="1"/>
          <w:lang w:val="en-US" w:eastAsia="en-GB"/>
        </w:rPr>
        <w:t xml:space="preserve"> by January 2030.</w:t>
      </w:r>
    </w:p>
    <w:p w14:paraId="73A230AC"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bdr w:val="none" w:sz="0" w:space="0" w:color="auto" w:frame="1"/>
          <w:lang w:eastAsia="en-GB"/>
        </w:rPr>
        <w:t xml:space="preserve">Thresholds for sales packaging in certain sectors, grouped packaging and transport packaging are laid down </w:t>
      </w:r>
      <w:r w:rsidRPr="00560B59">
        <w:rPr>
          <w:rFonts w:asciiTheme="majorHAnsi" w:eastAsia="Times New Roman" w:hAnsiTheme="majorHAnsi" w:cstheme="majorHAnsi"/>
          <w:i/>
          <w:iCs/>
          <w:color w:val="132A52" w:themeColor="background2" w:themeShade="80"/>
          <w:sz w:val="22"/>
          <w:bdr w:val="none" w:sz="0" w:space="0" w:color="auto" w:frame="1"/>
          <w:lang w:val="en-US" w:eastAsia="en-GB"/>
        </w:rPr>
        <w:t>Article 9.2(a)</w:t>
      </w:r>
    </w:p>
    <w:p w14:paraId="30322634"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bdr w:val="none" w:sz="0" w:space="0" w:color="auto" w:frame="1"/>
          <w:lang w:eastAsia="en-GB"/>
        </w:rPr>
        <w:t xml:space="preserve">The compliance include assessment under the performance criteria set out in Annex IV. Compared to the current standard, the list of performance criteria no longer includes marketing and consumer acceptance. </w:t>
      </w:r>
    </w:p>
    <w:p w14:paraId="0EF06C24" w14:textId="4723AAAD"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P</w:t>
      </w:r>
      <w:r w:rsidRPr="00560B59">
        <w:rPr>
          <w:rFonts w:asciiTheme="majorHAnsi" w:eastAsia="Times New Roman" w:hAnsiTheme="majorHAnsi" w:cstheme="majorHAnsi"/>
          <w:color w:val="132A52" w:themeColor="background2" w:themeShade="80"/>
          <w:sz w:val="22"/>
          <w:lang/>
        </w:rPr>
        <w:t>ackaging designed to deceive consumers is forbidden</w:t>
      </w:r>
    </w:p>
    <w:p w14:paraId="38714CFD" w14:textId="26DC6128" w:rsidR="00560B59" w:rsidRDefault="00560B59" w:rsidP="00560B59">
      <w:pPr>
        <w:spacing w:line="240" w:lineRule="auto"/>
        <w:ind w:left="1440"/>
        <w:jc w:val="both"/>
        <w:rPr>
          <w:rFonts w:asciiTheme="majorHAnsi" w:eastAsia="Times New Roman" w:hAnsiTheme="majorHAnsi" w:cstheme="majorHAnsi"/>
          <w:color w:val="132A52" w:themeColor="background2" w:themeShade="80"/>
          <w:sz w:val="22"/>
          <w:lang w:val="en-US"/>
        </w:rPr>
      </w:pPr>
    </w:p>
    <w:p w14:paraId="6F87F1ED" w14:textId="77777777" w:rsidR="00560B59" w:rsidRPr="00560B59" w:rsidRDefault="00560B59" w:rsidP="00560B59">
      <w:pPr>
        <w:spacing w:line="240" w:lineRule="auto"/>
        <w:ind w:left="1440"/>
        <w:jc w:val="both"/>
        <w:rPr>
          <w:rFonts w:asciiTheme="majorHAnsi" w:eastAsia="Calibri" w:hAnsiTheme="majorHAnsi" w:cstheme="majorHAnsi"/>
          <w:color w:val="132A52" w:themeColor="background2" w:themeShade="80"/>
          <w:sz w:val="22"/>
          <w:lang w:val="en-US"/>
        </w:rPr>
      </w:pPr>
    </w:p>
    <w:p w14:paraId="6DA34A51" w14:textId="3ED5FD1A" w:rsidR="00560B59" w:rsidRDefault="00560B59" w:rsidP="00560B59">
      <w:pPr>
        <w:numPr>
          <w:ilvl w:val="0"/>
          <w:numId w:val="25"/>
        </w:numPr>
        <w:spacing w:line="240" w:lineRule="auto"/>
        <w:jc w:val="both"/>
        <w:rPr>
          <w:rFonts w:asciiTheme="majorHAnsi" w:eastAsia="Times New Roman" w:hAnsiTheme="majorHAnsi" w:cstheme="majorHAnsi"/>
          <w:b/>
          <w:bCs/>
          <w:color w:val="132A52" w:themeColor="background2" w:themeShade="80"/>
          <w:sz w:val="22"/>
          <w:lang w:val="en-US"/>
        </w:rPr>
      </w:pPr>
      <w:r w:rsidRPr="00560B59">
        <w:rPr>
          <w:rFonts w:asciiTheme="majorHAnsi" w:eastAsia="Times New Roman" w:hAnsiTheme="majorHAnsi" w:cstheme="majorHAnsi"/>
          <w:b/>
          <w:bCs/>
          <w:color w:val="132A52" w:themeColor="background2" w:themeShade="80"/>
          <w:sz w:val="22"/>
          <w:lang w:val="en-US"/>
        </w:rPr>
        <w:t>Restriction of use of packaging (Article 23 + Annex VI)</w:t>
      </w:r>
    </w:p>
    <w:p w14:paraId="325BA404" w14:textId="77777777" w:rsidR="00560B59" w:rsidRPr="00560B59" w:rsidRDefault="00560B59" w:rsidP="00560B59">
      <w:pPr>
        <w:spacing w:line="240" w:lineRule="auto"/>
        <w:ind w:left="720"/>
        <w:jc w:val="both"/>
        <w:rPr>
          <w:rFonts w:asciiTheme="majorHAnsi" w:eastAsia="Times New Roman" w:hAnsiTheme="majorHAnsi" w:cstheme="majorHAnsi"/>
          <w:b/>
          <w:bCs/>
          <w:color w:val="132A52" w:themeColor="background2" w:themeShade="80"/>
          <w:sz w:val="22"/>
          <w:lang w:val="en-US"/>
        </w:rPr>
      </w:pPr>
    </w:p>
    <w:p w14:paraId="26FBD9B9" w14:textId="4ED370F9" w:rsidR="00560B59" w:rsidRPr="00CA29F0" w:rsidRDefault="00560B59" w:rsidP="00CA29F0">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Economic operators shall not place on the market packaging listed in Annex VI (</w:t>
      </w:r>
      <w:r w:rsidRPr="00560B59">
        <w:rPr>
          <w:rFonts w:asciiTheme="majorHAnsi" w:eastAsia="Times New Roman" w:hAnsiTheme="majorHAnsi" w:cstheme="majorHAnsi"/>
          <w:b/>
          <w:bCs/>
          <w:color w:val="132A52" w:themeColor="background2" w:themeShade="80"/>
          <w:sz w:val="22"/>
          <w:u w:val="single"/>
          <w:lang w:val="en-US"/>
        </w:rPr>
        <w:t>unclear by when)</w:t>
      </w:r>
    </w:p>
    <w:p w14:paraId="06612DE6" w14:textId="77777777" w:rsidR="00560B59" w:rsidRPr="00560B59" w:rsidRDefault="00560B59" w:rsidP="00560B59">
      <w:pPr>
        <w:spacing w:line="240" w:lineRule="auto"/>
        <w:ind w:left="1440"/>
        <w:jc w:val="both"/>
        <w:rPr>
          <w:rFonts w:asciiTheme="majorHAnsi" w:eastAsia="Calibri" w:hAnsiTheme="majorHAnsi" w:cstheme="majorHAnsi"/>
          <w:color w:val="132A52" w:themeColor="background2" w:themeShade="80"/>
          <w:sz w:val="22"/>
          <w:lang w:val="en-US"/>
        </w:rPr>
      </w:pPr>
    </w:p>
    <w:p w14:paraId="592A805C" w14:textId="519DB178" w:rsidR="00560B59" w:rsidRDefault="00560B59" w:rsidP="00560B59">
      <w:pPr>
        <w:numPr>
          <w:ilvl w:val="0"/>
          <w:numId w:val="25"/>
        </w:numPr>
        <w:spacing w:line="240" w:lineRule="auto"/>
        <w:jc w:val="both"/>
        <w:rPr>
          <w:rFonts w:asciiTheme="majorHAnsi" w:eastAsia="Times New Roman" w:hAnsiTheme="majorHAnsi" w:cstheme="majorHAnsi"/>
          <w:b/>
          <w:bCs/>
          <w:color w:val="132A52" w:themeColor="background2" w:themeShade="80"/>
          <w:sz w:val="22"/>
          <w:lang w:val="en-US"/>
        </w:rPr>
      </w:pPr>
      <w:r w:rsidRPr="00560B59">
        <w:rPr>
          <w:rFonts w:asciiTheme="majorHAnsi" w:eastAsia="Times New Roman" w:hAnsiTheme="majorHAnsi" w:cstheme="majorHAnsi"/>
          <w:b/>
          <w:bCs/>
          <w:color w:val="132A52" w:themeColor="background2" w:themeShade="80"/>
          <w:sz w:val="22"/>
          <w:lang w:val="en-US"/>
        </w:rPr>
        <w:t>Reusable packaging (Article 24-28 + Annex VII)</w:t>
      </w:r>
    </w:p>
    <w:p w14:paraId="29AE28E1" w14:textId="77777777" w:rsidR="00560B59" w:rsidRPr="00560B59" w:rsidRDefault="00560B59" w:rsidP="00560B59">
      <w:pPr>
        <w:spacing w:line="240" w:lineRule="auto"/>
        <w:ind w:left="720"/>
        <w:jc w:val="both"/>
        <w:rPr>
          <w:rFonts w:asciiTheme="majorHAnsi" w:eastAsia="Times New Roman" w:hAnsiTheme="majorHAnsi" w:cstheme="majorHAnsi"/>
          <w:b/>
          <w:bCs/>
          <w:color w:val="132A52" w:themeColor="background2" w:themeShade="80"/>
          <w:sz w:val="22"/>
          <w:lang w:val="en-US"/>
        </w:rPr>
      </w:pPr>
    </w:p>
    <w:p w14:paraId="4E8B1EEA"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 xml:space="preserve">Responsibility to attain the targets lays on economic operators </w:t>
      </w:r>
    </w:p>
    <w:p w14:paraId="4A2DDA83" w14:textId="77777777" w:rsidR="00560B59" w:rsidRPr="00560B59" w:rsidRDefault="00560B59" w:rsidP="00560B59">
      <w:pPr>
        <w:numPr>
          <w:ilvl w:val="2"/>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Targets are divided by type of packaging, including hot and cold beverages, take-away, alcoholic beverages (excluding wine and spirits), soft drinks, transport packaging, grouped packaging to be achieved between 2030 and 2040.</w:t>
      </w:r>
    </w:p>
    <w:p w14:paraId="5C24B5D2"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Set of general indication for calculation of reuse targets and gives a deadline to 2028 for the Commission to adopt an implementing act for detailed indication for the targets calculation.</w:t>
      </w:r>
    </w:p>
    <w:p w14:paraId="07601827"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bdr w:val="none" w:sz="0" w:space="0" w:color="auto" w:frame="1"/>
          <w:lang w:val="en-US" w:eastAsia="en-GB"/>
        </w:rPr>
        <w:t>When an economic operators puts on the market a reusable packaging, it must also make it</w:t>
      </w:r>
      <w:r w:rsidRPr="00560B59">
        <w:rPr>
          <w:rFonts w:asciiTheme="majorHAnsi" w:eastAsia="Times New Roman" w:hAnsiTheme="majorHAnsi" w:cstheme="majorHAnsi"/>
          <w:color w:val="132A52" w:themeColor="background2" w:themeShade="80"/>
          <w:sz w:val="22"/>
          <w:bdr w:val="none" w:sz="0" w:space="0" w:color="auto" w:frame="1"/>
          <w:lang w:eastAsia="en-GB"/>
        </w:rPr>
        <w:t xml:space="preserve"> part of a system for re-use compliant with the minimum conditions as set out in Annex VII of this Regulation.</w:t>
      </w:r>
    </w:p>
    <w:p w14:paraId="0C8B4200" w14:textId="196302E0" w:rsidR="00560B59" w:rsidRPr="00560B59" w:rsidRDefault="00560B59" w:rsidP="00560B59">
      <w:pPr>
        <w:numPr>
          <w:ilvl w:val="1"/>
          <w:numId w:val="25"/>
        </w:numPr>
        <w:spacing w:line="240" w:lineRule="auto"/>
        <w:jc w:val="both"/>
        <w:rPr>
          <w:rFonts w:asciiTheme="majorHAnsi" w:eastAsia="Times New Roman" w:hAnsiTheme="majorHAnsi" w:cstheme="majorHAnsi"/>
          <w:b/>
          <w:bCs/>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 xml:space="preserve">Set obligations for economic operators who place reusable packaging on the market </w:t>
      </w:r>
    </w:p>
    <w:p w14:paraId="6C3BD141" w14:textId="4DD78E6B" w:rsidR="00560B59" w:rsidRDefault="00560B59" w:rsidP="00560B59">
      <w:pPr>
        <w:spacing w:line="240" w:lineRule="auto"/>
        <w:ind w:left="1440"/>
        <w:jc w:val="both"/>
        <w:rPr>
          <w:rFonts w:asciiTheme="majorHAnsi" w:eastAsia="Times New Roman" w:hAnsiTheme="majorHAnsi" w:cstheme="majorHAnsi"/>
          <w:b/>
          <w:bCs/>
          <w:color w:val="132A52" w:themeColor="background2" w:themeShade="80"/>
          <w:sz w:val="22"/>
          <w:lang w:val="en-US"/>
        </w:rPr>
      </w:pPr>
    </w:p>
    <w:p w14:paraId="617F769C" w14:textId="77777777" w:rsidR="00560B59" w:rsidRPr="00560B59" w:rsidRDefault="00560B59" w:rsidP="00560B59">
      <w:pPr>
        <w:spacing w:line="240" w:lineRule="auto"/>
        <w:ind w:left="1440"/>
        <w:jc w:val="both"/>
        <w:rPr>
          <w:rFonts w:asciiTheme="majorHAnsi" w:eastAsia="Calibri" w:hAnsiTheme="majorHAnsi" w:cstheme="majorHAnsi"/>
          <w:b/>
          <w:bCs/>
          <w:color w:val="132A52" w:themeColor="background2" w:themeShade="80"/>
          <w:sz w:val="22"/>
          <w:lang w:val="en-US"/>
        </w:rPr>
      </w:pPr>
    </w:p>
    <w:p w14:paraId="372B60D5" w14:textId="629A9134" w:rsidR="00560B59" w:rsidRDefault="00560B59" w:rsidP="00560B59">
      <w:pPr>
        <w:numPr>
          <w:ilvl w:val="0"/>
          <w:numId w:val="25"/>
        </w:numPr>
        <w:spacing w:line="240" w:lineRule="auto"/>
        <w:jc w:val="both"/>
        <w:rPr>
          <w:rFonts w:asciiTheme="majorHAnsi" w:eastAsia="Times New Roman" w:hAnsiTheme="majorHAnsi" w:cstheme="majorHAnsi"/>
          <w:b/>
          <w:bCs/>
          <w:color w:val="132A52" w:themeColor="background2" w:themeShade="80"/>
          <w:sz w:val="22"/>
          <w:lang w:val="en-US"/>
        </w:rPr>
      </w:pPr>
      <w:r w:rsidRPr="00560B59">
        <w:rPr>
          <w:rFonts w:asciiTheme="majorHAnsi" w:eastAsia="Times New Roman" w:hAnsiTheme="majorHAnsi" w:cstheme="majorHAnsi"/>
          <w:b/>
          <w:bCs/>
          <w:color w:val="132A52" w:themeColor="background2" w:themeShade="80"/>
          <w:sz w:val="22"/>
          <w:lang w:val="en-US"/>
        </w:rPr>
        <w:t>Labelling of packaging and harmonized sorting instructions (Article 11)</w:t>
      </w:r>
    </w:p>
    <w:p w14:paraId="5EC16E0D" w14:textId="77777777" w:rsidR="00560B59" w:rsidRPr="00560B59" w:rsidRDefault="00560B59" w:rsidP="00560B59">
      <w:pPr>
        <w:spacing w:line="240" w:lineRule="auto"/>
        <w:ind w:left="720"/>
        <w:jc w:val="both"/>
        <w:rPr>
          <w:rFonts w:asciiTheme="majorHAnsi" w:eastAsia="Times New Roman" w:hAnsiTheme="majorHAnsi" w:cstheme="majorHAnsi"/>
          <w:b/>
          <w:bCs/>
          <w:color w:val="132A52" w:themeColor="background2" w:themeShade="80"/>
          <w:sz w:val="22"/>
          <w:lang w:val="en-US"/>
        </w:rPr>
      </w:pPr>
    </w:p>
    <w:p w14:paraId="162E915D"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b/>
          <w:bCs/>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 xml:space="preserve">Requires that packaging is </w:t>
      </w:r>
      <w:r w:rsidRPr="00560B59">
        <w:rPr>
          <w:rFonts w:asciiTheme="majorHAnsi" w:eastAsia="Times New Roman" w:hAnsiTheme="majorHAnsi" w:cstheme="majorHAnsi"/>
          <w:color w:val="132A52" w:themeColor="background2" w:themeShade="80"/>
          <w:sz w:val="22"/>
          <w:lang/>
        </w:rPr>
        <w:t xml:space="preserve">marked with a label containing information on its material composition in order to facilitate consumer sorting. The same labels shall be placed on waste receptacles for the consumer to easily identify the appropriate disposal route. </w:t>
      </w:r>
    </w:p>
    <w:p w14:paraId="138B694A"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b/>
          <w:bCs/>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 xml:space="preserve">Harmonized label shall be designed also to inform, at the choice of the manufacturer, about the recycled content in plastic packaging. Reusable packaging shall bear a QR code giving access to the relevant information facilitating its re-use. </w:t>
      </w:r>
    </w:p>
    <w:p w14:paraId="665300D1"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b/>
          <w:bCs/>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By 18 months from the entry into force of the regulation, the Commission shall – by implementing act - establish</w:t>
      </w:r>
      <w:r w:rsidRPr="00560B59">
        <w:rPr>
          <w:rFonts w:asciiTheme="majorHAnsi" w:eastAsia="Times New Roman" w:hAnsiTheme="majorHAnsi" w:cstheme="majorHAnsi"/>
          <w:color w:val="132A52" w:themeColor="background2" w:themeShade="80"/>
          <w:sz w:val="22"/>
          <w:lang/>
        </w:rPr>
        <w:t xml:space="preserve"> harmonised labelling requirements and formats for packaging and waste receptacles</w:t>
      </w:r>
      <w:r w:rsidRPr="00560B59">
        <w:rPr>
          <w:rFonts w:asciiTheme="majorHAnsi" w:eastAsia="Times New Roman" w:hAnsiTheme="majorHAnsi" w:cstheme="majorHAnsi"/>
          <w:color w:val="132A52" w:themeColor="background2" w:themeShade="80"/>
          <w:sz w:val="22"/>
          <w:lang w:val="en-US"/>
        </w:rPr>
        <w:t>. By 24 months from the entry into force,</w:t>
      </w:r>
      <w:r w:rsidRPr="00560B59">
        <w:rPr>
          <w:rFonts w:asciiTheme="majorHAnsi" w:eastAsia="Times New Roman" w:hAnsiTheme="majorHAnsi" w:cstheme="majorHAnsi"/>
          <w:color w:val="132A52" w:themeColor="background2" w:themeShade="80"/>
          <w:sz w:val="22"/>
          <w:lang/>
        </w:rPr>
        <w:t xml:space="preserve"> for identifying the material composition of packaging means of digital marking technologies</w:t>
      </w:r>
      <w:r w:rsidRPr="00560B59">
        <w:rPr>
          <w:rFonts w:asciiTheme="majorHAnsi" w:eastAsia="Times New Roman" w:hAnsiTheme="majorHAnsi" w:cstheme="majorHAnsi"/>
          <w:color w:val="132A52" w:themeColor="background2" w:themeShade="80"/>
          <w:sz w:val="22"/>
          <w:lang w:val="en-US"/>
        </w:rPr>
        <w:t>.</w:t>
      </w:r>
    </w:p>
    <w:p w14:paraId="19532FF7" w14:textId="3DA7D3B9" w:rsidR="00560B59" w:rsidRDefault="00560B59" w:rsidP="00560B59">
      <w:pPr>
        <w:spacing w:line="240" w:lineRule="auto"/>
        <w:ind w:left="1440"/>
        <w:jc w:val="both"/>
        <w:rPr>
          <w:rFonts w:asciiTheme="majorHAnsi" w:eastAsia="Calibri" w:hAnsiTheme="majorHAnsi" w:cstheme="majorHAnsi"/>
          <w:b/>
          <w:bCs/>
          <w:color w:val="132A52" w:themeColor="background2" w:themeShade="80"/>
          <w:sz w:val="22"/>
          <w:lang w:val="en-US"/>
        </w:rPr>
      </w:pPr>
    </w:p>
    <w:p w14:paraId="6A72225E" w14:textId="77777777" w:rsidR="00560B59" w:rsidRPr="00560B59" w:rsidRDefault="00560B59" w:rsidP="00560B59">
      <w:pPr>
        <w:spacing w:line="240" w:lineRule="auto"/>
        <w:ind w:left="1440"/>
        <w:jc w:val="both"/>
        <w:rPr>
          <w:rFonts w:asciiTheme="majorHAnsi" w:eastAsia="Calibri" w:hAnsiTheme="majorHAnsi" w:cstheme="majorHAnsi"/>
          <w:b/>
          <w:bCs/>
          <w:color w:val="132A52" w:themeColor="background2" w:themeShade="80"/>
          <w:sz w:val="22"/>
          <w:lang w:val="en-US"/>
        </w:rPr>
      </w:pPr>
    </w:p>
    <w:p w14:paraId="2763C8A2" w14:textId="379D58E6" w:rsidR="00560B59" w:rsidRDefault="00560B59" w:rsidP="00560B59">
      <w:pPr>
        <w:numPr>
          <w:ilvl w:val="0"/>
          <w:numId w:val="25"/>
        </w:numPr>
        <w:spacing w:line="240" w:lineRule="auto"/>
        <w:jc w:val="both"/>
        <w:rPr>
          <w:rFonts w:asciiTheme="majorHAnsi" w:eastAsia="Times New Roman" w:hAnsiTheme="majorHAnsi" w:cstheme="majorHAnsi"/>
          <w:b/>
          <w:bCs/>
          <w:color w:val="132A52" w:themeColor="background2" w:themeShade="80"/>
          <w:sz w:val="22"/>
          <w:lang w:val="en-US"/>
        </w:rPr>
      </w:pPr>
      <w:r w:rsidRPr="00560B59">
        <w:rPr>
          <w:rFonts w:asciiTheme="majorHAnsi" w:eastAsia="Times New Roman" w:hAnsiTheme="majorHAnsi" w:cstheme="majorHAnsi"/>
          <w:b/>
          <w:bCs/>
          <w:color w:val="132A52" w:themeColor="background2" w:themeShade="80"/>
          <w:sz w:val="22"/>
          <w:lang w:val="en-US"/>
        </w:rPr>
        <w:t>Waste reduction targets (article 55)</w:t>
      </w:r>
    </w:p>
    <w:p w14:paraId="2A6846D9" w14:textId="77777777" w:rsidR="00560B59" w:rsidRPr="00560B59" w:rsidRDefault="00560B59" w:rsidP="00560B59">
      <w:pPr>
        <w:spacing w:line="240" w:lineRule="auto"/>
        <w:ind w:left="720"/>
        <w:jc w:val="both"/>
        <w:rPr>
          <w:rFonts w:asciiTheme="majorHAnsi" w:eastAsia="Times New Roman" w:hAnsiTheme="majorHAnsi" w:cstheme="majorHAnsi"/>
          <w:b/>
          <w:bCs/>
          <w:color w:val="132A52" w:themeColor="background2" w:themeShade="80"/>
          <w:sz w:val="22"/>
          <w:lang w:val="en-US"/>
        </w:rPr>
      </w:pPr>
    </w:p>
    <w:p w14:paraId="3A14C7A4"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Targets are set at MS level and each MS should reduce by (2018 baseline)</w:t>
      </w:r>
    </w:p>
    <w:p w14:paraId="4A3BC1C8" w14:textId="77777777" w:rsidR="00560B59" w:rsidRPr="00560B59" w:rsidRDefault="00560B59" w:rsidP="00560B59">
      <w:pPr>
        <w:numPr>
          <w:ilvl w:val="2"/>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5% by 2030</w:t>
      </w:r>
    </w:p>
    <w:p w14:paraId="71860260" w14:textId="77777777" w:rsidR="00560B59" w:rsidRPr="00560B59" w:rsidRDefault="00560B59" w:rsidP="00560B59">
      <w:pPr>
        <w:numPr>
          <w:ilvl w:val="2"/>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10% by 2035</w:t>
      </w:r>
    </w:p>
    <w:p w14:paraId="3D160C38" w14:textId="0E259ABC" w:rsidR="00560B59" w:rsidRDefault="00560B59" w:rsidP="00560B59">
      <w:pPr>
        <w:numPr>
          <w:ilvl w:val="2"/>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15% by 2040</w:t>
      </w:r>
    </w:p>
    <w:p w14:paraId="53ADCDCD" w14:textId="77777777" w:rsidR="00560B59" w:rsidRDefault="00560B59" w:rsidP="00560B59">
      <w:pPr>
        <w:spacing w:line="240" w:lineRule="auto"/>
        <w:ind w:left="2160"/>
        <w:jc w:val="both"/>
        <w:rPr>
          <w:rFonts w:asciiTheme="majorHAnsi" w:eastAsia="Times New Roman" w:hAnsiTheme="majorHAnsi" w:cstheme="majorHAnsi"/>
          <w:color w:val="132A52" w:themeColor="background2" w:themeShade="80"/>
          <w:sz w:val="22"/>
          <w:lang w:val="en-US"/>
        </w:rPr>
      </w:pPr>
    </w:p>
    <w:p w14:paraId="35E6ADE5" w14:textId="77777777" w:rsidR="00560B59" w:rsidRPr="00560B59" w:rsidRDefault="00560B59" w:rsidP="00560B59">
      <w:pPr>
        <w:spacing w:line="240" w:lineRule="auto"/>
        <w:ind w:left="1440"/>
        <w:jc w:val="both"/>
        <w:rPr>
          <w:rFonts w:asciiTheme="majorHAnsi" w:eastAsia="Times New Roman" w:hAnsiTheme="majorHAnsi" w:cstheme="majorHAnsi"/>
          <w:color w:val="132A52" w:themeColor="background2" w:themeShade="80"/>
          <w:sz w:val="22"/>
          <w:lang w:val="en-US"/>
        </w:rPr>
      </w:pPr>
    </w:p>
    <w:p w14:paraId="11DF9730" w14:textId="6DA9EBC0" w:rsidR="00560B59" w:rsidRDefault="00560B59" w:rsidP="00560B59">
      <w:pPr>
        <w:numPr>
          <w:ilvl w:val="0"/>
          <w:numId w:val="25"/>
        </w:numPr>
        <w:spacing w:line="240" w:lineRule="auto"/>
        <w:jc w:val="both"/>
        <w:rPr>
          <w:rFonts w:asciiTheme="majorHAnsi" w:eastAsia="Times New Roman" w:hAnsiTheme="majorHAnsi" w:cstheme="majorHAnsi"/>
          <w:b/>
          <w:bCs/>
          <w:color w:val="132A52" w:themeColor="background2" w:themeShade="80"/>
          <w:sz w:val="22"/>
          <w:lang w:val="en-US"/>
        </w:rPr>
      </w:pPr>
      <w:r w:rsidRPr="00560B59">
        <w:rPr>
          <w:rFonts w:asciiTheme="majorHAnsi" w:eastAsia="Times New Roman" w:hAnsiTheme="majorHAnsi" w:cstheme="majorHAnsi"/>
          <w:b/>
          <w:bCs/>
          <w:color w:val="132A52" w:themeColor="background2" w:themeShade="80"/>
          <w:sz w:val="22"/>
          <w:lang w:val="en-US"/>
        </w:rPr>
        <w:t>EPR Schemes (Article 58)</w:t>
      </w:r>
    </w:p>
    <w:p w14:paraId="2AC6227B" w14:textId="77777777" w:rsidR="00560B59" w:rsidRPr="00560B59" w:rsidRDefault="00560B59" w:rsidP="00560B59">
      <w:pPr>
        <w:spacing w:line="240" w:lineRule="auto"/>
        <w:ind w:left="720"/>
        <w:jc w:val="both"/>
        <w:rPr>
          <w:rFonts w:asciiTheme="majorHAnsi" w:eastAsia="Times New Roman" w:hAnsiTheme="majorHAnsi" w:cstheme="majorHAnsi"/>
          <w:b/>
          <w:bCs/>
          <w:color w:val="132A52" w:themeColor="background2" w:themeShade="80"/>
          <w:sz w:val="22"/>
          <w:lang w:val="en-US"/>
        </w:rPr>
      </w:pPr>
    </w:p>
    <w:p w14:paraId="49B7D3EB"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MS should define the parameters for EPR schemes</w:t>
      </w:r>
    </w:p>
    <w:p w14:paraId="2C49C327"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Responsibility of packaging management for all its end-of-life cycle should be managed collectedly by means of producers responsibility organisations taking up the responsibility on their behalf</w:t>
      </w:r>
    </w:p>
    <w:p w14:paraId="24D06E69"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Sets rules of producers for the producers responsibility organization, saying that MS can adopt measures to make the entrustment of an organization mandatory.</w:t>
      </w:r>
    </w:p>
    <w:p w14:paraId="6B28714F" w14:textId="43DA69B9" w:rsid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lastRenderedPageBreak/>
        <w:t>No specific conditions are defined for the organization as whether it should be non-profit, private etc.</w:t>
      </w:r>
    </w:p>
    <w:p w14:paraId="2D16A4CA" w14:textId="77777777" w:rsidR="00560B59" w:rsidRPr="00560B59" w:rsidRDefault="00560B59" w:rsidP="00560B59">
      <w:pPr>
        <w:spacing w:line="240" w:lineRule="auto"/>
        <w:ind w:left="1440"/>
        <w:jc w:val="both"/>
        <w:rPr>
          <w:rFonts w:asciiTheme="majorHAnsi" w:eastAsia="Times New Roman" w:hAnsiTheme="majorHAnsi" w:cstheme="majorHAnsi"/>
          <w:color w:val="132A52" w:themeColor="background2" w:themeShade="80"/>
          <w:sz w:val="22"/>
          <w:lang w:val="en-US"/>
        </w:rPr>
      </w:pPr>
    </w:p>
    <w:p w14:paraId="098FC243" w14:textId="77777777" w:rsidR="00560B59" w:rsidRPr="00560B59" w:rsidRDefault="00560B59" w:rsidP="00560B59">
      <w:pPr>
        <w:spacing w:line="240" w:lineRule="auto"/>
        <w:ind w:left="1440"/>
        <w:jc w:val="both"/>
        <w:rPr>
          <w:rFonts w:asciiTheme="majorHAnsi" w:eastAsia="Calibri" w:hAnsiTheme="majorHAnsi" w:cstheme="majorHAnsi"/>
          <w:b/>
          <w:bCs/>
          <w:color w:val="132A52" w:themeColor="background2" w:themeShade="80"/>
          <w:sz w:val="22"/>
          <w:lang w:val="en-US"/>
        </w:rPr>
      </w:pPr>
    </w:p>
    <w:p w14:paraId="6B1C40CE" w14:textId="4DBD1175" w:rsidR="00560B59" w:rsidRDefault="00560B59" w:rsidP="00560B59">
      <w:pPr>
        <w:numPr>
          <w:ilvl w:val="0"/>
          <w:numId w:val="25"/>
        </w:numPr>
        <w:spacing w:line="240" w:lineRule="auto"/>
        <w:jc w:val="both"/>
        <w:rPr>
          <w:rFonts w:asciiTheme="majorHAnsi" w:eastAsia="Times New Roman" w:hAnsiTheme="majorHAnsi" w:cstheme="majorHAnsi"/>
          <w:b/>
          <w:bCs/>
          <w:color w:val="132A52" w:themeColor="background2" w:themeShade="80"/>
          <w:sz w:val="22"/>
          <w:lang w:val="en-US"/>
        </w:rPr>
      </w:pPr>
      <w:r w:rsidRPr="00560B59">
        <w:rPr>
          <w:rFonts w:asciiTheme="majorHAnsi" w:eastAsia="Times New Roman" w:hAnsiTheme="majorHAnsi" w:cstheme="majorHAnsi"/>
          <w:b/>
          <w:bCs/>
          <w:color w:val="132A52" w:themeColor="background2" w:themeShade="80"/>
          <w:sz w:val="22"/>
          <w:lang w:val="en-US"/>
        </w:rPr>
        <w:t>Deposit and return Schemes (DRS) (Article 61)</w:t>
      </w:r>
    </w:p>
    <w:p w14:paraId="69538321" w14:textId="77777777" w:rsidR="00560B59" w:rsidRPr="00560B59" w:rsidRDefault="00560B59" w:rsidP="00560B59">
      <w:pPr>
        <w:spacing w:line="240" w:lineRule="auto"/>
        <w:ind w:left="720"/>
        <w:jc w:val="both"/>
        <w:rPr>
          <w:rFonts w:asciiTheme="majorHAnsi" w:eastAsia="Times New Roman" w:hAnsiTheme="majorHAnsi" w:cstheme="majorHAnsi"/>
          <w:b/>
          <w:bCs/>
          <w:color w:val="132A52" w:themeColor="background2" w:themeShade="80"/>
          <w:sz w:val="22"/>
          <w:lang w:val="en-US"/>
        </w:rPr>
      </w:pPr>
    </w:p>
    <w:p w14:paraId="35EF0F14"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By January 2028, MS shall ensure that all DRS meet minimum requirements listed in Annex XI</w:t>
      </w:r>
    </w:p>
    <w:p w14:paraId="2F225001"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Sets minimum requirements to be established by MS to ensure that DRS are set up for single use plastic bottles (max. 3 liters) and single use metal beverage containers (max. 3 liters)</w:t>
      </w:r>
    </w:p>
    <w:p w14:paraId="5263F2C1"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Obligations do not apply for wine ad spirit drinks + milk and milk products</w:t>
      </w:r>
    </w:p>
    <w:p w14:paraId="5F64BF63" w14:textId="77777777" w:rsidR="00560B59" w:rsidRPr="00560B59" w:rsidRDefault="00560B59" w:rsidP="00560B59">
      <w:pPr>
        <w:numPr>
          <w:ilvl w:val="1"/>
          <w:numId w:val="25"/>
        </w:numPr>
        <w:spacing w:line="240" w:lineRule="auto"/>
        <w:jc w:val="both"/>
        <w:rPr>
          <w:rFonts w:asciiTheme="majorHAnsi" w:eastAsia="Times New Roman" w:hAnsiTheme="majorHAnsi" w:cstheme="majorHAnsi"/>
          <w:color w:val="132A52" w:themeColor="background2" w:themeShade="80"/>
          <w:sz w:val="22"/>
          <w:lang w:val="en-US"/>
        </w:rPr>
      </w:pPr>
      <w:r w:rsidRPr="00560B59">
        <w:rPr>
          <w:rFonts w:asciiTheme="majorHAnsi" w:eastAsia="Times New Roman" w:hAnsiTheme="majorHAnsi" w:cstheme="majorHAnsi"/>
          <w:color w:val="132A52" w:themeColor="background2" w:themeShade="80"/>
          <w:sz w:val="22"/>
          <w:lang w:val="en-US"/>
        </w:rPr>
        <w:t>MS may be exempted from the obligation if collection rate is above 90% for the above formats</w:t>
      </w:r>
    </w:p>
    <w:p w14:paraId="370F1AAC" w14:textId="77777777" w:rsidR="00560B59" w:rsidRPr="00560B59" w:rsidRDefault="00560B59" w:rsidP="00560B59">
      <w:pPr>
        <w:spacing w:line="240" w:lineRule="auto"/>
        <w:jc w:val="both"/>
        <w:rPr>
          <w:rFonts w:asciiTheme="majorHAnsi" w:eastAsia="Calibri" w:hAnsiTheme="majorHAnsi" w:cstheme="majorHAnsi"/>
          <w:color w:val="1D3E7B" w:themeColor="background2" w:themeShade="BF"/>
          <w:sz w:val="22"/>
          <w:lang w:val="en-US"/>
        </w:rPr>
      </w:pPr>
    </w:p>
    <w:p w14:paraId="5D4E9B3F" w14:textId="77777777" w:rsidR="00560B59" w:rsidRDefault="00560B59" w:rsidP="00560B59">
      <w:pPr>
        <w:spacing w:line="256" w:lineRule="auto"/>
        <w:rPr>
          <w:rFonts w:ascii="Arial" w:eastAsia="Arial" w:hAnsi="Arial" w:cs="Times New Roman"/>
          <w:sz w:val="22"/>
          <w:szCs w:val="24"/>
        </w:rPr>
      </w:pPr>
    </w:p>
    <w:p w14:paraId="42BEFC1E" w14:textId="70649254" w:rsidR="00560B59" w:rsidRPr="00560B59" w:rsidRDefault="00560B59" w:rsidP="00560B59">
      <w:pPr>
        <w:spacing w:line="256" w:lineRule="auto"/>
        <w:rPr>
          <w:rFonts w:ascii="Arial" w:eastAsia="Arial" w:hAnsi="Arial" w:cs="Times New Roman"/>
          <w:sz w:val="22"/>
          <w:szCs w:val="24"/>
        </w:rPr>
      </w:pPr>
      <w:r w:rsidRPr="00560B59">
        <w:rPr>
          <w:rFonts w:ascii="Arial" w:eastAsia="Arial" w:hAnsi="Arial" w:cs="Times New Roman"/>
          <w:sz w:val="22"/>
          <w:szCs w:val="24"/>
        </w:rPr>
        <w:t>Please do not hesitate to reach out shall you have any question.</w:t>
      </w:r>
    </w:p>
    <w:p w14:paraId="33DACFE9" w14:textId="77777777" w:rsidR="00560B59" w:rsidRPr="00560B59" w:rsidRDefault="00560B59" w:rsidP="00560B59">
      <w:pPr>
        <w:spacing w:line="256" w:lineRule="auto"/>
        <w:rPr>
          <w:rFonts w:ascii="Arial" w:eastAsia="Arial" w:hAnsi="Arial" w:cs="Times New Roman"/>
          <w:sz w:val="22"/>
          <w:szCs w:val="24"/>
        </w:rPr>
      </w:pPr>
    </w:p>
    <w:p w14:paraId="6C66DC48" w14:textId="77777777" w:rsidR="00560B59" w:rsidRPr="00560B59" w:rsidRDefault="00560B59" w:rsidP="00560B59">
      <w:pPr>
        <w:spacing w:line="256" w:lineRule="auto"/>
        <w:rPr>
          <w:rFonts w:ascii="Arial" w:eastAsia="Arial" w:hAnsi="Arial" w:cs="Times New Roman"/>
          <w:sz w:val="22"/>
          <w:szCs w:val="24"/>
        </w:rPr>
      </w:pPr>
      <w:r w:rsidRPr="00560B59">
        <w:rPr>
          <w:rFonts w:ascii="Arial" w:eastAsia="Arial" w:hAnsi="Arial" w:cs="Times New Roman"/>
          <w:sz w:val="22"/>
          <w:szCs w:val="24"/>
        </w:rPr>
        <w:t>Kind regards,</w:t>
      </w:r>
    </w:p>
    <w:p w14:paraId="411DB0AA" w14:textId="77777777" w:rsidR="00560B59" w:rsidRPr="00560B59" w:rsidRDefault="00560B59" w:rsidP="00560B59">
      <w:pPr>
        <w:spacing w:line="256" w:lineRule="auto"/>
        <w:rPr>
          <w:rFonts w:ascii="Arial" w:eastAsia="Arial" w:hAnsi="Arial" w:cs="Times New Roman"/>
          <w:sz w:val="22"/>
          <w:szCs w:val="24"/>
        </w:rPr>
      </w:pPr>
    </w:p>
    <w:p w14:paraId="2B0F4300" w14:textId="77777777" w:rsidR="00560B59" w:rsidRPr="00560B59" w:rsidRDefault="00560B59" w:rsidP="00560B59">
      <w:pPr>
        <w:spacing w:line="256" w:lineRule="auto"/>
        <w:rPr>
          <w:rFonts w:ascii="Arial" w:eastAsia="Arial" w:hAnsi="Arial" w:cs="Times New Roman"/>
          <w:sz w:val="22"/>
          <w:szCs w:val="24"/>
        </w:rPr>
      </w:pPr>
      <w:r w:rsidRPr="00560B59">
        <w:rPr>
          <w:rFonts w:ascii="Arial" w:eastAsia="Arial" w:hAnsi="Arial" w:cs="Times New Roman"/>
          <w:sz w:val="22"/>
          <w:szCs w:val="24"/>
        </w:rPr>
        <w:t xml:space="preserve">Federica DOLCE </w:t>
      </w:r>
    </w:p>
    <w:p w14:paraId="038A174B" w14:textId="77777777" w:rsidR="00560B59" w:rsidRPr="00560B59" w:rsidRDefault="00560B59" w:rsidP="00560B59">
      <w:pPr>
        <w:spacing w:line="256" w:lineRule="auto"/>
        <w:rPr>
          <w:rFonts w:ascii="Arial" w:eastAsia="Arial" w:hAnsi="Arial" w:cs="Times New Roman"/>
          <w:sz w:val="22"/>
          <w:szCs w:val="24"/>
        </w:rPr>
      </w:pPr>
      <w:r w:rsidRPr="00560B59">
        <w:rPr>
          <w:rFonts w:ascii="Arial" w:eastAsia="Arial" w:hAnsi="Arial" w:cs="Times New Roman"/>
          <w:sz w:val="22"/>
          <w:szCs w:val="24"/>
        </w:rPr>
        <w:t>Environmental Affairs Manager</w:t>
      </w:r>
    </w:p>
    <w:p w14:paraId="772F56CB" w14:textId="5BBCCC90" w:rsidR="00F45AA1" w:rsidRPr="00560B59" w:rsidRDefault="00F45AA1" w:rsidP="00560B59">
      <w:pPr>
        <w:jc w:val="both"/>
        <w:rPr>
          <w:rFonts w:asciiTheme="majorHAnsi" w:hAnsiTheme="majorHAnsi" w:cstheme="majorHAnsi"/>
          <w:sz w:val="22"/>
        </w:rPr>
      </w:pPr>
    </w:p>
    <w:sectPr w:rsidR="00F45AA1" w:rsidRPr="00560B59" w:rsidSect="00AE3E4D">
      <w:headerReference w:type="even" r:id="rId9"/>
      <w:headerReference w:type="default" r:id="rId10"/>
      <w:footerReference w:type="even" r:id="rId11"/>
      <w:footerReference w:type="default" r:id="rId12"/>
      <w:headerReference w:type="first" r:id="rId13"/>
      <w:footerReference w:type="first" r:id="rId14"/>
      <w:pgSz w:w="11900" w:h="16840"/>
      <w:pgMar w:top="2410" w:right="1134" w:bottom="1440" w:left="1134" w:header="90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BF9E3" w14:textId="77777777" w:rsidR="00A919D7" w:rsidRDefault="00A919D7" w:rsidP="00144D9D">
      <w:pPr>
        <w:spacing w:line="240" w:lineRule="auto"/>
      </w:pPr>
      <w:r>
        <w:separator/>
      </w:r>
    </w:p>
    <w:p w14:paraId="234E424C" w14:textId="77777777" w:rsidR="00A919D7" w:rsidRDefault="00A919D7"/>
  </w:endnote>
  <w:endnote w:type="continuationSeparator" w:id="0">
    <w:p w14:paraId="4696A5EF" w14:textId="77777777" w:rsidR="00A919D7" w:rsidRDefault="00A919D7" w:rsidP="00144D9D">
      <w:pPr>
        <w:spacing w:line="240" w:lineRule="auto"/>
      </w:pPr>
      <w:r>
        <w:continuationSeparator/>
      </w:r>
    </w:p>
    <w:p w14:paraId="1C68AE19" w14:textId="77777777" w:rsidR="00A919D7" w:rsidRDefault="00A91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364230"/>
      <w:docPartObj>
        <w:docPartGallery w:val="Page Numbers (Bottom of Page)"/>
        <w:docPartUnique/>
      </w:docPartObj>
    </w:sdtPr>
    <w:sdtEndPr>
      <w:rPr>
        <w:rStyle w:val="PageNumber"/>
      </w:rPr>
    </w:sdtEndPr>
    <w:sdtContent>
      <w:p w14:paraId="284A3142" w14:textId="77777777" w:rsidR="00095C3A" w:rsidRDefault="00095C3A" w:rsidP="00057C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507BC2" w14:textId="77777777" w:rsidR="003823CD" w:rsidRDefault="003823CD" w:rsidP="00095C3A">
    <w:pPr>
      <w:pStyle w:val="Footer"/>
      <w:ind w:right="360"/>
    </w:pPr>
  </w:p>
  <w:p w14:paraId="47A89698" w14:textId="77777777" w:rsidR="00057CA9" w:rsidRDefault="00057C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B296" w14:textId="3FDC5364" w:rsidR="00057CA9" w:rsidRPr="00AE3E4D" w:rsidRDefault="00AE3E4D" w:rsidP="00AE3E4D">
    <w:pPr>
      <w:pStyle w:val="Footer"/>
      <w:jc w:val="right"/>
      <w:rPr>
        <w:rFonts w:ascii="Arial" w:hAnsi="Arial" w:cs="Arial"/>
        <w:color w:val="333399"/>
        <w:sz w:val="18"/>
      </w:rPr>
    </w:pPr>
    <w:r w:rsidRPr="00AE3E4D">
      <w:rPr>
        <w:rFonts w:ascii="Arial" w:hAnsi="Arial" w:cs="Arial"/>
        <w:color w:val="333399"/>
        <w:sz w:val="18"/>
      </w:rPr>
      <w:fldChar w:fldCharType="begin"/>
    </w:r>
    <w:r w:rsidRPr="00AE3E4D">
      <w:rPr>
        <w:rFonts w:ascii="Arial" w:hAnsi="Arial" w:cs="Arial"/>
        <w:color w:val="333399"/>
        <w:sz w:val="18"/>
      </w:rPr>
      <w:instrText xml:space="preserve"> PAGE \* MERGEFORMAT </w:instrText>
    </w:r>
    <w:r w:rsidRPr="00AE3E4D">
      <w:rPr>
        <w:rFonts w:ascii="Arial" w:hAnsi="Arial" w:cs="Arial"/>
        <w:color w:val="333399"/>
        <w:sz w:val="18"/>
      </w:rPr>
      <w:fldChar w:fldCharType="separate"/>
    </w:r>
    <w:r w:rsidRPr="00AE3E4D">
      <w:rPr>
        <w:rFonts w:ascii="Arial" w:hAnsi="Arial" w:cs="Arial"/>
        <w:noProof/>
        <w:color w:val="333399"/>
        <w:sz w:val="18"/>
      </w:rPr>
      <w:t>2</w:t>
    </w:r>
    <w:r w:rsidRPr="00AE3E4D">
      <w:rPr>
        <w:rFonts w:ascii="Arial" w:hAnsi="Arial" w:cs="Arial"/>
        <w:color w:val="333399"/>
        <w:sz w:val="18"/>
      </w:rPr>
      <w:fldChar w:fldCharType="end"/>
    </w:r>
    <w:r w:rsidRPr="00AE3E4D">
      <w:rPr>
        <w:rFonts w:ascii="Arial" w:hAnsi="Arial" w:cs="Arial"/>
        <w:color w:val="333399"/>
        <w:sz w:val="18"/>
      </w:rPr>
      <w:t>/</w:t>
    </w:r>
    <w:r w:rsidRPr="00AE3E4D">
      <w:rPr>
        <w:rFonts w:ascii="Arial" w:hAnsi="Arial" w:cs="Arial"/>
        <w:color w:val="333399"/>
        <w:sz w:val="18"/>
      </w:rPr>
      <w:fldChar w:fldCharType="begin"/>
    </w:r>
    <w:r w:rsidRPr="00AE3E4D">
      <w:rPr>
        <w:rFonts w:ascii="Arial" w:hAnsi="Arial" w:cs="Arial"/>
        <w:color w:val="333399"/>
        <w:sz w:val="18"/>
      </w:rPr>
      <w:instrText xml:space="preserve"> NUMPAGES \* MERGEFORMAT </w:instrText>
    </w:r>
    <w:r w:rsidRPr="00AE3E4D">
      <w:rPr>
        <w:rFonts w:ascii="Arial" w:hAnsi="Arial" w:cs="Arial"/>
        <w:color w:val="333399"/>
        <w:sz w:val="18"/>
      </w:rPr>
      <w:fldChar w:fldCharType="separate"/>
    </w:r>
    <w:r w:rsidRPr="00AE3E4D">
      <w:rPr>
        <w:rFonts w:ascii="Arial" w:hAnsi="Arial" w:cs="Arial"/>
        <w:noProof/>
        <w:color w:val="333399"/>
        <w:sz w:val="18"/>
      </w:rPr>
      <w:t>5</w:t>
    </w:r>
    <w:r w:rsidRPr="00AE3E4D">
      <w:rPr>
        <w:rFonts w:ascii="Arial" w:hAnsi="Arial" w:cs="Arial"/>
        <w:color w:val="333399"/>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B5BE" w14:textId="77777777" w:rsidR="00AE3E4D" w:rsidRPr="00AE3E4D" w:rsidRDefault="00AE3E4D" w:rsidP="00AE3E4D">
    <w:pPr>
      <w:pStyle w:val="Footer"/>
      <w:rPr>
        <w:rFonts w:ascii="Arial" w:hAnsi="Arial" w:cs="Arial"/>
        <w:color w:val="333399"/>
        <w:sz w:val="18"/>
      </w:rPr>
    </w:pPr>
    <w:r w:rsidRPr="00AE3E4D">
      <w:rPr>
        <w:rFonts w:ascii="Arial" w:hAnsi="Arial" w:cs="Arial"/>
        <w:color w:val="333399"/>
        <w:sz w:val="18"/>
      </w:rPr>
      <w:t>© FoodDrinkEurope aisbl - Avenue des Nerviens 9-31 - 1040 Brussels – BELGIUM - Tel. +32 2 514 11 11</w:t>
    </w:r>
  </w:p>
  <w:p w14:paraId="1B8421AF" w14:textId="24C521A7" w:rsidR="003823CD" w:rsidRPr="00AE3E4D" w:rsidRDefault="00AE3E4D" w:rsidP="00AE3E4D">
    <w:pPr>
      <w:pStyle w:val="Footer"/>
      <w:rPr>
        <w:rFonts w:ascii="Arial" w:hAnsi="Arial" w:cs="Arial"/>
        <w:color w:val="333399"/>
        <w:sz w:val="18"/>
      </w:rPr>
    </w:pPr>
    <w:r w:rsidRPr="00AE3E4D">
      <w:rPr>
        <w:rFonts w:ascii="Arial" w:hAnsi="Arial" w:cs="Arial"/>
        <w:color w:val="333399"/>
        <w:sz w:val="18"/>
      </w:rPr>
      <w:t>info@fooddrinkeurope.eu - www.fooddrinkeurope.eu - ETI Register 75818824519-45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77ECA" w14:textId="77777777" w:rsidR="00A919D7" w:rsidRDefault="00A919D7" w:rsidP="00144D9D">
      <w:pPr>
        <w:spacing w:line="240" w:lineRule="auto"/>
      </w:pPr>
      <w:r>
        <w:separator/>
      </w:r>
    </w:p>
    <w:p w14:paraId="55C7F82D" w14:textId="77777777" w:rsidR="00A919D7" w:rsidRDefault="00A919D7"/>
  </w:footnote>
  <w:footnote w:type="continuationSeparator" w:id="0">
    <w:p w14:paraId="622041F7" w14:textId="77777777" w:rsidR="00A919D7" w:rsidRDefault="00A919D7" w:rsidP="00144D9D">
      <w:pPr>
        <w:spacing w:line="240" w:lineRule="auto"/>
      </w:pPr>
      <w:r>
        <w:continuationSeparator/>
      </w:r>
    </w:p>
    <w:p w14:paraId="0A8F812B" w14:textId="77777777" w:rsidR="00A919D7" w:rsidRDefault="00A919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06EE" w14:textId="77777777" w:rsidR="00AE3E4D" w:rsidRDefault="00AE3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811"/>
      <w:gridCol w:w="4811"/>
    </w:tblGrid>
    <w:tr w:rsidR="00AE3E4D" w:rsidRPr="00AE3E4D" w14:paraId="1F245331" w14:textId="77777777" w:rsidTr="00AE3E4D">
      <w:tc>
        <w:tcPr>
          <w:tcW w:w="4811" w:type="dxa"/>
          <w:tcBorders>
            <w:top w:val="nil"/>
            <w:left w:val="nil"/>
            <w:bottom w:val="nil"/>
            <w:right w:val="nil"/>
          </w:tcBorders>
          <w:shd w:val="clear" w:color="auto" w:fill="auto"/>
        </w:tcPr>
        <w:p w14:paraId="515034AF" w14:textId="77777777" w:rsidR="00AE3E4D" w:rsidRPr="00AE3E4D" w:rsidRDefault="00AE3E4D" w:rsidP="00AE3E4D">
          <w:pPr>
            <w:pStyle w:val="Header"/>
            <w:jc w:val="right"/>
            <w:rPr>
              <w:rFonts w:ascii="Arial" w:hAnsi="Arial" w:cs="Arial"/>
              <w:sz w:val="18"/>
            </w:rPr>
          </w:pPr>
        </w:p>
      </w:tc>
      <w:tc>
        <w:tcPr>
          <w:tcW w:w="4811" w:type="dxa"/>
          <w:tcBorders>
            <w:top w:val="nil"/>
            <w:left w:val="nil"/>
            <w:bottom w:val="nil"/>
            <w:right w:val="nil"/>
          </w:tcBorders>
          <w:shd w:val="clear" w:color="auto" w:fill="auto"/>
        </w:tcPr>
        <w:p w14:paraId="266B50B3" w14:textId="77777777" w:rsidR="00AE3E4D" w:rsidRPr="00AE3E4D" w:rsidRDefault="00AE3E4D" w:rsidP="00AE3E4D">
          <w:pPr>
            <w:pStyle w:val="Header"/>
            <w:jc w:val="right"/>
            <w:rPr>
              <w:rFonts w:ascii="Arial" w:hAnsi="Arial" w:cs="Arial"/>
              <w:color w:val="000000"/>
              <w:sz w:val="18"/>
            </w:rPr>
          </w:pPr>
          <w:r w:rsidRPr="00AE3E4D">
            <w:rPr>
              <w:rFonts w:ascii="Arial" w:hAnsi="Arial" w:cs="Arial"/>
              <w:noProof/>
              <w:sz w:val="18"/>
            </w:rPr>
            <w:drawing>
              <wp:inline distT="0" distB="0" distL="0" distR="0" wp14:anchorId="4E40DDCC" wp14:editId="1E8D3E7D">
                <wp:extent cx="1395987" cy="697993"/>
                <wp:effectExtent l="0" t="0" r="0" b="6985"/>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395987" cy="697993"/>
                        </a:xfrm>
                        <a:prstGeom prst="rect">
                          <a:avLst/>
                        </a:prstGeom>
                      </pic:spPr>
                    </pic:pic>
                  </a:graphicData>
                </a:graphic>
              </wp:inline>
            </w:drawing>
          </w:r>
        </w:p>
        <w:p w14:paraId="6B893AD5" w14:textId="77777777" w:rsidR="00AE3E4D" w:rsidRPr="00AE3E4D" w:rsidRDefault="00AE3E4D" w:rsidP="00AE3E4D">
          <w:pPr>
            <w:pStyle w:val="Header"/>
            <w:jc w:val="right"/>
            <w:rPr>
              <w:rFonts w:ascii="Arial" w:hAnsi="Arial" w:cs="Arial"/>
              <w:color w:val="000000"/>
              <w:sz w:val="18"/>
            </w:rPr>
          </w:pPr>
        </w:p>
        <w:p w14:paraId="0D01F518" w14:textId="0AA2FB0A" w:rsidR="00AE3E4D" w:rsidRPr="00AE3E4D" w:rsidRDefault="00AE3E4D" w:rsidP="00AE3E4D">
          <w:pPr>
            <w:pStyle w:val="Header"/>
            <w:jc w:val="right"/>
            <w:rPr>
              <w:rFonts w:ascii="Arial" w:hAnsi="Arial" w:cs="Arial"/>
              <w:color w:val="000000"/>
              <w:sz w:val="18"/>
            </w:rPr>
          </w:pPr>
          <w:r w:rsidRPr="00AE3E4D">
            <w:rPr>
              <w:rFonts w:ascii="Arial" w:hAnsi="Arial" w:cs="Arial"/>
              <w:color w:val="000000"/>
              <w:sz w:val="18"/>
            </w:rPr>
            <w:t>ENV/CIRCECON/067/22E</w:t>
          </w:r>
        </w:p>
      </w:tc>
    </w:tr>
  </w:tbl>
  <w:p w14:paraId="6B359F12" w14:textId="64946080" w:rsidR="00057CA9" w:rsidRPr="00AE3E4D" w:rsidRDefault="00057CA9" w:rsidP="00AE3E4D">
    <w:pPr>
      <w:pStyle w:val="Header"/>
      <w:jc w:val="right"/>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811"/>
      <w:gridCol w:w="4811"/>
    </w:tblGrid>
    <w:tr w:rsidR="00AE3E4D" w:rsidRPr="00AE3E4D" w14:paraId="73C5FE0D" w14:textId="77777777" w:rsidTr="00AE3E4D">
      <w:tc>
        <w:tcPr>
          <w:tcW w:w="4811" w:type="dxa"/>
          <w:tcBorders>
            <w:top w:val="nil"/>
            <w:left w:val="nil"/>
            <w:bottom w:val="nil"/>
            <w:right w:val="nil"/>
          </w:tcBorders>
          <w:shd w:val="clear" w:color="auto" w:fill="auto"/>
        </w:tcPr>
        <w:p w14:paraId="6BF6B15F" w14:textId="77777777" w:rsidR="00AE3E4D" w:rsidRPr="00AE3E4D" w:rsidRDefault="00AE3E4D" w:rsidP="00AE3E4D">
          <w:pPr>
            <w:pStyle w:val="Header"/>
            <w:jc w:val="right"/>
            <w:rPr>
              <w:rFonts w:ascii="Arial" w:hAnsi="Arial" w:cs="Arial"/>
              <w:sz w:val="18"/>
            </w:rPr>
          </w:pPr>
        </w:p>
      </w:tc>
      <w:tc>
        <w:tcPr>
          <w:tcW w:w="4811" w:type="dxa"/>
          <w:tcBorders>
            <w:top w:val="nil"/>
            <w:left w:val="nil"/>
            <w:bottom w:val="nil"/>
            <w:right w:val="nil"/>
          </w:tcBorders>
          <w:shd w:val="clear" w:color="auto" w:fill="auto"/>
        </w:tcPr>
        <w:p w14:paraId="7D9F80EB" w14:textId="77777777" w:rsidR="00AE3E4D" w:rsidRPr="00AE3E4D" w:rsidRDefault="00AE3E4D" w:rsidP="00AE3E4D">
          <w:pPr>
            <w:pStyle w:val="Header"/>
            <w:jc w:val="right"/>
            <w:rPr>
              <w:rFonts w:ascii="Arial" w:hAnsi="Arial" w:cs="Arial"/>
              <w:color w:val="000000"/>
              <w:sz w:val="18"/>
            </w:rPr>
          </w:pPr>
          <w:r w:rsidRPr="00AE3E4D">
            <w:rPr>
              <w:rFonts w:ascii="Arial" w:hAnsi="Arial" w:cs="Arial"/>
              <w:noProof/>
              <w:sz w:val="18"/>
            </w:rPr>
            <w:drawing>
              <wp:inline distT="0" distB="0" distL="0" distR="0" wp14:anchorId="37739ED3" wp14:editId="3E74D1C6">
                <wp:extent cx="1395987" cy="697993"/>
                <wp:effectExtent l="0" t="0" r="0" b="6985"/>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395987" cy="697993"/>
                        </a:xfrm>
                        <a:prstGeom prst="rect">
                          <a:avLst/>
                        </a:prstGeom>
                      </pic:spPr>
                    </pic:pic>
                  </a:graphicData>
                </a:graphic>
              </wp:inline>
            </w:drawing>
          </w:r>
        </w:p>
        <w:p w14:paraId="094F9FC6" w14:textId="77777777" w:rsidR="00AE3E4D" w:rsidRPr="00AE3E4D" w:rsidRDefault="00AE3E4D" w:rsidP="00AE3E4D">
          <w:pPr>
            <w:pStyle w:val="Header"/>
            <w:jc w:val="right"/>
            <w:rPr>
              <w:rFonts w:ascii="Arial" w:hAnsi="Arial" w:cs="Arial"/>
              <w:color w:val="000000"/>
              <w:sz w:val="18"/>
            </w:rPr>
          </w:pPr>
        </w:p>
        <w:p w14:paraId="71FF8CB5" w14:textId="4EB12733" w:rsidR="00AE3E4D" w:rsidRPr="00AE3E4D" w:rsidRDefault="00AE3E4D" w:rsidP="00AE3E4D">
          <w:pPr>
            <w:pStyle w:val="Header"/>
            <w:jc w:val="right"/>
            <w:rPr>
              <w:rFonts w:ascii="Arial" w:hAnsi="Arial" w:cs="Arial"/>
              <w:color w:val="000000"/>
              <w:sz w:val="18"/>
            </w:rPr>
          </w:pPr>
          <w:r w:rsidRPr="00AE3E4D">
            <w:rPr>
              <w:rFonts w:ascii="Arial" w:hAnsi="Arial" w:cs="Arial"/>
              <w:color w:val="000000"/>
              <w:sz w:val="18"/>
            </w:rPr>
            <w:t>ENV/CIRCECON/067/22E</w:t>
          </w:r>
        </w:p>
      </w:tc>
    </w:tr>
  </w:tbl>
  <w:p w14:paraId="2A06B23F" w14:textId="77777777" w:rsidR="003823CD" w:rsidRPr="00AE3E4D" w:rsidRDefault="003823CD" w:rsidP="00AE3E4D">
    <w:pPr>
      <w:pStyle w:val="Header"/>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2A1A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A41A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5A3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F6C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762E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42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50B3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8B6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5453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E699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07D54"/>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9B4295"/>
    <w:multiLevelType w:val="multilevel"/>
    <w:tmpl w:val="E970ECBC"/>
    <w:styleLink w:val="BulletListLevels"/>
    <w:lvl w:ilvl="0">
      <w:start w:val="1"/>
      <w:numFmt w:val="bullet"/>
      <w:pStyle w:val="Bulletlist"/>
      <w:lvlText w:val=""/>
      <w:lvlJc w:val="left"/>
      <w:pPr>
        <w:ind w:left="890" w:hanging="170"/>
      </w:pPr>
      <w:rPr>
        <w:rFonts w:ascii="Symbol" w:hAnsi="Symbol" w:hint="default"/>
        <w:b w:val="0"/>
        <w:i w:val="0"/>
        <w:color w:val="DD492F" w:themeColor="accent2"/>
        <w:sz w:val="16"/>
      </w:rPr>
    </w:lvl>
    <w:lvl w:ilvl="1">
      <w:start w:val="1"/>
      <w:numFmt w:val="bullet"/>
      <w:lvlText w:val=""/>
      <w:lvlJc w:val="left"/>
      <w:pPr>
        <w:ind w:left="1364" w:hanging="360"/>
      </w:pPr>
      <w:rPr>
        <w:rFonts w:ascii="Symbol" w:hAnsi="Symbol" w:hint="default"/>
        <w:color w:val="DD492F" w:themeColor="accent2"/>
        <w:sz w:val="16"/>
      </w:rPr>
    </w:lvl>
    <w:lvl w:ilvl="2">
      <w:start w:val="1"/>
      <w:numFmt w:val="bullet"/>
      <w:lvlText w:val=""/>
      <w:lvlJc w:val="left"/>
      <w:pPr>
        <w:ind w:left="1648" w:hanging="360"/>
      </w:pPr>
      <w:rPr>
        <w:rFonts w:ascii="Symbol" w:hAnsi="Symbol" w:hint="default"/>
        <w:color w:val="DD492F" w:themeColor="accent2"/>
        <w:sz w:val="16"/>
      </w:rPr>
    </w:lvl>
    <w:lvl w:ilvl="3">
      <w:start w:val="1"/>
      <w:numFmt w:val="bullet"/>
      <w:lvlText w:val=""/>
      <w:lvlJc w:val="left"/>
      <w:pPr>
        <w:ind w:left="2041" w:hanging="397"/>
      </w:pPr>
      <w:rPr>
        <w:rFonts w:ascii="Symbol" w:hAnsi="Symbol" w:hint="default"/>
        <w:color w:val="DD492F" w:themeColor="accent2"/>
        <w:sz w:val="16"/>
      </w:rPr>
    </w:lvl>
    <w:lvl w:ilvl="4">
      <w:start w:val="1"/>
      <w:numFmt w:val="bullet"/>
      <w:lvlText w:val=""/>
      <w:lvlJc w:val="left"/>
      <w:pPr>
        <w:ind w:left="2892" w:hanging="624"/>
      </w:pPr>
      <w:rPr>
        <w:rFonts w:ascii="Symbol" w:hAnsi="Symbol" w:hint="default"/>
        <w:color w:val="DD492F" w:themeColor="accent2"/>
        <w:sz w:val="16"/>
      </w:rPr>
    </w:lvl>
    <w:lvl w:ilvl="5">
      <w:start w:val="1"/>
      <w:numFmt w:val="bullet"/>
      <w:lvlText w:val=""/>
      <w:lvlJc w:val="left"/>
      <w:pPr>
        <w:ind w:left="5040" w:hanging="360"/>
      </w:pPr>
      <w:rPr>
        <w:rFonts w:ascii="Wingdings" w:hAnsi="Wingdings" w:hint="default"/>
        <w:color w:val="DD492F" w:themeColor="accent2"/>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0D03669B"/>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A31621"/>
    <w:multiLevelType w:val="multilevel"/>
    <w:tmpl w:val="E970ECBC"/>
    <w:numStyleLink w:val="BulletListLevels"/>
  </w:abstractNum>
  <w:abstractNum w:abstractNumId="14" w15:restartNumberingAfterBreak="0">
    <w:nsid w:val="18621407"/>
    <w:multiLevelType w:val="multilevel"/>
    <w:tmpl w:val="E970ECBC"/>
    <w:numStyleLink w:val="BulletListLevels"/>
  </w:abstractNum>
  <w:abstractNum w:abstractNumId="15" w15:restartNumberingAfterBreak="0">
    <w:nsid w:val="21712481"/>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3E7D52"/>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01E8F"/>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B53E4C"/>
    <w:multiLevelType w:val="multilevel"/>
    <w:tmpl w:val="9CE81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F64399"/>
    <w:multiLevelType w:val="hybridMultilevel"/>
    <w:tmpl w:val="AE5C907E"/>
    <w:lvl w:ilvl="0" w:tplc="AA8C3370">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5C6A0F73"/>
    <w:multiLevelType w:val="hybridMultilevel"/>
    <w:tmpl w:val="2F927152"/>
    <w:lvl w:ilvl="0" w:tplc="26F6F088">
      <w:start w:val="6"/>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65F10E3B"/>
    <w:multiLevelType w:val="multilevel"/>
    <w:tmpl w:val="E970ECBC"/>
    <w:numStyleLink w:val="BulletListLevels"/>
  </w:abstractNum>
  <w:abstractNum w:abstractNumId="22" w15:restartNumberingAfterBreak="0">
    <w:nsid w:val="66EE176C"/>
    <w:multiLevelType w:val="multilevel"/>
    <w:tmpl w:val="E970ECBC"/>
    <w:numStyleLink w:val="BulletListLevels"/>
  </w:abstractNum>
  <w:abstractNum w:abstractNumId="23" w15:restartNumberingAfterBreak="0">
    <w:nsid w:val="7AF54CD9"/>
    <w:multiLevelType w:val="hybridMultilevel"/>
    <w:tmpl w:val="833C23DA"/>
    <w:lvl w:ilvl="0" w:tplc="CC626376">
      <w:start w:val="1"/>
      <w:numFmt w:val="bullet"/>
      <w:lvlText w:val=""/>
      <w:lvlJc w:val="left"/>
      <w:pPr>
        <w:ind w:left="170" w:hanging="170"/>
      </w:pPr>
      <w:rPr>
        <w:rFonts w:ascii="Symbol" w:hAnsi="Symbol" w:hint="default"/>
        <w:b w:val="0"/>
        <w:i w:val="0"/>
        <w:color w:val="DD492F" w:themeColor="accent2"/>
        <w:sz w:val="16"/>
      </w:rPr>
    </w:lvl>
    <w:lvl w:ilvl="1" w:tplc="BA7CCE9A">
      <w:start w:val="1"/>
      <w:numFmt w:val="bullet"/>
      <w:pStyle w:val="Style1"/>
      <w:lvlText w:val=""/>
      <w:lvlJc w:val="left"/>
      <w:pPr>
        <w:ind w:left="644" w:hanging="360"/>
      </w:pPr>
      <w:rPr>
        <w:rFonts w:ascii="Symbol" w:hAnsi="Symbol" w:hint="default"/>
        <w:color w:val="E3981C" w:themeColor="accent1"/>
      </w:rPr>
    </w:lvl>
    <w:lvl w:ilvl="2" w:tplc="AB428C0C">
      <w:start w:val="1"/>
      <w:numFmt w:val="bullet"/>
      <w:lvlText w:val=""/>
      <w:lvlJc w:val="left"/>
      <w:pPr>
        <w:ind w:left="928" w:hanging="360"/>
      </w:pPr>
      <w:rPr>
        <w:rFonts w:ascii="Symbol" w:hAnsi="Symbol" w:hint="default"/>
        <w:color w:val="E3981C" w:themeColor="accent1"/>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B4F05"/>
    <w:multiLevelType w:val="multilevel"/>
    <w:tmpl w:val="EB62D4C8"/>
    <w:lvl w:ilvl="0">
      <w:start w:val="1"/>
      <w:numFmt w:val="bullet"/>
      <w:lvlText w:val=""/>
      <w:lvlJc w:val="left"/>
      <w:pPr>
        <w:ind w:left="113"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4823722">
    <w:abstractNumId w:val="8"/>
  </w:num>
  <w:num w:numId="2" w16cid:durableId="1659455758">
    <w:abstractNumId w:val="9"/>
  </w:num>
  <w:num w:numId="3" w16cid:durableId="1541160399">
    <w:abstractNumId w:val="23"/>
  </w:num>
  <w:num w:numId="4" w16cid:durableId="923295467">
    <w:abstractNumId w:val="18"/>
  </w:num>
  <w:num w:numId="5" w16cid:durableId="841120374">
    <w:abstractNumId w:val="24"/>
  </w:num>
  <w:num w:numId="6" w16cid:durableId="169759761">
    <w:abstractNumId w:val="7"/>
  </w:num>
  <w:num w:numId="7" w16cid:durableId="413671032">
    <w:abstractNumId w:val="10"/>
  </w:num>
  <w:num w:numId="8" w16cid:durableId="1662461282">
    <w:abstractNumId w:val="11"/>
  </w:num>
  <w:num w:numId="9" w16cid:durableId="270431208">
    <w:abstractNumId w:val="12"/>
  </w:num>
  <w:num w:numId="10" w16cid:durableId="1231231219">
    <w:abstractNumId w:val="13"/>
  </w:num>
  <w:num w:numId="11" w16cid:durableId="956569316">
    <w:abstractNumId w:val="0"/>
  </w:num>
  <w:num w:numId="12" w16cid:durableId="1823622265">
    <w:abstractNumId w:val="1"/>
  </w:num>
  <w:num w:numId="13" w16cid:durableId="1595237506">
    <w:abstractNumId w:val="2"/>
  </w:num>
  <w:num w:numId="14" w16cid:durableId="832381517">
    <w:abstractNumId w:val="3"/>
  </w:num>
  <w:num w:numId="15" w16cid:durableId="2126652228">
    <w:abstractNumId w:val="4"/>
  </w:num>
  <w:num w:numId="16" w16cid:durableId="776023359">
    <w:abstractNumId w:val="5"/>
  </w:num>
  <w:num w:numId="17" w16cid:durableId="639073232">
    <w:abstractNumId w:val="6"/>
  </w:num>
  <w:num w:numId="18" w16cid:durableId="755706209">
    <w:abstractNumId w:val="16"/>
  </w:num>
  <w:num w:numId="19" w16cid:durableId="238443454">
    <w:abstractNumId w:val="17"/>
  </w:num>
  <w:num w:numId="20" w16cid:durableId="2026246102">
    <w:abstractNumId w:val="14"/>
  </w:num>
  <w:num w:numId="21" w16cid:durableId="1491679755">
    <w:abstractNumId w:val="15"/>
  </w:num>
  <w:num w:numId="22" w16cid:durableId="195775370">
    <w:abstractNumId w:val="22"/>
  </w:num>
  <w:num w:numId="23" w16cid:durableId="1794207402">
    <w:abstractNumId w:val="21"/>
  </w:num>
  <w:num w:numId="24" w16cid:durableId="1574850915">
    <w:abstractNumId w:val="20"/>
  </w:num>
  <w:num w:numId="25" w16cid:durableId="1285770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5D"/>
    <w:rsid w:val="000023AC"/>
    <w:rsid w:val="00057CA9"/>
    <w:rsid w:val="00066EEC"/>
    <w:rsid w:val="00095C3A"/>
    <w:rsid w:val="000A2EA0"/>
    <w:rsid w:val="001010A6"/>
    <w:rsid w:val="00144D9D"/>
    <w:rsid w:val="00154281"/>
    <w:rsid w:val="001764E5"/>
    <w:rsid w:val="00221603"/>
    <w:rsid w:val="0022715E"/>
    <w:rsid w:val="002C6339"/>
    <w:rsid w:val="002D32E3"/>
    <w:rsid w:val="0031662F"/>
    <w:rsid w:val="00346481"/>
    <w:rsid w:val="003823CD"/>
    <w:rsid w:val="003E5720"/>
    <w:rsid w:val="00447EE5"/>
    <w:rsid w:val="00484CEA"/>
    <w:rsid w:val="00486347"/>
    <w:rsid w:val="00520F6F"/>
    <w:rsid w:val="005265CC"/>
    <w:rsid w:val="005312A7"/>
    <w:rsid w:val="00544E03"/>
    <w:rsid w:val="00560B59"/>
    <w:rsid w:val="005E5991"/>
    <w:rsid w:val="005F08D1"/>
    <w:rsid w:val="006032DC"/>
    <w:rsid w:val="0062272F"/>
    <w:rsid w:val="0067329F"/>
    <w:rsid w:val="006A43CC"/>
    <w:rsid w:val="006C7A3A"/>
    <w:rsid w:val="006D0112"/>
    <w:rsid w:val="00742C8D"/>
    <w:rsid w:val="0074455E"/>
    <w:rsid w:val="00771199"/>
    <w:rsid w:val="007907A8"/>
    <w:rsid w:val="007B2B17"/>
    <w:rsid w:val="007E5B79"/>
    <w:rsid w:val="007E6A4C"/>
    <w:rsid w:val="007F34F5"/>
    <w:rsid w:val="00820BD2"/>
    <w:rsid w:val="00843BA9"/>
    <w:rsid w:val="00860382"/>
    <w:rsid w:val="00867DEB"/>
    <w:rsid w:val="00876618"/>
    <w:rsid w:val="00885AEC"/>
    <w:rsid w:val="0089685D"/>
    <w:rsid w:val="008F04AA"/>
    <w:rsid w:val="008F2D32"/>
    <w:rsid w:val="00901AC5"/>
    <w:rsid w:val="009A770A"/>
    <w:rsid w:val="009D3826"/>
    <w:rsid w:val="009D499A"/>
    <w:rsid w:val="00A919D7"/>
    <w:rsid w:val="00AE3E4D"/>
    <w:rsid w:val="00B2762A"/>
    <w:rsid w:val="00B42368"/>
    <w:rsid w:val="00B6325B"/>
    <w:rsid w:val="00BA3E10"/>
    <w:rsid w:val="00C000C4"/>
    <w:rsid w:val="00C0789C"/>
    <w:rsid w:val="00C363C3"/>
    <w:rsid w:val="00C742DD"/>
    <w:rsid w:val="00CA29F0"/>
    <w:rsid w:val="00CA7226"/>
    <w:rsid w:val="00CE115C"/>
    <w:rsid w:val="00DB7855"/>
    <w:rsid w:val="00E010F0"/>
    <w:rsid w:val="00E1370C"/>
    <w:rsid w:val="00E17B75"/>
    <w:rsid w:val="00E80B18"/>
    <w:rsid w:val="00EA1E7D"/>
    <w:rsid w:val="00EA5D50"/>
    <w:rsid w:val="00EB2DE4"/>
    <w:rsid w:val="00EE7090"/>
    <w:rsid w:val="00F01C88"/>
    <w:rsid w:val="00F15489"/>
    <w:rsid w:val="00F25119"/>
    <w:rsid w:val="00F33ACC"/>
    <w:rsid w:val="00F45AA1"/>
    <w:rsid w:val="00F54363"/>
    <w:rsid w:val="00F76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A110B"/>
  <w15:chartTrackingRefBased/>
  <w15:docId w15:val="{B3387F16-F503-44EC-A867-F8B1A2C9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C5"/>
    <w:pPr>
      <w:spacing w:line="259" w:lineRule="auto"/>
    </w:pPr>
    <w:rPr>
      <w:color w:val="0D1956" w:themeColor="accent5"/>
      <w:sz w:val="20"/>
      <w:szCs w:val="22"/>
    </w:rPr>
  </w:style>
  <w:style w:type="paragraph" w:styleId="Heading1">
    <w:name w:val="heading 1"/>
    <w:basedOn w:val="Normal"/>
    <w:next w:val="Normal"/>
    <w:link w:val="Heading1Char"/>
    <w:uiPriority w:val="9"/>
    <w:qFormat/>
    <w:rsid w:val="002D32E3"/>
    <w:pPr>
      <w:keepNext/>
      <w:keepLines/>
      <w:spacing w:before="240"/>
      <w:outlineLvl w:val="0"/>
    </w:pPr>
    <w:rPr>
      <w:rFonts w:asciiTheme="majorHAnsi" w:eastAsiaTheme="majorEastAsia" w:hAnsiTheme="majorHAnsi" w:cstheme="majorBidi"/>
      <w:b/>
      <w:sz w:val="32"/>
      <w:szCs w:val="24"/>
    </w:rPr>
  </w:style>
  <w:style w:type="paragraph" w:styleId="Heading2">
    <w:name w:val="heading 2"/>
    <w:basedOn w:val="Normal"/>
    <w:next w:val="Normal"/>
    <w:link w:val="Heading2Char"/>
    <w:autoRedefine/>
    <w:uiPriority w:val="9"/>
    <w:unhideWhenUsed/>
    <w:qFormat/>
    <w:rsid w:val="00484CEA"/>
    <w:pPr>
      <w:keepNext/>
      <w:keepLines/>
      <w:spacing w:before="40"/>
      <w:outlineLvl w:val="1"/>
    </w:pPr>
    <w:rPr>
      <w:rFonts w:asciiTheme="majorHAnsi" w:eastAsiaTheme="majorEastAsia" w:hAnsiTheme="majorHAnsi" w:cstheme="majorBidi"/>
      <w:b/>
      <w:color w:val="6992DC" w:themeColor="accent4" w:themeTint="99"/>
      <w:sz w:val="26"/>
      <w:szCs w:val="26"/>
    </w:rPr>
  </w:style>
  <w:style w:type="paragraph" w:styleId="Heading3">
    <w:name w:val="heading 3"/>
    <w:basedOn w:val="Normal"/>
    <w:next w:val="Normal"/>
    <w:link w:val="Heading3Char"/>
    <w:autoRedefine/>
    <w:uiPriority w:val="9"/>
    <w:unhideWhenUsed/>
    <w:qFormat/>
    <w:rsid w:val="006C7A3A"/>
    <w:pPr>
      <w:keepNext/>
      <w:keepLines/>
      <w:spacing w:before="40"/>
      <w:outlineLvl w:val="2"/>
    </w:pPr>
    <w:rPr>
      <w:rFonts w:asciiTheme="majorHAnsi" w:eastAsiaTheme="majorEastAsia" w:hAnsiTheme="majorHAnsi" w:cstheme="majorBidi"/>
      <w:b/>
      <w:color w:val="2754A5" w:themeColor="background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D9D"/>
    <w:pPr>
      <w:tabs>
        <w:tab w:val="center" w:pos="4513"/>
        <w:tab w:val="right" w:pos="9026"/>
      </w:tabs>
      <w:spacing w:line="240" w:lineRule="auto"/>
    </w:pPr>
  </w:style>
  <w:style w:type="character" w:customStyle="1" w:styleId="HeaderChar">
    <w:name w:val="Header Char"/>
    <w:basedOn w:val="DefaultParagraphFont"/>
    <w:link w:val="Header"/>
    <w:uiPriority w:val="99"/>
    <w:rsid w:val="00144D9D"/>
    <w:rPr>
      <w:color w:val="0D1956" w:themeColor="accent5"/>
      <w:sz w:val="20"/>
      <w:szCs w:val="22"/>
      <w:lang w:val="en-GB"/>
    </w:rPr>
  </w:style>
  <w:style w:type="paragraph" w:styleId="Footer">
    <w:name w:val="footer"/>
    <w:basedOn w:val="Normal"/>
    <w:link w:val="FooterChar"/>
    <w:uiPriority w:val="99"/>
    <w:unhideWhenUsed/>
    <w:rsid w:val="00144D9D"/>
    <w:pPr>
      <w:tabs>
        <w:tab w:val="center" w:pos="4513"/>
        <w:tab w:val="right" w:pos="9026"/>
      </w:tabs>
      <w:spacing w:line="240" w:lineRule="auto"/>
    </w:pPr>
  </w:style>
  <w:style w:type="character" w:customStyle="1" w:styleId="FooterChar">
    <w:name w:val="Footer Char"/>
    <w:basedOn w:val="DefaultParagraphFont"/>
    <w:link w:val="Footer"/>
    <w:uiPriority w:val="99"/>
    <w:rsid w:val="00144D9D"/>
    <w:rPr>
      <w:color w:val="0D1956" w:themeColor="accent5"/>
      <w:sz w:val="20"/>
      <w:szCs w:val="22"/>
      <w:lang w:val="en-GB"/>
    </w:rPr>
  </w:style>
  <w:style w:type="table" w:styleId="TableGrid">
    <w:name w:val="Table Grid"/>
    <w:basedOn w:val="TableNormal"/>
    <w:uiPriority w:val="39"/>
    <w:rsid w:val="009D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32E3"/>
    <w:rPr>
      <w:rFonts w:asciiTheme="majorHAnsi" w:eastAsiaTheme="majorEastAsia" w:hAnsiTheme="majorHAnsi" w:cstheme="majorBidi"/>
      <w:b/>
      <w:color w:val="0D1956" w:themeColor="accent5"/>
      <w:sz w:val="32"/>
      <w:lang w:val="en-GB"/>
    </w:rPr>
  </w:style>
  <w:style w:type="character" w:styleId="Hyperlink">
    <w:name w:val="Hyperlink"/>
    <w:basedOn w:val="DefaultParagraphFont"/>
    <w:uiPriority w:val="99"/>
    <w:unhideWhenUsed/>
    <w:rsid w:val="00095C3A"/>
    <w:rPr>
      <w:color w:val="EF8300" w:themeColor="hyperlink"/>
      <w:u w:val="single"/>
    </w:rPr>
  </w:style>
  <w:style w:type="character" w:styleId="UnresolvedMention">
    <w:name w:val="Unresolved Mention"/>
    <w:basedOn w:val="DefaultParagraphFont"/>
    <w:uiPriority w:val="99"/>
    <w:semiHidden/>
    <w:unhideWhenUsed/>
    <w:rsid w:val="00095C3A"/>
    <w:rPr>
      <w:color w:val="605E5C"/>
      <w:shd w:val="clear" w:color="auto" w:fill="E1DFDD"/>
    </w:rPr>
  </w:style>
  <w:style w:type="character" w:styleId="FollowedHyperlink">
    <w:name w:val="FollowedHyperlink"/>
    <w:basedOn w:val="DefaultParagraphFont"/>
    <w:uiPriority w:val="99"/>
    <w:semiHidden/>
    <w:unhideWhenUsed/>
    <w:rsid w:val="00095C3A"/>
    <w:rPr>
      <w:color w:val="CF481C" w:themeColor="followedHyperlink"/>
      <w:u w:val="single"/>
    </w:rPr>
  </w:style>
  <w:style w:type="character" w:styleId="PageNumber">
    <w:name w:val="page number"/>
    <w:basedOn w:val="DefaultParagraphFont"/>
    <w:uiPriority w:val="99"/>
    <w:semiHidden/>
    <w:unhideWhenUsed/>
    <w:rsid w:val="00095C3A"/>
  </w:style>
  <w:style w:type="character" w:customStyle="1" w:styleId="Heading2Char">
    <w:name w:val="Heading 2 Char"/>
    <w:basedOn w:val="DefaultParagraphFont"/>
    <w:link w:val="Heading2"/>
    <w:uiPriority w:val="9"/>
    <w:rsid w:val="00484CEA"/>
    <w:rPr>
      <w:rFonts w:asciiTheme="majorHAnsi" w:eastAsiaTheme="majorEastAsia" w:hAnsiTheme="majorHAnsi" w:cstheme="majorBidi"/>
      <w:b/>
      <w:color w:val="6992DC" w:themeColor="accent4" w:themeTint="99"/>
      <w:sz w:val="26"/>
      <w:szCs w:val="26"/>
      <w:lang w:val="en-GB"/>
    </w:rPr>
  </w:style>
  <w:style w:type="character" w:customStyle="1" w:styleId="Heading3Char">
    <w:name w:val="Heading 3 Char"/>
    <w:basedOn w:val="DefaultParagraphFont"/>
    <w:link w:val="Heading3"/>
    <w:uiPriority w:val="9"/>
    <w:rsid w:val="006C7A3A"/>
    <w:rPr>
      <w:rFonts w:asciiTheme="majorHAnsi" w:eastAsiaTheme="majorEastAsia" w:hAnsiTheme="majorHAnsi" w:cstheme="majorBidi"/>
      <w:b/>
      <w:color w:val="2754A5" w:themeColor="background2"/>
      <w:lang w:val="en-GB"/>
    </w:rPr>
  </w:style>
  <w:style w:type="paragraph" w:customStyle="1" w:styleId="Column-left-top">
    <w:name w:val="Column-left-top"/>
    <w:basedOn w:val="Normal"/>
    <w:autoRedefine/>
    <w:qFormat/>
    <w:rsid w:val="00F01C88"/>
    <w:pPr>
      <w:framePr w:hSpace="180" w:wrap="around" w:vAnchor="text" w:hAnchor="page" w:x="2897" w:y="142"/>
      <w:spacing w:after="40"/>
      <w:jc w:val="center"/>
    </w:pPr>
    <w:rPr>
      <w:b/>
      <w:sz w:val="24"/>
      <w:szCs w:val="24"/>
    </w:rPr>
  </w:style>
  <w:style w:type="paragraph" w:customStyle="1" w:styleId="ColumnTabletext">
    <w:name w:val="Column Table text"/>
    <w:basedOn w:val="Heading1"/>
    <w:autoRedefine/>
    <w:qFormat/>
    <w:rsid w:val="0074455E"/>
    <w:rPr>
      <w:sz w:val="24"/>
    </w:rPr>
  </w:style>
  <w:style w:type="paragraph" w:customStyle="1" w:styleId="Tableright">
    <w:name w:val="Table right"/>
    <w:basedOn w:val="ColumnTabletext"/>
    <w:autoRedefine/>
    <w:qFormat/>
    <w:rsid w:val="001764E5"/>
    <w:pPr>
      <w:spacing w:before="0" w:line="240" w:lineRule="auto"/>
      <w:jc w:val="right"/>
      <w:outlineLvl w:val="9"/>
    </w:pPr>
    <w:rPr>
      <w:bCs/>
      <w:sz w:val="20"/>
      <w:szCs w:val="20"/>
    </w:rPr>
  </w:style>
  <w:style w:type="table" w:styleId="GridTable1Light-Accent2">
    <w:name w:val="Grid Table 1 Light Accent 2"/>
    <w:basedOn w:val="TableNormal"/>
    <w:uiPriority w:val="46"/>
    <w:rsid w:val="00867DEB"/>
    <w:tblPr>
      <w:tblStyleRowBandSize w:val="1"/>
      <w:tblStyleColBandSize w:val="1"/>
      <w:tblBorders>
        <w:top w:val="single" w:sz="4" w:space="0" w:color="F1B5AB" w:themeColor="accent2" w:themeTint="66"/>
        <w:left w:val="single" w:sz="4" w:space="0" w:color="F1B5AB" w:themeColor="accent2" w:themeTint="66"/>
        <w:bottom w:val="single" w:sz="4" w:space="0" w:color="F1B5AB" w:themeColor="accent2" w:themeTint="66"/>
        <w:right w:val="single" w:sz="4" w:space="0" w:color="F1B5AB" w:themeColor="accent2" w:themeTint="66"/>
        <w:insideH w:val="single" w:sz="4" w:space="0" w:color="F1B5AB" w:themeColor="accent2" w:themeTint="66"/>
        <w:insideV w:val="single" w:sz="4" w:space="0" w:color="F1B5AB" w:themeColor="accent2" w:themeTint="66"/>
      </w:tblBorders>
    </w:tblPr>
    <w:tblStylePr w:type="firstRow">
      <w:rPr>
        <w:b/>
        <w:bCs/>
      </w:rPr>
      <w:tblPr/>
      <w:tcPr>
        <w:tcBorders>
          <w:bottom w:val="single" w:sz="12" w:space="0" w:color="EA9182" w:themeColor="accent2" w:themeTint="99"/>
        </w:tcBorders>
      </w:tcPr>
    </w:tblStylePr>
    <w:tblStylePr w:type="lastRow">
      <w:rPr>
        <w:b/>
        <w:bCs/>
      </w:rPr>
      <w:tblPr/>
      <w:tcPr>
        <w:tcBorders>
          <w:top w:val="double" w:sz="2" w:space="0" w:color="EA9182"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67DEB"/>
    <w:tblPr>
      <w:tblStyleRowBandSize w:val="1"/>
      <w:tblStyleColBandSize w:val="1"/>
      <w:tblBorders>
        <w:top w:val="single" w:sz="4" w:space="0" w:color="9BB6E8" w:themeColor="accent4" w:themeTint="66"/>
        <w:left w:val="single" w:sz="4" w:space="0" w:color="9BB6E8" w:themeColor="accent4" w:themeTint="66"/>
        <w:bottom w:val="single" w:sz="4" w:space="0" w:color="9BB6E8" w:themeColor="accent4" w:themeTint="66"/>
        <w:right w:val="single" w:sz="4" w:space="0" w:color="9BB6E8" w:themeColor="accent4" w:themeTint="66"/>
        <w:insideH w:val="single" w:sz="4" w:space="0" w:color="9BB6E8" w:themeColor="accent4" w:themeTint="66"/>
        <w:insideV w:val="single" w:sz="4" w:space="0" w:color="9BB6E8" w:themeColor="accent4" w:themeTint="66"/>
      </w:tblBorders>
    </w:tblPr>
    <w:tblStylePr w:type="firstRow">
      <w:rPr>
        <w:b/>
        <w:bCs/>
      </w:rPr>
      <w:tblPr/>
      <w:tcPr>
        <w:tcBorders>
          <w:bottom w:val="single" w:sz="12" w:space="0" w:color="6992DC" w:themeColor="accent4" w:themeTint="99"/>
        </w:tcBorders>
      </w:tcPr>
    </w:tblStylePr>
    <w:tblStylePr w:type="lastRow">
      <w:rPr>
        <w:b/>
        <w:bCs/>
      </w:rPr>
      <w:tblPr/>
      <w:tcPr>
        <w:tcBorders>
          <w:top w:val="double" w:sz="2" w:space="0" w:color="6992DC" w:themeColor="accent4" w:themeTint="99"/>
        </w:tcBorders>
      </w:tcPr>
    </w:tblStylePr>
    <w:tblStylePr w:type="firstCol">
      <w:rPr>
        <w:b/>
        <w:bCs/>
      </w:rPr>
    </w:tblStylePr>
    <w:tblStylePr w:type="lastCol">
      <w:rPr>
        <w:b/>
        <w:bCs/>
      </w:rPr>
    </w:tblStylePr>
  </w:style>
  <w:style w:type="paragraph" w:customStyle="1" w:styleId="Rowwithtitles-Agenda">
    <w:name w:val="Row with titles - Agenda"/>
    <w:basedOn w:val="ColumnTabletext"/>
    <w:qFormat/>
    <w:rsid w:val="002D32E3"/>
    <w:pPr>
      <w:jc w:val="center"/>
      <w:outlineLvl w:val="9"/>
    </w:pPr>
    <w:rPr>
      <w:bCs/>
      <w:color w:val="FFFFFF" w:themeColor="background1"/>
    </w:rPr>
  </w:style>
  <w:style w:type="paragraph" w:customStyle="1" w:styleId="Numberedlist">
    <w:name w:val="Numbered list"/>
    <w:basedOn w:val="ListNumber"/>
    <w:autoRedefine/>
    <w:qFormat/>
    <w:rsid w:val="00F15489"/>
    <w:pPr>
      <w:numPr>
        <w:numId w:val="0"/>
      </w:numPr>
      <w:spacing w:line="240" w:lineRule="auto"/>
      <w:jc w:val="right"/>
    </w:pPr>
  </w:style>
  <w:style w:type="paragraph" w:customStyle="1" w:styleId="Column-centerednormal">
    <w:name w:val="Column- centered normal"/>
    <w:basedOn w:val="Normal"/>
    <w:autoRedefine/>
    <w:qFormat/>
    <w:rsid w:val="00F767E6"/>
    <w:pPr>
      <w:jc w:val="center"/>
    </w:pPr>
  </w:style>
  <w:style w:type="paragraph" w:styleId="ListNumber">
    <w:name w:val="List Number"/>
    <w:basedOn w:val="Normal"/>
    <w:uiPriority w:val="99"/>
    <w:semiHidden/>
    <w:unhideWhenUsed/>
    <w:rsid w:val="00F767E6"/>
    <w:pPr>
      <w:numPr>
        <w:numId w:val="1"/>
      </w:numPr>
      <w:contextualSpacing/>
    </w:pPr>
  </w:style>
  <w:style w:type="paragraph" w:customStyle="1" w:styleId="Bulletlist">
    <w:name w:val="Bullet list"/>
    <w:basedOn w:val="ListBullet"/>
    <w:autoRedefine/>
    <w:qFormat/>
    <w:rsid w:val="00CA7226"/>
    <w:pPr>
      <w:numPr>
        <w:numId w:val="23"/>
      </w:numPr>
      <w:spacing w:line="240" w:lineRule="auto"/>
    </w:pPr>
    <w:rPr>
      <w:rFonts w:ascii="Calibri" w:hAnsi="Calibri"/>
    </w:rPr>
  </w:style>
  <w:style w:type="paragraph" w:customStyle="1" w:styleId="Style1">
    <w:name w:val="Style1"/>
    <w:basedOn w:val="ListBullet2"/>
    <w:qFormat/>
    <w:rsid w:val="00901AC5"/>
    <w:pPr>
      <w:numPr>
        <w:ilvl w:val="1"/>
        <w:numId w:val="3"/>
      </w:numPr>
      <w:ind w:left="360"/>
    </w:pPr>
  </w:style>
  <w:style w:type="paragraph" w:styleId="ListBullet">
    <w:name w:val="List Bullet"/>
    <w:basedOn w:val="Normal"/>
    <w:uiPriority w:val="99"/>
    <w:semiHidden/>
    <w:unhideWhenUsed/>
    <w:rsid w:val="00F767E6"/>
    <w:pPr>
      <w:numPr>
        <w:numId w:val="2"/>
      </w:numPr>
      <w:contextualSpacing/>
    </w:pPr>
  </w:style>
  <w:style w:type="paragraph" w:customStyle="1" w:styleId="Style11">
    <w:name w:val="Style11"/>
    <w:basedOn w:val="Bulletlist"/>
    <w:next w:val="Style1"/>
    <w:qFormat/>
    <w:rsid w:val="00901AC5"/>
    <w:pPr>
      <w:numPr>
        <w:numId w:val="0"/>
      </w:numPr>
      <w:ind w:left="644" w:hanging="360"/>
    </w:pPr>
  </w:style>
  <w:style w:type="paragraph" w:styleId="ListBullet2">
    <w:name w:val="List Bullet 2"/>
    <w:basedOn w:val="Normal"/>
    <w:uiPriority w:val="99"/>
    <w:semiHidden/>
    <w:unhideWhenUsed/>
    <w:rsid w:val="00901AC5"/>
    <w:pPr>
      <w:numPr>
        <w:numId w:val="6"/>
      </w:numPr>
      <w:contextualSpacing/>
    </w:pPr>
  </w:style>
  <w:style w:type="numbering" w:customStyle="1" w:styleId="BulletListLevels">
    <w:name w:val="Bullet List Levels"/>
    <w:uiPriority w:val="99"/>
    <w:rsid w:val="00CA7226"/>
    <w:pPr>
      <w:numPr>
        <w:numId w:val="8"/>
      </w:numPr>
    </w:pPr>
  </w:style>
  <w:style w:type="character" w:styleId="PlaceholderText">
    <w:name w:val="Placeholder Text"/>
    <w:basedOn w:val="DefaultParagraphFont"/>
    <w:uiPriority w:val="99"/>
    <w:semiHidden/>
    <w:rsid w:val="001542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24351">
      <w:bodyDiv w:val="1"/>
      <w:marLeft w:val="0"/>
      <w:marRight w:val="0"/>
      <w:marTop w:val="0"/>
      <w:marBottom w:val="0"/>
      <w:divBdr>
        <w:top w:val="none" w:sz="0" w:space="0" w:color="auto"/>
        <w:left w:val="none" w:sz="0" w:space="0" w:color="auto"/>
        <w:bottom w:val="none" w:sz="0" w:space="0" w:color="auto"/>
        <w:right w:val="none" w:sz="0" w:space="0" w:color="auto"/>
      </w:divBdr>
    </w:div>
    <w:div w:id="1747342441">
      <w:bodyDiv w:val="1"/>
      <w:marLeft w:val="0"/>
      <w:marRight w:val="0"/>
      <w:marTop w:val="0"/>
      <w:marBottom w:val="0"/>
      <w:divBdr>
        <w:top w:val="none" w:sz="0" w:space="0" w:color="auto"/>
        <w:left w:val="none" w:sz="0" w:space="0" w:color="auto"/>
        <w:bottom w:val="none" w:sz="0" w:space="0" w:color="auto"/>
        <w:right w:val="none" w:sz="0" w:space="0" w:color="auto"/>
      </w:divBdr>
    </w:div>
    <w:div w:id="19254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oodDrink Europe">
      <a:dk1>
        <a:srgbClr val="004289"/>
      </a:dk1>
      <a:lt1>
        <a:srgbClr val="FFFFFF"/>
      </a:lt1>
      <a:dk2>
        <a:srgbClr val="B0B3B3"/>
      </a:dk2>
      <a:lt2>
        <a:srgbClr val="2754A5"/>
      </a:lt2>
      <a:accent1>
        <a:srgbClr val="E3981C"/>
      </a:accent1>
      <a:accent2>
        <a:srgbClr val="DD492F"/>
      </a:accent2>
      <a:accent3>
        <a:srgbClr val="7CB61C"/>
      </a:accent3>
      <a:accent4>
        <a:srgbClr val="2654A5"/>
      </a:accent4>
      <a:accent5>
        <a:srgbClr val="0D1956"/>
      </a:accent5>
      <a:accent6>
        <a:srgbClr val="000000"/>
      </a:accent6>
      <a:hlink>
        <a:srgbClr val="EF8300"/>
      </a:hlink>
      <a:folHlink>
        <a:srgbClr val="CF48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8E0E-696E-E241-B16C-551A1C10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7844</Characters>
  <Application>Microsoft Office Word</Application>
  <DocSecurity>0</DocSecurity>
  <Lines>217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Kuzmina</dc:creator>
  <cp:keywords/>
  <dc:description/>
  <cp:lastModifiedBy>Maryline Crooijmans</cp:lastModifiedBy>
  <cp:revision>2</cp:revision>
  <cp:lastPrinted>2020-10-06T08:50:00Z</cp:lastPrinted>
  <dcterms:created xsi:type="dcterms:W3CDTF">2022-10-20T07:37:00Z</dcterms:created>
  <dcterms:modified xsi:type="dcterms:W3CDTF">2022-10-20T07:37:00Z</dcterms:modified>
</cp:coreProperties>
</file>