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B679" w14:textId="77777777" w:rsidR="00454E36" w:rsidRDefault="00454E36" w:rsidP="00EF465E">
      <w:pPr>
        <w:pStyle w:val="Contactinfos"/>
        <w:jc w:val="center"/>
        <w:rPr>
          <w:b/>
          <w:bCs/>
          <w:color w:val="1494B2" w:themeColor="text2"/>
          <w:sz w:val="32"/>
          <w:szCs w:val="32"/>
        </w:rPr>
      </w:pPr>
      <w:bookmarkStart w:id="0" w:name="_Toc103678461"/>
    </w:p>
    <w:p w14:paraId="5EEA2098" w14:textId="45358929" w:rsidR="00A5779E" w:rsidRPr="00860874" w:rsidRDefault="001647AC" w:rsidP="00EF465E">
      <w:pPr>
        <w:pStyle w:val="Contactinfos"/>
        <w:jc w:val="center"/>
        <w:rPr>
          <w:b/>
          <w:bCs/>
          <w:color w:val="1494B2" w:themeColor="text2"/>
          <w:sz w:val="32"/>
          <w:szCs w:val="32"/>
        </w:rPr>
      </w:pPr>
      <w:r w:rsidRPr="00860874">
        <w:rPr>
          <w:b/>
          <w:bCs/>
          <w:color w:val="1494B2" w:themeColor="text2"/>
          <w:sz w:val="32"/>
          <w:szCs w:val="32"/>
        </w:rPr>
        <w:t xml:space="preserve">Joint industry paper - </w:t>
      </w:r>
      <w:r w:rsidR="00A5779E" w:rsidRPr="00860874">
        <w:rPr>
          <w:b/>
          <w:bCs/>
          <w:color w:val="1494B2" w:themeColor="text2"/>
          <w:sz w:val="32"/>
          <w:szCs w:val="32"/>
        </w:rPr>
        <w:t>Recycling Packaging in practice</w:t>
      </w:r>
      <w:bookmarkEnd w:id="0"/>
    </w:p>
    <w:p w14:paraId="4A55D5AA" w14:textId="356B462D" w:rsidR="00EF465E" w:rsidRPr="00EF465E" w:rsidRDefault="00EF465E" w:rsidP="00EF465E">
      <w:pPr>
        <w:pStyle w:val="Contactinfos"/>
        <w:jc w:val="center"/>
        <w:rPr>
          <w:b/>
          <w:bCs/>
          <w:color w:val="1494B2" w:themeColor="text2"/>
          <w:sz w:val="32"/>
          <w:szCs w:val="32"/>
        </w:rPr>
      </w:pPr>
    </w:p>
    <w:p w14:paraId="2E23F217" w14:textId="6972BB39" w:rsidR="00E713DD" w:rsidRPr="00E713DD" w:rsidRDefault="00A5779E" w:rsidP="004B495A">
      <w:pPr>
        <w:spacing w:after="0"/>
        <w:rPr>
          <w:color w:val="auto"/>
          <w:lang w:val="en-US"/>
        </w:rPr>
      </w:pPr>
      <w:r w:rsidRPr="00A5779E">
        <w:rPr>
          <w:color w:val="auto"/>
          <w:lang w:val="en-US"/>
        </w:rPr>
        <w:t>T</w:t>
      </w:r>
      <w:r w:rsidR="00436D39">
        <w:rPr>
          <w:color w:val="auto"/>
          <w:lang w:val="en-US"/>
        </w:rPr>
        <w:t>he</w:t>
      </w:r>
      <w:r w:rsidRPr="00A5779E">
        <w:rPr>
          <w:color w:val="auto"/>
          <w:lang w:val="en-US"/>
        </w:rPr>
        <w:t xml:space="preserve"> </w:t>
      </w:r>
      <w:r w:rsidR="00E45545">
        <w:rPr>
          <w:color w:val="auto"/>
          <w:lang w:val="en-US"/>
        </w:rPr>
        <w:t xml:space="preserve">undersigned </w:t>
      </w:r>
      <w:r w:rsidR="00437921">
        <w:rPr>
          <w:color w:val="auto"/>
          <w:lang w:val="en-US"/>
        </w:rPr>
        <w:t>organisations</w:t>
      </w:r>
      <w:r w:rsidR="00614C60">
        <w:rPr>
          <w:rStyle w:val="FootnoteReference"/>
          <w:lang w:val="en-US"/>
        </w:rPr>
        <w:footnoteReference w:id="2"/>
      </w:r>
      <w:r w:rsidR="00E45545">
        <w:rPr>
          <w:color w:val="auto"/>
          <w:lang w:val="en-US"/>
        </w:rPr>
        <w:t xml:space="preserve"> would like to </w:t>
      </w:r>
      <w:r w:rsidR="0057611C">
        <w:rPr>
          <w:color w:val="auto"/>
          <w:lang w:val="en-US"/>
        </w:rPr>
        <w:t xml:space="preserve">bring </w:t>
      </w:r>
      <w:r w:rsidR="0057611C" w:rsidRPr="3BDCBE21">
        <w:rPr>
          <w:color w:val="auto"/>
          <w:lang w:val="en-US"/>
        </w:rPr>
        <w:t xml:space="preserve">to </w:t>
      </w:r>
      <w:r w:rsidR="0057611C">
        <w:rPr>
          <w:color w:val="auto"/>
          <w:lang w:val="en-US"/>
        </w:rPr>
        <w:t xml:space="preserve">the attention of the European Commission a joint proposal for a harmonised definition of recyclable packaging as part of the upcoming revision of the Packaging and Packaging Waste Directive (PPWD). </w:t>
      </w:r>
      <w:r w:rsidR="00E713DD">
        <w:rPr>
          <w:color w:val="auto"/>
          <w:lang w:val="en-US"/>
        </w:rPr>
        <w:t xml:space="preserve"> </w:t>
      </w:r>
      <w:r w:rsidR="00E713DD" w:rsidRPr="00E713DD">
        <w:rPr>
          <w:color w:val="auto"/>
          <w:lang w:val="en-US"/>
        </w:rPr>
        <w:t xml:space="preserve">To ensure that packaging </w:t>
      </w:r>
      <w:r w:rsidR="00980374">
        <w:rPr>
          <w:color w:val="auto"/>
          <w:lang w:val="en-US"/>
        </w:rPr>
        <w:t>is</w:t>
      </w:r>
      <w:r w:rsidR="00E713DD" w:rsidRPr="00E713DD">
        <w:rPr>
          <w:color w:val="auto"/>
          <w:lang w:val="en-US"/>
        </w:rPr>
        <w:t xml:space="preserve"> not just recyclable but effectively recycled by 2030, </w:t>
      </w:r>
      <w:r w:rsidR="6DEF84C7" w:rsidRPr="179AFDDC">
        <w:rPr>
          <w:color w:val="auto"/>
          <w:lang w:val="en-US"/>
        </w:rPr>
        <w:t xml:space="preserve">we need an ambitious, actionable and forward-looking definition of recyclability, </w:t>
      </w:r>
      <w:r w:rsidR="2A6BCC9F" w:rsidRPr="179AFDDC">
        <w:rPr>
          <w:color w:val="auto"/>
          <w:lang w:val="en-US"/>
        </w:rPr>
        <w:t>enabling</w:t>
      </w:r>
      <w:r w:rsidR="00F842CC">
        <w:rPr>
          <w:color w:val="auto"/>
          <w:lang w:val="en-US"/>
        </w:rPr>
        <w:t xml:space="preserve"> innovations in packaging, infrastructure and</w:t>
      </w:r>
      <w:r w:rsidR="00E713DD" w:rsidRPr="00E713DD">
        <w:rPr>
          <w:color w:val="auto"/>
          <w:lang w:val="en-US"/>
        </w:rPr>
        <w:t xml:space="preserve"> recycling technologies. Engaged consumers will also play a key role in ensuring recycling takes place in practice. </w:t>
      </w:r>
    </w:p>
    <w:p w14:paraId="37649F9D" w14:textId="77777777" w:rsidR="004B495A" w:rsidRPr="004B495A" w:rsidRDefault="004B495A" w:rsidP="004F6B6B">
      <w:pPr>
        <w:shd w:val="clear" w:color="auto" w:fill="F0E2EC" w:themeFill="accent1" w:themeFillTint="33"/>
        <w:jc w:val="left"/>
        <w:rPr>
          <w:b/>
          <w:bCs/>
          <w:color w:val="8C1A6B" w:themeColor="accent3"/>
          <w:sz w:val="2"/>
          <w:szCs w:val="6"/>
          <w:lang w:val="en-US"/>
        </w:rPr>
      </w:pPr>
    </w:p>
    <w:p w14:paraId="6B6FA237" w14:textId="1654343C" w:rsidR="00A50481" w:rsidRPr="00A60EAB" w:rsidRDefault="00A07EF9" w:rsidP="004F6B6B">
      <w:pPr>
        <w:shd w:val="clear" w:color="auto" w:fill="F0E2EC" w:themeFill="accent1" w:themeFillTint="33"/>
        <w:jc w:val="left"/>
        <w:rPr>
          <w:b/>
          <w:bCs/>
          <w:color w:val="8C1A6B" w:themeColor="accent3"/>
          <w:lang w:val="en-US"/>
        </w:rPr>
      </w:pPr>
      <w:r>
        <w:rPr>
          <w:b/>
          <w:bCs/>
          <w:color w:val="8C1A6B" w:themeColor="accent3"/>
          <w:lang w:val="en-US"/>
        </w:rPr>
        <w:t>Our proposal in a nutshell</w:t>
      </w:r>
    </w:p>
    <w:p w14:paraId="6D59716B" w14:textId="508D8BBF" w:rsidR="00084CED" w:rsidRPr="00852871" w:rsidRDefault="0067560C" w:rsidP="004F6B6B">
      <w:pPr>
        <w:pStyle w:val="ListParagraph"/>
        <w:numPr>
          <w:ilvl w:val="0"/>
          <w:numId w:val="14"/>
        </w:numPr>
        <w:shd w:val="clear" w:color="auto" w:fill="F0E2EC" w:themeFill="accent1" w:themeFillTint="33"/>
        <w:rPr>
          <w:b/>
          <w:bCs/>
          <w:color w:val="auto"/>
          <w:lang w:val="en-US"/>
        </w:rPr>
      </w:pPr>
      <w:r w:rsidRPr="00852871">
        <w:rPr>
          <w:color w:val="auto"/>
          <w:lang w:val="en-US"/>
        </w:rPr>
        <w:t xml:space="preserve">The EU-wide definition of recyclable </w:t>
      </w:r>
      <w:r w:rsidR="00FF6BC0" w:rsidRPr="00852871">
        <w:rPr>
          <w:color w:val="auto"/>
          <w:lang w:val="en-US"/>
        </w:rPr>
        <w:t>packaging should not include a recyclability threshold.</w:t>
      </w:r>
      <w:r w:rsidR="00852871">
        <w:rPr>
          <w:color w:val="auto"/>
          <w:lang w:val="en-US"/>
        </w:rPr>
        <w:t xml:space="preserve"> </w:t>
      </w:r>
      <w:r w:rsidR="004B495A">
        <w:rPr>
          <w:color w:val="auto"/>
          <w:lang w:val="en-US"/>
        </w:rPr>
        <w:t>Any s</w:t>
      </w:r>
      <w:r w:rsidR="00A50481" w:rsidRPr="00852871">
        <w:rPr>
          <w:color w:val="auto"/>
          <w:lang w:val="en-US"/>
        </w:rPr>
        <w:t xml:space="preserve">pecific </w:t>
      </w:r>
      <w:r w:rsidR="00FF6BC0" w:rsidRPr="00852871">
        <w:rPr>
          <w:color w:val="auto"/>
          <w:lang w:val="en-US"/>
        </w:rPr>
        <w:t xml:space="preserve">recyclability </w:t>
      </w:r>
      <w:r w:rsidR="00A50481" w:rsidRPr="00852871">
        <w:rPr>
          <w:color w:val="auto"/>
          <w:lang w:val="en-US"/>
        </w:rPr>
        <w:t>threshold</w:t>
      </w:r>
      <w:r w:rsidR="00FF6BC0" w:rsidRPr="00852871">
        <w:rPr>
          <w:color w:val="auto"/>
          <w:lang w:val="en-US"/>
        </w:rPr>
        <w:t>s</w:t>
      </w:r>
      <w:r w:rsidR="00A50481" w:rsidRPr="00852871">
        <w:rPr>
          <w:color w:val="auto"/>
          <w:lang w:val="en-US"/>
        </w:rPr>
        <w:t xml:space="preserve"> should </w:t>
      </w:r>
      <w:r w:rsidR="004B495A" w:rsidRPr="00852871">
        <w:rPr>
          <w:color w:val="auto"/>
          <w:lang w:val="en-US"/>
        </w:rPr>
        <w:t xml:space="preserve">instead </w:t>
      </w:r>
      <w:r w:rsidR="00A50481" w:rsidRPr="00852871">
        <w:rPr>
          <w:color w:val="auto"/>
          <w:lang w:val="en-US"/>
        </w:rPr>
        <w:t xml:space="preserve">be set in material- and format-specific Design for Recycling (DfR) guidelines. </w:t>
      </w:r>
    </w:p>
    <w:p w14:paraId="12EA0CE8" w14:textId="2079C3BA" w:rsidR="00A50481" w:rsidRDefault="00A50481" w:rsidP="397593FF">
      <w:pPr>
        <w:pStyle w:val="ListParagraph"/>
        <w:numPr>
          <w:ilvl w:val="0"/>
          <w:numId w:val="14"/>
        </w:numPr>
        <w:shd w:val="clear" w:color="auto" w:fill="F0E2EC" w:themeFill="accent5" w:themeFillTint="33"/>
        <w:rPr>
          <w:color w:val="auto"/>
          <w:lang w:val="en-US"/>
        </w:rPr>
      </w:pPr>
      <w:r w:rsidRPr="00A50481">
        <w:rPr>
          <w:color w:val="auto"/>
          <w:lang w:val="en-US"/>
        </w:rPr>
        <w:t xml:space="preserve">Packaging recyclability must be assessed </w:t>
      </w:r>
      <w:r w:rsidR="00736F06">
        <w:rPr>
          <w:color w:val="auto"/>
          <w:lang w:val="en-US"/>
        </w:rPr>
        <w:t xml:space="preserve">on the basis of </w:t>
      </w:r>
      <w:r w:rsidRPr="00A50481">
        <w:rPr>
          <w:color w:val="auto"/>
          <w:lang w:val="en-US"/>
        </w:rPr>
        <w:t xml:space="preserve">recognised DfR guidelines specific to each material and packaging type. </w:t>
      </w:r>
      <w:r w:rsidR="00084CED">
        <w:rPr>
          <w:color w:val="auto"/>
          <w:lang w:val="en-US"/>
        </w:rPr>
        <w:t>T</w:t>
      </w:r>
      <w:r w:rsidRPr="00A50481">
        <w:rPr>
          <w:color w:val="auto"/>
          <w:lang w:val="en-US"/>
        </w:rPr>
        <w:t xml:space="preserve">hese guidelines should </w:t>
      </w:r>
      <w:r w:rsidR="008C4C04">
        <w:rPr>
          <w:color w:val="auto"/>
          <w:lang w:val="en-US"/>
        </w:rPr>
        <w:t xml:space="preserve">themselves </w:t>
      </w:r>
      <w:r w:rsidRPr="00A50481">
        <w:rPr>
          <w:color w:val="auto"/>
          <w:lang w:val="en-US"/>
        </w:rPr>
        <w:t xml:space="preserve">be </w:t>
      </w:r>
      <w:r w:rsidR="00F756D9">
        <w:rPr>
          <w:color w:val="auto"/>
          <w:lang w:val="en-US"/>
        </w:rPr>
        <w:t>built</w:t>
      </w:r>
      <w:r w:rsidR="008C4C04">
        <w:rPr>
          <w:color w:val="auto"/>
          <w:lang w:val="en-US"/>
        </w:rPr>
        <w:t xml:space="preserve"> on </w:t>
      </w:r>
      <w:r w:rsidRPr="00A50481">
        <w:rPr>
          <w:color w:val="auto"/>
          <w:lang w:val="en-US"/>
        </w:rPr>
        <w:t>the different guidelines already existing or being developed from across the packaging value chain.</w:t>
      </w:r>
    </w:p>
    <w:p w14:paraId="610C545B" w14:textId="77777777" w:rsidR="00D86A63" w:rsidRDefault="00D86A63" w:rsidP="00D86A63">
      <w:pPr>
        <w:pStyle w:val="ListParagraph"/>
        <w:numPr>
          <w:ilvl w:val="0"/>
          <w:numId w:val="14"/>
        </w:numPr>
        <w:shd w:val="clear" w:color="auto" w:fill="F0E2EC" w:themeFill="accent5" w:themeFillTint="33"/>
        <w:rPr>
          <w:color w:val="auto"/>
          <w:lang w:val="en-US"/>
        </w:rPr>
      </w:pPr>
      <w:r w:rsidRPr="397593FF">
        <w:rPr>
          <w:color w:val="auto"/>
          <w:lang w:val="en-US"/>
        </w:rPr>
        <w:t>A dedicated multistakeholder expert committee, in the form of a Technical Committee, should be set up at EU level to define and regularly update (e.g. yearly) recyclability measurement criteria and DfR guidelines per packaging material and type.</w:t>
      </w:r>
    </w:p>
    <w:p w14:paraId="6055D7B5" w14:textId="3DA3E614" w:rsidR="00D86A63" w:rsidRPr="00113398" w:rsidRDefault="00D86A63" w:rsidP="00D86A63">
      <w:pPr>
        <w:pStyle w:val="ListParagraph"/>
        <w:numPr>
          <w:ilvl w:val="0"/>
          <w:numId w:val="14"/>
        </w:numPr>
        <w:shd w:val="clear" w:color="auto" w:fill="F0E2EC" w:themeFill="accent5" w:themeFillTint="33"/>
        <w:rPr>
          <w:color w:val="auto"/>
          <w:lang w:val="en-US"/>
        </w:rPr>
      </w:pPr>
      <w:r w:rsidRPr="00D86A63">
        <w:rPr>
          <w:lang w:val="en-US"/>
        </w:rPr>
        <w:t xml:space="preserve">Waste management infrastructure is key to ensure that recyclable packaging is effectively recycled. Infrastructure. Criteria and conditionalities need to be part of the </w:t>
      </w:r>
      <w:r w:rsidR="00145ECC" w:rsidRPr="00852871">
        <w:rPr>
          <w:color w:val="auto"/>
          <w:lang w:val="en-US"/>
        </w:rPr>
        <w:t xml:space="preserve">recyclable packaging </w:t>
      </w:r>
      <w:r w:rsidRPr="00D86A63">
        <w:rPr>
          <w:lang w:val="en-US"/>
        </w:rPr>
        <w:t>definition. The geographical scope should be EU-wide to support the development of a true and functioning Single Market for secondary raw materials.</w:t>
      </w:r>
    </w:p>
    <w:p w14:paraId="6EFFC304" w14:textId="77777777" w:rsidR="00113398" w:rsidRPr="00113398" w:rsidRDefault="00113398" w:rsidP="00113398">
      <w:pPr>
        <w:shd w:val="clear" w:color="auto" w:fill="F0E2EC" w:themeFill="accent5" w:themeFillTint="33"/>
        <w:rPr>
          <w:color w:val="auto"/>
          <w:lang w:val="en-US"/>
        </w:rPr>
      </w:pPr>
    </w:p>
    <w:p w14:paraId="07FDCE4B" w14:textId="54CE484F" w:rsidR="00EF465E" w:rsidRDefault="00EF465E" w:rsidP="003C032B">
      <w:pPr>
        <w:pStyle w:val="TOC3"/>
      </w:pPr>
    </w:p>
    <w:bookmarkStart w:id="1" w:name="_Toc105081927" w:displacedByCustomXml="next"/>
    <w:sdt>
      <w:sdtPr>
        <w:rPr>
          <w:rFonts w:asciiTheme="minorHAnsi" w:eastAsiaTheme="minorHAnsi" w:hAnsiTheme="minorHAnsi" w:cstheme="minorBidi"/>
          <w:color w:val="000000"/>
          <w:sz w:val="18"/>
          <w:szCs w:val="22"/>
          <w:lang w:val="en-GB"/>
        </w:rPr>
        <w:id w:val="-490863255"/>
        <w:docPartObj>
          <w:docPartGallery w:val="Table of Contents"/>
          <w:docPartUnique/>
        </w:docPartObj>
      </w:sdtPr>
      <w:sdtEndPr>
        <w:rPr>
          <w:b/>
          <w:bCs/>
          <w:noProof/>
        </w:rPr>
      </w:sdtEndPr>
      <w:sdtContent>
        <w:p w14:paraId="28303A96" w14:textId="6B3DDCC5" w:rsidR="00D86A63" w:rsidRDefault="00D86A63">
          <w:pPr>
            <w:pStyle w:val="TOCHeading"/>
            <w:rPr>
              <w:rFonts w:hint="eastAsia"/>
            </w:rPr>
          </w:pPr>
          <w:r>
            <w:t>Table of Contents</w:t>
          </w:r>
        </w:p>
        <w:p w14:paraId="57DE4ECC" w14:textId="1A926551" w:rsidR="00D86A63" w:rsidRPr="003C032B" w:rsidRDefault="00D86A63" w:rsidP="003C032B">
          <w:pPr>
            <w:pStyle w:val="TOC3"/>
            <w:rPr>
              <w:rFonts w:cstheme="minorBidi"/>
              <w:noProof/>
              <w:sz w:val="18"/>
              <w:szCs w:val="18"/>
              <w:lang w:val="en-GB" w:eastAsia="en-GB"/>
            </w:rPr>
          </w:pPr>
          <w:r w:rsidRPr="003C032B">
            <w:rPr>
              <w:rStyle w:val="Hyperlink"/>
              <w:b/>
              <w:bCs/>
              <w:noProof/>
              <w:color w:val="auto"/>
              <w:sz w:val="18"/>
              <w:szCs w:val="14"/>
              <w:u w:val="none"/>
            </w:rPr>
            <w:t>1.</w:t>
          </w:r>
          <w:r w:rsidRPr="00D86A63">
            <w:rPr>
              <w:sz w:val="14"/>
              <w:szCs w:val="14"/>
            </w:rPr>
            <w:t xml:space="preserve"> </w:t>
          </w:r>
          <w:r w:rsidRPr="00D86A63">
            <w:fldChar w:fldCharType="begin"/>
          </w:r>
          <w:r w:rsidRPr="00D86A63">
            <w:instrText xml:space="preserve"> TOC \o "1-3" \h \z \u </w:instrText>
          </w:r>
          <w:r w:rsidRPr="00D86A63">
            <w:fldChar w:fldCharType="separate"/>
          </w:r>
          <w:hyperlink w:anchor="_Toc105081977" w:history="1">
            <w:r w:rsidRPr="003C032B">
              <w:rPr>
                <w:rStyle w:val="Hyperlink"/>
                <w:b/>
                <w:bCs/>
                <w:noProof/>
                <w:sz w:val="18"/>
                <w:szCs w:val="18"/>
              </w:rPr>
              <w:t>Defining recyclable packaging</w:t>
            </w:r>
            <w:r w:rsidRPr="003C032B">
              <w:rPr>
                <w:noProof/>
                <w:webHidden/>
                <w:sz w:val="18"/>
                <w:szCs w:val="18"/>
              </w:rPr>
              <w:tab/>
            </w:r>
            <w:r w:rsidRPr="003C032B">
              <w:rPr>
                <w:noProof/>
                <w:webHidden/>
                <w:sz w:val="18"/>
                <w:szCs w:val="18"/>
              </w:rPr>
              <w:fldChar w:fldCharType="begin"/>
            </w:r>
            <w:r w:rsidRPr="003C032B">
              <w:rPr>
                <w:noProof/>
                <w:webHidden/>
                <w:sz w:val="18"/>
                <w:szCs w:val="18"/>
              </w:rPr>
              <w:instrText xml:space="preserve"> PAGEREF _Toc105081977 \h </w:instrText>
            </w:r>
            <w:r w:rsidRPr="003C032B">
              <w:rPr>
                <w:noProof/>
                <w:webHidden/>
                <w:sz w:val="18"/>
                <w:szCs w:val="18"/>
              </w:rPr>
            </w:r>
            <w:r w:rsidRPr="003C032B">
              <w:rPr>
                <w:noProof/>
                <w:webHidden/>
                <w:sz w:val="18"/>
                <w:szCs w:val="18"/>
              </w:rPr>
              <w:fldChar w:fldCharType="separate"/>
            </w:r>
            <w:r w:rsidRPr="003C032B">
              <w:rPr>
                <w:noProof/>
                <w:webHidden/>
                <w:sz w:val="18"/>
                <w:szCs w:val="18"/>
              </w:rPr>
              <w:t>2</w:t>
            </w:r>
            <w:r w:rsidRPr="003C032B">
              <w:rPr>
                <w:noProof/>
                <w:webHidden/>
                <w:sz w:val="18"/>
                <w:szCs w:val="18"/>
              </w:rPr>
              <w:fldChar w:fldCharType="end"/>
            </w:r>
          </w:hyperlink>
        </w:p>
        <w:p w14:paraId="0681C6E6" w14:textId="2898C923" w:rsidR="00D86A63" w:rsidRPr="003C032B" w:rsidRDefault="00A457AC" w:rsidP="003C032B">
          <w:pPr>
            <w:pStyle w:val="TOC3"/>
            <w:rPr>
              <w:rFonts w:cstheme="minorBidi"/>
              <w:noProof/>
              <w:sz w:val="18"/>
              <w:szCs w:val="18"/>
              <w:lang w:val="en-GB" w:eastAsia="en-GB"/>
            </w:rPr>
          </w:pPr>
          <w:hyperlink w:anchor="_Toc105081978" w:history="1">
            <w:r w:rsidR="00D86A63" w:rsidRPr="003C032B">
              <w:rPr>
                <w:rStyle w:val="Hyperlink"/>
                <w:noProof/>
                <w:sz w:val="18"/>
                <w:szCs w:val="18"/>
              </w:rPr>
              <w:t>i.A recyclability threshold in the EU-wide definition of recyclable packaging would be detrimental to the EU sustainability and climate objectives</w:t>
            </w:r>
            <w:r w:rsidR="00D86A63" w:rsidRPr="003C032B">
              <w:rPr>
                <w:noProof/>
                <w:webHidden/>
                <w:sz w:val="18"/>
                <w:szCs w:val="18"/>
              </w:rPr>
              <w:tab/>
            </w:r>
            <w:r w:rsidR="00D86A63" w:rsidRPr="003C032B">
              <w:rPr>
                <w:noProof/>
                <w:webHidden/>
                <w:sz w:val="18"/>
                <w:szCs w:val="18"/>
              </w:rPr>
              <w:fldChar w:fldCharType="begin"/>
            </w:r>
            <w:r w:rsidR="00D86A63" w:rsidRPr="003C032B">
              <w:rPr>
                <w:noProof/>
                <w:webHidden/>
                <w:sz w:val="18"/>
                <w:szCs w:val="18"/>
              </w:rPr>
              <w:instrText xml:space="preserve"> PAGEREF _Toc105081978 \h </w:instrText>
            </w:r>
            <w:r w:rsidR="00D86A63" w:rsidRPr="003C032B">
              <w:rPr>
                <w:noProof/>
                <w:webHidden/>
                <w:sz w:val="18"/>
                <w:szCs w:val="18"/>
              </w:rPr>
            </w:r>
            <w:r w:rsidR="00D86A63" w:rsidRPr="003C032B">
              <w:rPr>
                <w:noProof/>
                <w:webHidden/>
                <w:sz w:val="18"/>
                <w:szCs w:val="18"/>
              </w:rPr>
              <w:fldChar w:fldCharType="separate"/>
            </w:r>
            <w:r w:rsidR="00D86A63" w:rsidRPr="003C032B">
              <w:rPr>
                <w:noProof/>
                <w:webHidden/>
                <w:sz w:val="18"/>
                <w:szCs w:val="18"/>
              </w:rPr>
              <w:t>2</w:t>
            </w:r>
            <w:r w:rsidR="00D86A63" w:rsidRPr="003C032B">
              <w:rPr>
                <w:noProof/>
                <w:webHidden/>
                <w:sz w:val="18"/>
                <w:szCs w:val="18"/>
              </w:rPr>
              <w:fldChar w:fldCharType="end"/>
            </w:r>
          </w:hyperlink>
        </w:p>
        <w:p w14:paraId="3BB8106A" w14:textId="53CADD4E" w:rsidR="00D86A63" w:rsidRPr="003C032B" w:rsidRDefault="00A457AC" w:rsidP="003C032B">
          <w:pPr>
            <w:pStyle w:val="TOC3"/>
            <w:rPr>
              <w:rFonts w:cstheme="minorBidi"/>
              <w:noProof/>
              <w:sz w:val="18"/>
              <w:szCs w:val="18"/>
              <w:lang w:val="en-GB" w:eastAsia="en-GB"/>
            </w:rPr>
          </w:pPr>
          <w:hyperlink w:anchor="_Toc105081979" w:history="1">
            <w:r w:rsidR="00D86A63" w:rsidRPr="003C032B">
              <w:rPr>
                <w:rStyle w:val="Hyperlink"/>
                <w:noProof/>
                <w:sz w:val="18"/>
                <w:szCs w:val="18"/>
              </w:rPr>
              <w:t>ii.The unintended consequences of the inclusion of a 95% threshold is the EU-wide definition of recyclable packaging</w:t>
            </w:r>
            <w:r w:rsidR="00D86A63" w:rsidRPr="003C032B">
              <w:rPr>
                <w:noProof/>
                <w:webHidden/>
                <w:sz w:val="18"/>
                <w:szCs w:val="18"/>
              </w:rPr>
              <w:tab/>
            </w:r>
            <w:r w:rsidR="00D86A63" w:rsidRPr="003C032B">
              <w:rPr>
                <w:noProof/>
                <w:webHidden/>
                <w:sz w:val="18"/>
                <w:szCs w:val="18"/>
              </w:rPr>
              <w:fldChar w:fldCharType="begin"/>
            </w:r>
            <w:r w:rsidR="00D86A63" w:rsidRPr="003C032B">
              <w:rPr>
                <w:noProof/>
                <w:webHidden/>
                <w:sz w:val="18"/>
                <w:szCs w:val="18"/>
              </w:rPr>
              <w:instrText xml:space="preserve"> PAGEREF _Toc105081979 \h </w:instrText>
            </w:r>
            <w:r w:rsidR="00D86A63" w:rsidRPr="003C032B">
              <w:rPr>
                <w:noProof/>
                <w:webHidden/>
                <w:sz w:val="18"/>
                <w:szCs w:val="18"/>
              </w:rPr>
            </w:r>
            <w:r w:rsidR="00D86A63" w:rsidRPr="003C032B">
              <w:rPr>
                <w:noProof/>
                <w:webHidden/>
                <w:sz w:val="18"/>
                <w:szCs w:val="18"/>
              </w:rPr>
              <w:fldChar w:fldCharType="separate"/>
            </w:r>
            <w:r w:rsidR="00D86A63" w:rsidRPr="003C032B">
              <w:rPr>
                <w:noProof/>
                <w:webHidden/>
                <w:sz w:val="18"/>
                <w:szCs w:val="18"/>
              </w:rPr>
              <w:t>2</w:t>
            </w:r>
            <w:r w:rsidR="00D86A63" w:rsidRPr="003C032B">
              <w:rPr>
                <w:noProof/>
                <w:webHidden/>
                <w:sz w:val="18"/>
                <w:szCs w:val="18"/>
              </w:rPr>
              <w:fldChar w:fldCharType="end"/>
            </w:r>
          </w:hyperlink>
        </w:p>
        <w:p w14:paraId="1F5A8874" w14:textId="0855848D" w:rsidR="00D86A63" w:rsidRPr="003C032B" w:rsidRDefault="00A457AC" w:rsidP="003C032B">
          <w:pPr>
            <w:pStyle w:val="TOC3"/>
            <w:rPr>
              <w:rFonts w:cstheme="minorBidi"/>
              <w:noProof/>
              <w:sz w:val="18"/>
              <w:szCs w:val="18"/>
              <w:lang w:val="en-GB" w:eastAsia="en-GB"/>
            </w:rPr>
          </w:pPr>
          <w:hyperlink w:anchor="_Toc105081980" w:history="1">
            <w:r w:rsidR="00D86A63" w:rsidRPr="003C032B">
              <w:rPr>
                <w:rStyle w:val="Hyperlink"/>
                <w:noProof/>
                <w:sz w:val="18"/>
                <w:szCs w:val="18"/>
              </w:rPr>
              <w:t>iii.The EU-wide definition of recyclable packaging should be actionable, forward-looking and material neutral</w:t>
            </w:r>
            <w:r w:rsidR="00D86A63" w:rsidRPr="003C032B">
              <w:rPr>
                <w:noProof/>
                <w:webHidden/>
                <w:sz w:val="18"/>
                <w:szCs w:val="18"/>
              </w:rPr>
              <w:tab/>
            </w:r>
            <w:r w:rsidR="00D86A63" w:rsidRPr="003C032B">
              <w:rPr>
                <w:noProof/>
                <w:webHidden/>
                <w:sz w:val="18"/>
                <w:szCs w:val="18"/>
              </w:rPr>
              <w:fldChar w:fldCharType="begin"/>
            </w:r>
            <w:r w:rsidR="00D86A63" w:rsidRPr="003C032B">
              <w:rPr>
                <w:noProof/>
                <w:webHidden/>
                <w:sz w:val="18"/>
                <w:szCs w:val="18"/>
              </w:rPr>
              <w:instrText xml:space="preserve"> PAGEREF _Toc105081980 \h </w:instrText>
            </w:r>
            <w:r w:rsidR="00D86A63" w:rsidRPr="003C032B">
              <w:rPr>
                <w:noProof/>
                <w:webHidden/>
                <w:sz w:val="18"/>
                <w:szCs w:val="18"/>
              </w:rPr>
            </w:r>
            <w:r w:rsidR="00D86A63" w:rsidRPr="003C032B">
              <w:rPr>
                <w:noProof/>
                <w:webHidden/>
                <w:sz w:val="18"/>
                <w:szCs w:val="18"/>
              </w:rPr>
              <w:fldChar w:fldCharType="separate"/>
            </w:r>
            <w:r w:rsidR="00D86A63" w:rsidRPr="003C032B">
              <w:rPr>
                <w:noProof/>
                <w:webHidden/>
                <w:sz w:val="18"/>
                <w:szCs w:val="18"/>
              </w:rPr>
              <w:t>3</w:t>
            </w:r>
            <w:r w:rsidR="00D86A63" w:rsidRPr="003C032B">
              <w:rPr>
                <w:noProof/>
                <w:webHidden/>
                <w:sz w:val="18"/>
                <w:szCs w:val="18"/>
              </w:rPr>
              <w:fldChar w:fldCharType="end"/>
            </w:r>
          </w:hyperlink>
        </w:p>
        <w:p w14:paraId="6F318ABA" w14:textId="65449575" w:rsidR="00D86A63" w:rsidRPr="003C032B" w:rsidRDefault="00A457AC" w:rsidP="003C032B">
          <w:pPr>
            <w:pStyle w:val="TOC3"/>
            <w:rPr>
              <w:rFonts w:cstheme="minorBidi"/>
              <w:noProof/>
              <w:sz w:val="18"/>
              <w:szCs w:val="18"/>
              <w:lang w:val="en-GB" w:eastAsia="en-GB"/>
            </w:rPr>
          </w:pPr>
          <w:hyperlink w:anchor="_Toc105081981" w:history="1">
            <w:r w:rsidR="00D86A63" w:rsidRPr="003C032B">
              <w:rPr>
                <w:rStyle w:val="Hyperlink"/>
                <w:b/>
                <w:bCs/>
                <w:noProof/>
                <w:sz w:val="18"/>
                <w:szCs w:val="18"/>
              </w:rPr>
              <w:t>2.</w:t>
            </w:r>
            <w:r w:rsidR="00D86A63" w:rsidRPr="003C032B">
              <w:rPr>
                <w:rFonts w:cstheme="minorBidi"/>
                <w:noProof/>
                <w:sz w:val="18"/>
                <w:szCs w:val="18"/>
                <w:lang w:val="en-GB" w:eastAsia="en-GB"/>
              </w:rPr>
              <w:t xml:space="preserve"> </w:t>
            </w:r>
            <w:r w:rsidR="00D86A63" w:rsidRPr="003C032B">
              <w:rPr>
                <w:rStyle w:val="Hyperlink"/>
                <w:b/>
                <w:bCs/>
                <w:noProof/>
                <w:sz w:val="18"/>
                <w:szCs w:val="18"/>
              </w:rPr>
              <w:t>Assessing recyclability</w:t>
            </w:r>
            <w:r w:rsidR="00D86A63" w:rsidRPr="003C032B">
              <w:rPr>
                <w:noProof/>
                <w:webHidden/>
                <w:sz w:val="18"/>
                <w:szCs w:val="18"/>
              </w:rPr>
              <w:tab/>
            </w:r>
            <w:r w:rsidR="00D86A63" w:rsidRPr="003C032B">
              <w:rPr>
                <w:noProof/>
                <w:webHidden/>
                <w:sz w:val="18"/>
                <w:szCs w:val="18"/>
              </w:rPr>
              <w:fldChar w:fldCharType="begin"/>
            </w:r>
            <w:r w:rsidR="00D86A63" w:rsidRPr="003C032B">
              <w:rPr>
                <w:noProof/>
                <w:webHidden/>
                <w:sz w:val="18"/>
                <w:szCs w:val="18"/>
              </w:rPr>
              <w:instrText xml:space="preserve"> PAGEREF _Toc105081981 \h </w:instrText>
            </w:r>
            <w:r w:rsidR="00D86A63" w:rsidRPr="003C032B">
              <w:rPr>
                <w:noProof/>
                <w:webHidden/>
                <w:sz w:val="18"/>
                <w:szCs w:val="18"/>
              </w:rPr>
            </w:r>
            <w:r w:rsidR="00D86A63" w:rsidRPr="003C032B">
              <w:rPr>
                <w:noProof/>
                <w:webHidden/>
                <w:sz w:val="18"/>
                <w:szCs w:val="18"/>
              </w:rPr>
              <w:fldChar w:fldCharType="separate"/>
            </w:r>
            <w:r w:rsidR="00D86A63" w:rsidRPr="003C032B">
              <w:rPr>
                <w:noProof/>
                <w:webHidden/>
                <w:sz w:val="18"/>
                <w:szCs w:val="18"/>
              </w:rPr>
              <w:t>3</w:t>
            </w:r>
            <w:r w:rsidR="00D86A63" w:rsidRPr="003C032B">
              <w:rPr>
                <w:noProof/>
                <w:webHidden/>
                <w:sz w:val="18"/>
                <w:szCs w:val="18"/>
              </w:rPr>
              <w:fldChar w:fldCharType="end"/>
            </w:r>
          </w:hyperlink>
        </w:p>
        <w:p w14:paraId="5AA3F170" w14:textId="1E39FF04" w:rsidR="00D86A63" w:rsidRPr="003C032B" w:rsidRDefault="00A457AC" w:rsidP="003C032B">
          <w:pPr>
            <w:pStyle w:val="TOC3"/>
            <w:rPr>
              <w:rFonts w:cstheme="minorBidi"/>
              <w:noProof/>
              <w:sz w:val="18"/>
              <w:szCs w:val="18"/>
              <w:lang w:val="en-GB" w:eastAsia="en-GB"/>
            </w:rPr>
          </w:pPr>
          <w:hyperlink w:anchor="_Toc105081982" w:history="1">
            <w:r w:rsidR="00D86A63" w:rsidRPr="003C032B">
              <w:rPr>
                <w:rStyle w:val="Hyperlink"/>
                <w:noProof/>
                <w:sz w:val="18"/>
                <w:szCs w:val="18"/>
              </w:rPr>
              <w:t>i.A dedicated European Technical Committee</w:t>
            </w:r>
            <w:r w:rsidR="00D86A63" w:rsidRPr="003C032B">
              <w:rPr>
                <w:noProof/>
                <w:webHidden/>
                <w:sz w:val="18"/>
                <w:szCs w:val="18"/>
              </w:rPr>
              <w:tab/>
            </w:r>
            <w:r w:rsidR="00D86A63" w:rsidRPr="003C032B">
              <w:rPr>
                <w:noProof/>
                <w:webHidden/>
                <w:sz w:val="18"/>
                <w:szCs w:val="18"/>
              </w:rPr>
              <w:fldChar w:fldCharType="begin"/>
            </w:r>
            <w:r w:rsidR="00D86A63" w:rsidRPr="003C032B">
              <w:rPr>
                <w:noProof/>
                <w:webHidden/>
                <w:sz w:val="18"/>
                <w:szCs w:val="18"/>
              </w:rPr>
              <w:instrText xml:space="preserve"> PAGEREF _Toc105081982 \h </w:instrText>
            </w:r>
            <w:r w:rsidR="00D86A63" w:rsidRPr="003C032B">
              <w:rPr>
                <w:noProof/>
                <w:webHidden/>
                <w:sz w:val="18"/>
                <w:szCs w:val="18"/>
              </w:rPr>
            </w:r>
            <w:r w:rsidR="00D86A63" w:rsidRPr="003C032B">
              <w:rPr>
                <w:noProof/>
                <w:webHidden/>
                <w:sz w:val="18"/>
                <w:szCs w:val="18"/>
              </w:rPr>
              <w:fldChar w:fldCharType="separate"/>
            </w:r>
            <w:r w:rsidR="00D86A63" w:rsidRPr="003C032B">
              <w:rPr>
                <w:noProof/>
                <w:webHidden/>
                <w:sz w:val="18"/>
                <w:szCs w:val="18"/>
              </w:rPr>
              <w:t>3</w:t>
            </w:r>
            <w:r w:rsidR="00D86A63" w:rsidRPr="003C032B">
              <w:rPr>
                <w:noProof/>
                <w:webHidden/>
                <w:sz w:val="18"/>
                <w:szCs w:val="18"/>
              </w:rPr>
              <w:fldChar w:fldCharType="end"/>
            </w:r>
          </w:hyperlink>
        </w:p>
        <w:p w14:paraId="5E7236DE" w14:textId="372782FA" w:rsidR="00D86A63" w:rsidRPr="003C032B" w:rsidRDefault="00A457AC" w:rsidP="003C032B">
          <w:pPr>
            <w:pStyle w:val="TOC3"/>
            <w:rPr>
              <w:rFonts w:cstheme="minorBidi"/>
              <w:noProof/>
              <w:sz w:val="18"/>
              <w:szCs w:val="18"/>
              <w:lang w:val="en-GB" w:eastAsia="en-GB"/>
            </w:rPr>
          </w:pPr>
          <w:hyperlink w:anchor="_Toc105081983" w:history="1">
            <w:r w:rsidR="00D86A63" w:rsidRPr="003C032B">
              <w:rPr>
                <w:rStyle w:val="Hyperlink"/>
                <w:noProof/>
                <w:sz w:val="18"/>
                <w:szCs w:val="18"/>
              </w:rPr>
              <w:t>ii.A one-step Design for Recycling conformity assessment</w:t>
            </w:r>
            <w:r w:rsidR="00D86A63" w:rsidRPr="003C032B">
              <w:rPr>
                <w:noProof/>
                <w:webHidden/>
                <w:sz w:val="18"/>
                <w:szCs w:val="18"/>
              </w:rPr>
              <w:tab/>
            </w:r>
            <w:r w:rsidR="00D86A63" w:rsidRPr="003C032B">
              <w:rPr>
                <w:noProof/>
                <w:webHidden/>
                <w:sz w:val="18"/>
                <w:szCs w:val="18"/>
              </w:rPr>
              <w:fldChar w:fldCharType="begin"/>
            </w:r>
            <w:r w:rsidR="00D86A63" w:rsidRPr="003C032B">
              <w:rPr>
                <w:noProof/>
                <w:webHidden/>
                <w:sz w:val="18"/>
                <w:szCs w:val="18"/>
              </w:rPr>
              <w:instrText xml:space="preserve"> PAGEREF _Toc105081983 \h </w:instrText>
            </w:r>
            <w:r w:rsidR="00D86A63" w:rsidRPr="003C032B">
              <w:rPr>
                <w:noProof/>
                <w:webHidden/>
                <w:sz w:val="18"/>
                <w:szCs w:val="18"/>
              </w:rPr>
            </w:r>
            <w:r w:rsidR="00D86A63" w:rsidRPr="003C032B">
              <w:rPr>
                <w:noProof/>
                <w:webHidden/>
                <w:sz w:val="18"/>
                <w:szCs w:val="18"/>
              </w:rPr>
              <w:fldChar w:fldCharType="separate"/>
            </w:r>
            <w:r w:rsidR="00D86A63" w:rsidRPr="003C032B">
              <w:rPr>
                <w:noProof/>
                <w:webHidden/>
                <w:sz w:val="18"/>
                <w:szCs w:val="18"/>
              </w:rPr>
              <w:t>4</w:t>
            </w:r>
            <w:r w:rsidR="00D86A63" w:rsidRPr="003C032B">
              <w:rPr>
                <w:noProof/>
                <w:webHidden/>
                <w:sz w:val="18"/>
                <w:szCs w:val="18"/>
              </w:rPr>
              <w:fldChar w:fldCharType="end"/>
            </w:r>
          </w:hyperlink>
        </w:p>
        <w:p w14:paraId="5EAFD30A" w14:textId="01D88678" w:rsidR="00D86A63" w:rsidRPr="003C032B" w:rsidRDefault="00A457AC" w:rsidP="003C032B">
          <w:pPr>
            <w:pStyle w:val="TOC3"/>
            <w:rPr>
              <w:rFonts w:cstheme="minorBidi"/>
              <w:noProof/>
              <w:sz w:val="18"/>
              <w:szCs w:val="18"/>
              <w:lang w:val="en-GB" w:eastAsia="en-GB"/>
            </w:rPr>
          </w:pPr>
          <w:hyperlink w:anchor="_Toc105081984" w:history="1">
            <w:r w:rsidR="00D86A63" w:rsidRPr="003C032B">
              <w:rPr>
                <w:rStyle w:val="Hyperlink"/>
                <w:noProof/>
                <w:sz w:val="18"/>
                <w:szCs w:val="18"/>
              </w:rPr>
              <w:t>iii.Deploying the appropriate infrastructure</w:t>
            </w:r>
            <w:r w:rsidR="00D86A63" w:rsidRPr="003C032B">
              <w:rPr>
                <w:noProof/>
                <w:webHidden/>
                <w:sz w:val="18"/>
                <w:szCs w:val="18"/>
              </w:rPr>
              <w:tab/>
            </w:r>
            <w:r w:rsidR="00D86A63" w:rsidRPr="003C032B">
              <w:rPr>
                <w:noProof/>
                <w:webHidden/>
                <w:sz w:val="18"/>
                <w:szCs w:val="18"/>
              </w:rPr>
              <w:fldChar w:fldCharType="begin"/>
            </w:r>
            <w:r w:rsidR="00D86A63" w:rsidRPr="003C032B">
              <w:rPr>
                <w:noProof/>
                <w:webHidden/>
                <w:sz w:val="18"/>
                <w:szCs w:val="18"/>
              </w:rPr>
              <w:instrText xml:space="preserve"> PAGEREF _Toc105081984 \h </w:instrText>
            </w:r>
            <w:r w:rsidR="00D86A63" w:rsidRPr="003C032B">
              <w:rPr>
                <w:noProof/>
                <w:webHidden/>
                <w:sz w:val="18"/>
                <w:szCs w:val="18"/>
              </w:rPr>
            </w:r>
            <w:r w:rsidR="00D86A63" w:rsidRPr="003C032B">
              <w:rPr>
                <w:noProof/>
                <w:webHidden/>
                <w:sz w:val="18"/>
                <w:szCs w:val="18"/>
              </w:rPr>
              <w:fldChar w:fldCharType="separate"/>
            </w:r>
            <w:r w:rsidR="00D86A63" w:rsidRPr="003C032B">
              <w:rPr>
                <w:noProof/>
                <w:webHidden/>
                <w:sz w:val="18"/>
                <w:szCs w:val="18"/>
              </w:rPr>
              <w:t>4</w:t>
            </w:r>
            <w:r w:rsidR="00D86A63" w:rsidRPr="003C032B">
              <w:rPr>
                <w:noProof/>
                <w:webHidden/>
                <w:sz w:val="18"/>
                <w:szCs w:val="18"/>
              </w:rPr>
              <w:fldChar w:fldCharType="end"/>
            </w:r>
          </w:hyperlink>
        </w:p>
        <w:p w14:paraId="1A401228" w14:textId="28626BBF" w:rsidR="00D86A63" w:rsidRPr="003C032B" w:rsidRDefault="00A457AC" w:rsidP="003C032B">
          <w:pPr>
            <w:pStyle w:val="TOC3"/>
            <w:rPr>
              <w:rFonts w:cstheme="minorBidi"/>
              <w:b/>
              <w:bCs/>
              <w:noProof/>
              <w:sz w:val="18"/>
              <w:szCs w:val="18"/>
              <w:lang w:val="en-GB" w:eastAsia="en-GB"/>
            </w:rPr>
          </w:pPr>
          <w:hyperlink w:anchor="_Toc105081985" w:history="1">
            <w:r w:rsidR="00D86A63" w:rsidRPr="003C032B">
              <w:rPr>
                <w:rStyle w:val="Hyperlink"/>
                <w:b/>
                <w:bCs/>
                <w:noProof/>
                <w:sz w:val="18"/>
                <w:szCs w:val="18"/>
              </w:rPr>
              <w:t>Annex I – Non-exhaustive list of examples of packaging formats and applications for which a 95% recyclability threshold is not applicable</w:t>
            </w:r>
            <w:r w:rsidR="00D86A63" w:rsidRPr="003C032B">
              <w:rPr>
                <w:b/>
                <w:bCs/>
                <w:noProof/>
                <w:webHidden/>
                <w:sz w:val="18"/>
                <w:szCs w:val="18"/>
              </w:rPr>
              <w:tab/>
            </w:r>
            <w:r w:rsidR="00D86A63" w:rsidRPr="003C032B">
              <w:rPr>
                <w:b/>
                <w:bCs/>
                <w:noProof/>
                <w:webHidden/>
                <w:sz w:val="18"/>
                <w:szCs w:val="18"/>
              </w:rPr>
              <w:fldChar w:fldCharType="begin"/>
            </w:r>
            <w:r w:rsidR="00D86A63" w:rsidRPr="003C032B">
              <w:rPr>
                <w:b/>
                <w:bCs/>
                <w:noProof/>
                <w:webHidden/>
                <w:sz w:val="18"/>
                <w:szCs w:val="18"/>
              </w:rPr>
              <w:instrText xml:space="preserve"> PAGEREF _Toc105081985 \h </w:instrText>
            </w:r>
            <w:r w:rsidR="00D86A63" w:rsidRPr="003C032B">
              <w:rPr>
                <w:b/>
                <w:bCs/>
                <w:noProof/>
                <w:webHidden/>
                <w:sz w:val="18"/>
                <w:szCs w:val="18"/>
              </w:rPr>
            </w:r>
            <w:r w:rsidR="00D86A63" w:rsidRPr="003C032B">
              <w:rPr>
                <w:b/>
                <w:bCs/>
                <w:noProof/>
                <w:webHidden/>
                <w:sz w:val="18"/>
                <w:szCs w:val="18"/>
              </w:rPr>
              <w:fldChar w:fldCharType="separate"/>
            </w:r>
            <w:r w:rsidR="00D86A63" w:rsidRPr="003C032B">
              <w:rPr>
                <w:b/>
                <w:bCs/>
                <w:noProof/>
                <w:webHidden/>
                <w:sz w:val="18"/>
                <w:szCs w:val="18"/>
              </w:rPr>
              <w:t>6</w:t>
            </w:r>
            <w:r w:rsidR="00D86A63" w:rsidRPr="003C032B">
              <w:rPr>
                <w:b/>
                <w:bCs/>
                <w:noProof/>
                <w:webHidden/>
                <w:sz w:val="18"/>
                <w:szCs w:val="18"/>
              </w:rPr>
              <w:fldChar w:fldCharType="end"/>
            </w:r>
          </w:hyperlink>
        </w:p>
        <w:p w14:paraId="2705551C" w14:textId="0151FC54" w:rsidR="00D86A63" w:rsidRPr="003C032B" w:rsidRDefault="00A457AC" w:rsidP="003C032B">
          <w:pPr>
            <w:pStyle w:val="TOC3"/>
            <w:rPr>
              <w:rFonts w:cstheme="minorBidi"/>
              <w:b/>
              <w:bCs/>
              <w:noProof/>
              <w:sz w:val="18"/>
              <w:szCs w:val="18"/>
              <w:lang w:val="en-GB" w:eastAsia="en-GB"/>
            </w:rPr>
          </w:pPr>
          <w:hyperlink w:anchor="_Toc105081986" w:history="1">
            <w:r w:rsidR="00D86A63" w:rsidRPr="003C032B">
              <w:rPr>
                <w:rStyle w:val="Hyperlink"/>
                <w:b/>
                <w:bCs/>
                <w:noProof/>
                <w:sz w:val="18"/>
                <w:szCs w:val="18"/>
              </w:rPr>
              <w:t>Annex II - Signatories</w:t>
            </w:r>
            <w:r w:rsidR="00D86A63" w:rsidRPr="003C032B">
              <w:rPr>
                <w:b/>
                <w:bCs/>
                <w:noProof/>
                <w:webHidden/>
                <w:sz w:val="18"/>
                <w:szCs w:val="18"/>
              </w:rPr>
              <w:tab/>
            </w:r>
            <w:r w:rsidR="00D86A63" w:rsidRPr="003C032B">
              <w:rPr>
                <w:b/>
                <w:bCs/>
                <w:noProof/>
                <w:webHidden/>
                <w:sz w:val="18"/>
                <w:szCs w:val="18"/>
              </w:rPr>
              <w:fldChar w:fldCharType="begin"/>
            </w:r>
            <w:r w:rsidR="00D86A63" w:rsidRPr="003C032B">
              <w:rPr>
                <w:b/>
                <w:bCs/>
                <w:noProof/>
                <w:webHidden/>
                <w:sz w:val="18"/>
                <w:szCs w:val="18"/>
              </w:rPr>
              <w:instrText xml:space="preserve"> PAGEREF _Toc105081986 \h </w:instrText>
            </w:r>
            <w:r w:rsidR="00D86A63" w:rsidRPr="003C032B">
              <w:rPr>
                <w:b/>
                <w:bCs/>
                <w:noProof/>
                <w:webHidden/>
                <w:sz w:val="18"/>
                <w:szCs w:val="18"/>
              </w:rPr>
            </w:r>
            <w:r w:rsidR="00D86A63" w:rsidRPr="003C032B">
              <w:rPr>
                <w:b/>
                <w:bCs/>
                <w:noProof/>
                <w:webHidden/>
                <w:sz w:val="18"/>
                <w:szCs w:val="18"/>
              </w:rPr>
              <w:fldChar w:fldCharType="separate"/>
            </w:r>
            <w:r w:rsidR="00D86A63" w:rsidRPr="003C032B">
              <w:rPr>
                <w:b/>
                <w:bCs/>
                <w:noProof/>
                <w:webHidden/>
                <w:sz w:val="18"/>
                <w:szCs w:val="18"/>
              </w:rPr>
              <w:t>9</w:t>
            </w:r>
            <w:r w:rsidR="00D86A63" w:rsidRPr="003C032B">
              <w:rPr>
                <w:b/>
                <w:bCs/>
                <w:noProof/>
                <w:webHidden/>
                <w:sz w:val="18"/>
                <w:szCs w:val="18"/>
              </w:rPr>
              <w:fldChar w:fldCharType="end"/>
            </w:r>
          </w:hyperlink>
        </w:p>
        <w:p w14:paraId="5D4466EE" w14:textId="4149D877" w:rsidR="00D86A63" w:rsidRDefault="00D86A63">
          <w:r w:rsidRPr="00D86A63">
            <w:rPr>
              <w:b/>
              <w:bCs/>
              <w:noProof/>
              <w:sz w:val="14"/>
              <w:szCs w:val="18"/>
            </w:rPr>
            <w:fldChar w:fldCharType="end"/>
          </w:r>
        </w:p>
      </w:sdtContent>
    </w:sdt>
    <w:p w14:paraId="7A5F139F" w14:textId="5192D379" w:rsidR="00FB1C5B" w:rsidRDefault="00101D2E" w:rsidP="00012C2B">
      <w:pPr>
        <w:pStyle w:val="Heading3"/>
        <w:numPr>
          <w:ilvl w:val="0"/>
          <w:numId w:val="27"/>
        </w:numPr>
        <w:rPr>
          <w:lang w:val="en-US"/>
        </w:rPr>
      </w:pPr>
      <w:bookmarkStart w:id="2" w:name="_Toc105081977"/>
      <w:r>
        <w:rPr>
          <w:lang w:val="en-US"/>
        </w:rPr>
        <w:t>Defining recyclable packaging</w:t>
      </w:r>
      <w:bookmarkEnd w:id="2"/>
      <w:bookmarkEnd w:id="1"/>
    </w:p>
    <w:p w14:paraId="142AF2AE" w14:textId="32105F87" w:rsidR="00382092" w:rsidRPr="00EF465E" w:rsidRDefault="008064E1" w:rsidP="00EF465E">
      <w:pPr>
        <w:pStyle w:val="Heading3"/>
        <w:numPr>
          <w:ilvl w:val="0"/>
          <w:numId w:val="30"/>
        </w:numPr>
        <w:rPr>
          <w:color w:val="1CC4ED" w:themeColor="accent4"/>
          <w:sz w:val="18"/>
          <w:szCs w:val="18"/>
          <w:lang w:val="en-US"/>
        </w:rPr>
      </w:pPr>
      <w:bookmarkStart w:id="3" w:name="_Toc105081928"/>
      <w:bookmarkStart w:id="4" w:name="_Toc105081978"/>
      <w:r w:rsidRPr="00EF465E">
        <w:rPr>
          <w:color w:val="1CC4ED" w:themeColor="accent4"/>
          <w:sz w:val="18"/>
          <w:szCs w:val="18"/>
          <w:lang w:val="en-US"/>
        </w:rPr>
        <w:t>A</w:t>
      </w:r>
      <w:r w:rsidR="00382092" w:rsidRPr="00EF465E">
        <w:rPr>
          <w:color w:val="1CC4ED" w:themeColor="accent4"/>
          <w:sz w:val="18"/>
          <w:szCs w:val="18"/>
          <w:lang w:val="en-US"/>
        </w:rPr>
        <w:t xml:space="preserve"> recyclability threshold in the</w:t>
      </w:r>
      <w:r w:rsidRPr="00EF465E">
        <w:rPr>
          <w:color w:val="1CC4ED" w:themeColor="accent4"/>
          <w:sz w:val="18"/>
          <w:szCs w:val="18"/>
          <w:lang w:val="en-US"/>
        </w:rPr>
        <w:t xml:space="preserve"> EU-wide</w:t>
      </w:r>
      <w:r w:rsidR="00382092" w:rsidRPr="00EF465E">
        <w:rPr>
          <w:color w:val="1CC4ED" w:themeColor="accent4"/>
          <w:sz w:val="18"/>
          <w:szCs w:val="18"/>
          <w:lang w:val="en-US"/>
        </w:rPr>
        <w:t xml:space="preserve"> definition </w:t>
      </w:r>
      <w:r w:rsidRPr="00EF465E">
        <w:rPr>
          <w:color w:val="1CC4ED" w:themeColor="accent4"/>
          <w:sz w:val="18"/>
          <w:szCs w:val="18"/>
          <w:lang w:val="en-US"/>
        </w:rPr>
        <w:t xml:space="preserve">of recyclable packaging </w:t>
      </w:r>
      <w:r w:rsidR="00382092" w:rsidRPr="00EF465E">
        <w:rPr>
          <w:color w:val="1CC4ED" w:themeColor="accent4"/>
          <w:sz w:val="18"/>
          <w:szCs w:val="18"/>
          <w:lang w:val="en-US"/>
        </w:rPr>
        <w:t xml:space="preserve">would be detrimental </w:t>
      </w:r>
      <w:r w:rsidRPr="00EF465E">
        <w:rPr>
          <w:color w:val="1CC4ED" w:themeColor="accent4"/>
          <w:sz w:val="18"/>
          <w:szCs w:val="18"/>
          <w:lang w:val="en-US"/>
        </w:rPr>
        <w:t>to the EU sustainability and climate objective</w:t>
      </w:r>
      <w:r w:rsidR="00C04D8D" w:rsidRPr="00EF465E">
        <w:rPr>
          <w:color w:val="1CC4ED" w:themeColor="accent4"/>
          <w:sz w:val="18"/>
          <w:szCs w:val="18"/>
          <w:lang w:val="en-US"/>
        </w:rPr>
        <w:t>s</w:t>
      </w:r>
      <w:bookmarkEnd w:id="3"/>
      <w:bookmarkEnd w:id="4"/>
    </w:p>
    <w:p w14:paraId="617C84B8" w14:textId="77777777" w:rsidR="00A5779E" w:rsidRDefault="00A5779E" w:rsidP="00C61E5A">
      <w:pPr>
        <w:rPr>
          <w:rFonts w:ascii="Arial" w:hAnsi="Arial" w:cs="Arial"/>
          <w:color w:val="auto"/>
          <w:szCs w:val="18"/>
        </w:rPr>
      </w:pPr>
      <w:r w:rsidRPr="00A5779E">
        <w:rPr>
          <w:rFonts w:ascii="Arial" w:hAnsi="Arial" w:cs="Arial"/>
          <w:color w:val="auto"/>
          <w:szCs w:val="18"/>
        </w:rPr>
        <w:t>An actionable and forward-looking definition of recyclability must be technology and material neutral, and foster the co-evolution of innovative packaging, recycling technologies and infrastructure. A packaging can be recycled at scale into a product, material or substance, enabling for innovation in all recycling technologies, including mechanical, organic and chemical recycling.</w:t>
      </w:r>
    </w:p>
    <w:p w14:paraId="7ECD61F6" w14:textId="290E8812" w:rsidR="00657D0E" w:rsidRDefault="00E62AE7" w:rsidP="003A14B1">
      <w:pPr>
        <w:rPr>
          <w:color w:val="auto"/>
          <w:lang w:val="en-US"/>
        </w:rPr>
      </w:pPr>
      <w:r>
        <w:rPr>
          <w:rFonts w:ascii="Arial" w:hAnsi="Arial" w:cs="Arial"/>
          <w:color w:val="auto"/>
          <w:szCs w:val="18"/>
        </w:rPr>
        <w:t>The</w:t>
      </w:r>
      <w:r w:rsidR="00A5779E" w:rsidRPr="003A14B1">
        <w:rPr>
          <w:rFonts w:ascii="Arial" w:hAnsi="Arial" w:cs="Arial"/>
          <w:color w:val="auto"/>
          <w:szCs w:val="18"/>
        </w:rPr>
        <w:t xml:space="preserve"> </w:t>
      </w:r>
      <w:r w:rsidR="00273FDB">
        <w:rPr>
          <w:rFonts w:ascii="Arial" w:hAnsi="Arial" w:cs="Arial"/>
          <w:color w:val="auto"/>
          <w:szCs w:val="18"/>
        </w:rPr>
        <w:t xml:space="preserve">draft </w:t>
      </w:r>
      <w:r w:rsidR="00A5779E" w:rsidRPr="003A14B1">
        <w:rPr>
          <w:rFonts w:ascii="Arial" w:hAnsi="Arial" w:cs="Arial"/>
          <w:color w:val="auto"/>
          <w:szCs w:val="18"/>
        </w:rPr>
        <w:t xml:space="preserve">qualitative definition of recyclable packaging presented during </w:t>
      </w:r>
      <w:r w:rsidR="000371A3" w:rsidRPr="003A14B1">
        <w:rPr>
          <w:rFonts w:ascii="Arial" w:hAnsi="Arial" w:cs="Arial"/>
          <w:color w:val="auto"/>
          <w:szCs w:val="18"/>
        </w:rPr>
        <w:t xml:space="preserve">the different </w:t>
      </w:r>
      <w:r w:rsidR="00A5779E" w:rsidRPr="003A14B1">
        <w:rPr>
          <w:rFonts w:ascii="Arial" w:hAnsi="Arial" w:cs="Arial"/>
          <w:color w:val="auto"/>
          <w:szCs w:val="18"/>
        </w:rPr>
        <w:t xml:space="preserve">stakeholders consultations </w:t>
      </w:r>
      <w:r w:rsidR="000371A3" w:rsidRPr="003A14B1">
        <w:rPr>
          <w:rFonts w:ascii="Arial" w:hAnsi="Arial" w:cs="Arial"/>
          <w:color w:val="auto"/>
          <w:szCs w:val="18"/>
        </w:rPr>
        <w:t xml:space="preserve">supporting the revision of the Packaging and Packaging </w:t>
      </w:r>
      <w:r w:rsidR="000371A3" w:rsidRPr="003A14B1">
        <w:rPr>
          <w:color w:val="auto"/>
          <w:lang w:val="en-US"/>
        </w:rPr>
        <w:t>Waste Directive</w:t>
      </w:r>
      <w:r>
        <w:rPr>
          <w:color w:val="auto"/>
          <w:lang w:val="en-US"/>
        </w:rPr>
        <w:t xml:space="preserve"> is raising </w:t>
      </w:r>
      <w:r w:rsidR="002D57CC">
        <w:rPr>
          <w:color w:val="auto"/>
          <w:lang w:val="en-US"/>
        </w:rPr>
        <w:t>important concerns</w:t>
      </w:r>
      <w:r w:rsidR="000371A3" w:rsidRPr="003A14B1">
        <w:rPr>
          <w:color w:val="auto"/>
          <w:lang w:val="en-US"/>
        </w:rPr>
        <w:t>.</w:t>
      </w:r>
      <w:r w:rsidR="002D57CC">
        <w:rPr>
          <w:color w:val="auto"/>
          <w:lang w:val="en-US"/>
        </w:rPr>
        <w:t xml:space="preserve"> T</w:t>
      </w:r>
      <w:r w:rsidR="007C68EC" w:rsidRPr="00A5779E">
        <w:rPr>
          <w:color w:val="auto"/>
          <w:lang w:val="en-US"/>
        </w:rPr>
        <w:t xml:space="preserve">he latest </w:t>
      </w:r>
      <w:r w:rsidR="002D57CC">
        <w:rPr>
          <w:color w:val="auto"/>
          <w:lang w:val="en-US"/>
        </w:rPr>
        <w:t xml:space="preserve">version of the </w:t>
      </w:r>
      <w:r w:rsidR="007C68EC" w:rsidRPr="00A5779E">
        <w:rPr>
          <w:color w:val="auto"/>
          <w:lang w:val="en-US"/>
        </w:rPr>
        <w:t>definition presented to stakeholders state</w:t>
      </w:r>
      <w:r>
        <w:rPr>
          <w:color w:val="auto"/>
          <w:lang w:val="en-US"/>
        </w:rPr>
        <w:t>d</w:t>
      </w:r>
      <w:r w:rsidR="007C68EC" w:rsidRPr="00A5779E">
        <w:rPr>
          <w:color w:val="auto"/>
          <w:lang w:val="en-US"/>
        </w:rPr>
        <w:t xml:space="preserve"> that </w:t>
      </w:r>
      <w:r w:rsidR="007C68EC" w:rsidRPr="00273FDB">
        <w:rPr>
          <w:i/>
          <w:iCs/>
          <w:color w:val="auto"/>
          <w:lang w:val="en-US"/>
        </w:rPr>
        <w:t>“At least 95% of the unit of packaging shall be recyclable”.</w:t>
      </w:r>
      <w:r w:rsidR="007C68EC" w:rsidRPr="00A5779E">
        <w:rPr>
          <w:color w:val="auto"/>
          <w:lang w:val="en-US"/>
        </w:rPr>
        <w:t xml:space="preserve"> </w:t>
      </w:r>
    </w:p>
    <w:p w14:paraId="02935C69" w14:textId="215CC07C" w:rsidR="00A90330" w:rsidRPr="00847389" w:rsidRDefault="00A90330" w:rsidP="00847389">
      <w:pPr>
        <w:rPr>
          <w:color w:val="auto"/>
          <w:lang w:val="en-US"/>
        </w:rPr>
      </w:pPr>
      <w:r w:rsidRPr="00847389">
        <w:rPr>
          <w:color w:val="auto"/>
        </w:rPr>
        <w:t>While a level playing field should be ensured between materials, with</w:t>
      </w:r>
      <w:r w:rsidR="00847389">
        <w:rPr>
          <w:color w:val="auto"/>
        </w:rPr>
        <w:t xml:space="preserve"> the</w:t>
      </w:r>
      <w:r w:rsidRPr="00847389">
        <w:rPr>
          <w:color w:val="auto"/>
        </w:rPr>
        <w:t xml:space="preserve"> </w:t>
      </w:r>
      <w:r w:rsidR="00847389">
        <w:rPr>
          <w:color w:val="auto"/>
        </w:rPr>
        <w:t>objective</w:t>
      </w:r>
      <w:r w:rsidRPr="00847389">
        <w:rPr>
          <w:color w:val="auto"/>
        </w:rPr>
        <w:t xml:space="preserve"> </w:t>
      </w:r>
      <w:r w:rsidR="00847389">
        <w:rPr>
          <w:color w:val="auto"/>
        </w:rPr>
        <w:t>that</w:t>
      </w:r>
      <w:r w:rsidRPr="00847389">
        <w:rPr>
          <w:color w:val="auto"/>
        </w:rPr>
        <w:t xml:space="preserve"> all packaging is recyclable by 2030, </w:t>
      </w:r>
      <w:r w:rsidR="00D90844">
        <w:rPr>
          <w:color w:val="auto"/>
          <w:lang w:val="en-US"/>
        </w:rPr>
        <w:t>this</w:t>
      </w:r>
      <w:r w:rsidRPr="00847389">
        <w:rPr>
          <w:color w:val="auto"/>
          <w:lang w:val="en-US"/>
        </w:rPr>
        <w:t xml:space="preserve"> 95% </w:t>
      </w:r>
      <w:r w:rsidR="00D90844">
        <w:rPr>
          <w:color w:val="auto"/>
          <w:lang w:val="en-US"/>
        </w:rPr>
        <w:t xml:space="preserve">recyclability </w:t>
      </w:r>
      <w:r w:rsidRPr="00847389">
        <w:rPr>
          <w:color w:val="auto"/>
          <w:lang w:val="en-US"/>
        </w:rPr>
        <w:t>threshold does not account for the different product and material specificities.</w:t>
      </w:r>
    </w:p>
    <w:p w14:paraId="00FC5FDD" w14:textId="073A4164" w:rsidR="00A5779E" w:rsidRPr="00657D0E" w:rsidRDefault="007C68EC" w:rsidP="00657D0E">
      <w:pPr>
        <w:pStyle w:val="ListParagraph"/>
        <w:numPr>
          <w:ilvl w:val="0"/>
          <w:numId w:val="17"/>
        </w:numPr>
        <w:rPr>
          <w:color w:val="auto"/>
          <w:lang w:val="en-US"/>
        </w:rPr>
      </w:pPr>
      <w:r w:rsidRPr="00657D0E">
        <w:rPr>
          <w:b/>
          <w:bCs/>
          <w:color w:val="auto"/>
          <w:lang w:val="en-US"/>
        </w:rPr>
        <w:t xml:space="preserve">The undersigned organisations </w:t>
      </w:r>
      <w:r w:rsidR="00D90844">
        <w:rPr>
          <w:b/>
          <w:bCs/>
          <w:color w:val="auto"/>
          <w:lang w:val="en-US"/>
        </w:rPr>
        <w:t xml:space="preserve">are </w:t>
      </w:r>
      <w:r w:rsidRPr="00657D0E">
        <w:rPr>
          <w:b/>
          <w:bCs/>
          <w:color w:val="auto"/>
          <w:lang w:val="en-US"/>
        </w:rPr>
        <w:t>strongly oppose</w:t>
      </w:r>
      <w:r w:rsidR="00D90844">
        <w:rPr>
          <w:b/>
          <w:bCs/>
          <w:color w:val="auto"/>
          <w:lang w:val="en-US"/>
        </w:rPr>
        <w:t>d</w:t>
      </w:r>
      <w:r w:rsidR="007D2DB7" w:rsidRPr="00657D0E">
        <w:rPr>
          <w:b/>
          <w:bCs/>
          <w:color w:val="auto"/>
          <w:lang w:val="en-US"/>
        </w:rPr>
        <w:t xml:space="preserve"> the proposed inclusion </w:t>
      </w:r>
      <w:r w:rsidRPr="00657D0E">
        <w:rPr>
          <w:b/>
          <w:bCs/>
          <w:color w:val="auto"/>
          <w:lang w:val="en-US"/>
        </w:rPr>
        <w:t>of this</w:t>
      </w:r>
      <w:r w:rsidR="007D2DB7" w:rsidRPr="00657D0E">
        <w:rPr>
          <w:b/>
          <w:bCs/>
          <w:color w:val="auto"/>
          <w:lang w:val="en-US"/>
        </w:rPr>
        <w:t xml:space="preserve"> </w:t>
      </w:r>
      <w:r w:rsidRPr="00657D0E">
        <w:rPr>
          <w:b/>
          <w:bCs/>
          <w:color w:val="auto"/>
          <w:lang w:val="en-US"/>
        </w:rPr>
        <w:t xml:space="preserve">recyclability </w:t>
      </w:r>
      <w:r w:rsidR="007D2DB7" w:rsidRPr="00657D0E">
        <w:rPr>
          <w:b/>
          <w:bCs/>
          <w:color w:val="auto"/>
          <w:lang w:val="en-US"/>
        </w:rPr>
        <w:t>threshold in the definition of recyclable packaging</w:t>
      </w:r>
      <w:r w:rsidRPr="00657D0E">
        <w:rPr>
          <w:b/>
          <w:bCs/>
          <w:color w:val="auto"/>
          <w:lang w:val="en-US"/>
        </w:rPr>
        <w:t xml:space="preserve"> </w:t>
      </w:r>
      <w:r w:rsidR="004128AA" w:rsidRPr="00657D0E">
        <w:rPr>
          <w:b/>
          <w:bCs/>
          <w:color w:val="auto"/>
          <w:lang w:val="en-US"/>
        </w:rPr>
        <w:t xml:space="preserve">as it would </w:t>
      </w:r>
      <w:r w:rsidR="001B3385">
        <w:rPr>
          <w:b/>
          <w:bCs/>
          <w:color w:val="auto"/>
          <w:lang w:val="en-US"/>
        </w:rPr>
        <w:t>generate</w:t>
      </w:r>
      <w:r w:rsidR="004128AA" w:rsidRPr="00657D0E">
        <w:rPr>
          <w:b/>
          <w:bCs/>
          <w:color w:val="auto"/>
          <w:lang w:val="en-US"/>
        </w:rPr>
        <w:t xml:space="preserve"> </w:t>
      </w:r>
      <w:r w:rsidR="0084112D">
        <w:rPr>
          <w:b/>
          <w:bCs/>
          <w:color w:val="auto"/>
          <w:lang w:val="en-US"/>
        </w:rPr>
        <w:t xml:space="preserve">unintended environmental consequences or </w:t>
      </w:r>
      <w:r w:rsidR="001B3385" w:rsidRPr="00657D0E">
        <w:rPr>
          <w:b/>
          <w:bCs/>
          <w:color w:val="auto"/>
          <w:lang w:val="en-US"/>
        </w:rPr>
        <w:t xml:space="preserve">lead </w:t>
      </w:r>
      <w:r w:rsidR="001B3385">
        <w:rPr>
          <w:b/>
          <w:bCs/>
          <w:color w:val="auto"/>
          <w:lang w:val="en-US"/>
        </w:rPr>
        <w:t xml:space="preserve">to </w:t>
      </w:r>
      <w:r w:rsidR="0084112D">
        <w:rPr>
          <w:b/>
          <w:bCs/>
          <w:color w:val="auto"/>
          <w:lang w:val="en-US"/>
        </w:rPr>
        <w:t xml:space="preserve">the </w:t>
      </w:r>
      <w:r w:rsidR="004128AA" w:rsidRPr="00657D0E">
        <w:rPr>
          <w:b/>
          <w:bCs/>
          <w:color w:val="auto"/>
        </w:rPr>
        <w:t xml:space="preserve">disappearance of </w:t>
      </w:r>
      <w:r w:rsidR="00A8453E">
        <w:rPr>
          <w:b/>
          <w:bCs/>
          <w:color w:val="auto"/>
        </w:rPr>
        <w:t>an entire</w:t>
      </w:r>
      <w:r w:rsidR="004128AA" w:rsidRPr="00657D0E">
        <w:rPr>
          <w:b/>
          <w:bCs/>
          <w:color w:val="auto"/>
        </w:rPr>
        <w:t xml:space="preserve"> </w:t>
      </w:r>
      <w:r w:rsidR="00FA6482">
        <w:rPr>
          <w:b/>
          <w:bCs/>
          <w:color w:val="auto"/>
        </w:rPr>
        <w:t>segment</w:t>
      </w:r>
      <w:r w:rsidR="004128AA" w:rsidRPr="00657D0E">
        <w:rPr>
          <w:b/>
          <w:bCs/>
          <w:color w:val="auto"/>
        </w:rPr>
        <w:t xml:space="preserve"> of packaging that </w:t>
      </w:r>
      <w:r w:rsidR="007922B4" w:rsidRPr="00657D0E">
        <w:rPr>
          <w:b/>
          <w:bCs/>
          <w:color w:val="auto"/>
        </w:rPr>
        <w:t>are</w:t>
      </w:r>
      <w:r w:rsidR="004128AA" w:rsidRPr="00657D0E">
        <w:rPr>
          <w:b/>
          <w:bCs/>
          <w:color w:val="auto"/>
        </w:rPr>
        <w:t xml:space="preserve"> already be</w:t>
      </w:r>
      <w:r w:rsidR="00382092" w:rsidRPr="00657D0E">
        <w:rPr>
          <w:b/>
          <w:bCs/>
          <w:color w:val="auto"/>
        </w:rPr>
        <w:t>ing</w:t>
      </w:r>
      <w:r w:rsidR="00DD2895">
        <w:rPr>
          <w:b/>
          <w:bCs/>
          <w:color w:val="auto"/>
        </w:rPr>
        <w:t xml:space="preserve"> effectively</w:t>
      </w:r>
      <w:r w:rsidR="00382092" w:rsidRPr="00657D0E">
        <w:rPr>
          <w:b/>
          <w:bCs/>
          <w:color w:val="auto"/>
        </w:rPr>
        <w:t xml:space="preserve"> recycled today.</w:t>
      </w:r>
    </w:p>
    <w:p w14:paraId="50097C25" w14:textId="74FE0E19" w:rsidR="00947E1B" w:rsidRDefault="40344A77" w:rsidP="007C68EC">
      <w:pPr>
        <w:rPr>
          <w:color w:val="auto"/>
          <w:lang w:val="en-US"/>
        </w:rPr>
      </w:pPr>
      <w:r w:rsidRPr="179AFDDC">
        <w:rPr>
          <w:color w:val="auto"/>
          <w:lang w:val="en-US"/>
        </w:rPr>
        <w:t>The</w:t>
      </w:r>
      <w:r w:rsidR="00A5779E" w:rsidRPr="005B7149">
        <w:rPr>
          <w:color w:val="auto"/>
          <w:lang w:val="en-US"/>
        </w:rPr>
        <w:t xml:space="preserve"> 95% threshold is not suitable for several types of packaging</w:t>
      </w:r>
      <w:r w:rsidR="005B7149" w:rsidRPr="005B7149">
        <w:rPr>
          <w:color w:val="auto"/>
          <w:lang w:val="en-US"/>
        </w:rPr>
        <w:t xml:space="preserve"> as it would require increasing the thickness of the main material just to reach this threshold. In several types of</w:t>
      </w:r>
      <w:r w:rsidR="00947E1B" w:rsidRPr="005B7149">
        <w:rPr>
          <w:color w:val="auto"/>
          <w:lang w:val="en-US"/>
        </w:rPr>
        <w:t xml:space="preserve"> packaging</w:t>
      </w:r>
      <w:r w:rsidR="005B7149" w:rsidRPr="005B7149">
        <w:rPr>
          <w:color w:val="auto"/>
          <w:lang w:val="en-US"/>
        </w:rPr>
        <w:t xml:space="preserve">, </w:t>
      </w:r>
      <w:r w:rsidR="00947E1B" w:rsidRPr="005B7149">
        <w:rPr>
          <w:color w:val="auto"/>
          <w:lang w:val="en-US"/>
        </w:rPr>
        <w:t>the necessary functional layer</w:t>
      </w:r>
      <w:r w:rsidR="005B7149" w:rsidRPr="005B7149">
        <w:rPr>
          <w:color w:val="auto"/>
          <w:lang w:val="en-US"/>
        </w:rPr>
        <w:t xml:space="preserve">s and </w:t>
      </w:r>
      <w:r w:rsidR="00947E1B" w:rsidRPr="005B7149">
        <w:rPr>
          <w:color w:val="auto"/>
          <w:lang w:val="en-US"/>
        </w:rPr>
        <w:t xml:space="preserve">components (inks, surface lacquers, etc.) </w:t>
      </w:r>
      <w:r w:rsidR="00BC729C" w:rsidRPr="005B7149">
        <w:rPr>
          <w:color w:val="auto"/>
          <w:lang w:val="en-US"/>
        </w:rPr>
        <w:t xml:space="preserve">often </w:t>
      </w:r>
      <w:r w:rsidR="00947E1B" w:rsidRPr="005B7149">
        <w:rPr>
          <w:color w:val="auto"/>
          <w:lang w:val="en-US"/>
        </w:rPr>
        <w:t>represent a percentage</w:t>
      </w:r>
      <w:r w:rsidR="005B7149">
        <w:rPr>
          <w:color w:val="auto"/>
          <w:lang w:val="en-US"/>
        </w:rPr>
        <w:t xml:space="preserve"> </w:t>
      </w:r>
      <w:r w:rsidR="00947E1B" w:rsidRPr="005B7149">
        <w:rPr>
          <w:color w:val="auto"/>
          <w:lang w:val="en-US"/>
        </w:rPr>
        <w:t xml:space="preserve">above 5%. </w:t>
      </w:r>
      <w:r w:rsidR="005A786E" w:rsidRPr="005B7149">
        <w:rPr>
          <w:color w:val="auto"/>
          <w:lang w:val="en-US"/>
        </w:rPr>
        <w:t>This would lead to unintended environmental consequences contradicting the key EU objective of minimising packaging waste.</w:t>
      </w:r>
    </w:p>
    <w:p w14:paraId="7F591620" w14:textId="53F813D6" w:rsidR="00A42D25" w:rsidRPr="00CF6051" w:rsidRDefault="003A14B1" w:rsidP="0024710F">
      <w:pPr>
        <w:pStyle w:val="ListParagraph"/>
        <w:numPr>
          <w:ilvl w:val="0"/>
          <w:numId w:val="17"/>
        </w:numPr>
        <w:rPr>
          <w:b/>
          <w:bCs/>
          <w:color w:val="auto"/>
          <w:lang w:val="en-US"/>
        </w:rPr>
      </w:pPr>
      <w:r w:rsidRPr="00CF6051">
        <w:rPr>
          <w:b/>
          <w:bCs/>
          <w:color w:val="auto"/>
          <w:lang w:val="en-US"/>
        </w:rPr>
        <w:t xml:space="preserve">We </w:t>
      </w:r>
      <w:r w:rsidR="00947E1B" w:rsidRPr="00CF6051">
        <w:rPr>
          <w:b/>
          <w:bCs/>
          <w:color w:val="auto"/>
          <w:lang w:val="en-US"/>
        </w:rPr>
        <w:t xml:space="preserve">therefore </w:t>
      </w:r>
      <w:r w:rsidRPr="00CF6051">
        <w:rPr>
          <w:b/>
          <w:bCs/>
          <w:color w:val="auto"/>
          <w:lang w:val="en-US"/>
        </w:rPr>
        <w:t>recommend</w:t>
      </w:r>
      <w:r w:rsidR="00A5779E" w:rsidRPr="00CF6051">
        <w:rPr>
          <w:b/>
          <w:bCs/>
          <w:color w:val="auto"/>
          <w:lang w:val="en-US"/>
        </w:rPr>
        <w:t xml:space="preserve"> not to include a</w:t>
      </w:r>
      <w:r w:rsidR="00947E1B" w:rsidRPr="00CF6051">
        <w:rPr>
          <w:b/>
          <w:bCs/>
          <w:color w:val="auto"/>
          <w:lang w:val="en-US"/>
        </w:rPr>
        <w:t>ny recyclability</w:t>
      </w:r>
      <w:r w:rsidR="00A5779E" w:rsidRPr="00CF6051">
        <w:rPr>
          <w:b/>
          <w:bCs/>
          <w:color w:val="auto"/>
          <w:lang w:val="en-US"/>
        </w:rPr>
        <w:t xml:space="preserve"> threshold in the definition of recyclable packaging but instead include any specific threshold</w:t>
      </w:r>
      <w:r w:rsidR="00A42D25" w:rsidRPr="00CF6051">
        <w:rPr>
          <w:b/>
          <w:bCs/>
          <w:color w:val="auto"/>
          <w:lang w:val="en-US"/>
        </w:rPr>
        <w:t>s</w:t>
      </w:r>
      <w:r w:rsidR="00A5779E" w:rsidRPr="00CF6051">
        <w:rPr>
          <w:b/>
          <w:bCs/>
          <w:color w:val="auto"/>
          <w:lang w:val="en-US"/>
        </w:rPr>
        <w:t xml:space="preserve"> in material- and format-specific Design for Recycling guidelines. </w:t>
      </w:r>
    </w:p>
    <w:p w14:paraId="3A865835" w14:textId="516FD62F" w:rsidR="00621947" w:rsidRPr="007C68EC" w:rsidRDefault="00621947" w:rsidP="007C68EC">
      <w:pPr>
        <w:rPr>
          <w:color w:val="auto"/>
          <w:lang w:val="en-US"/>
        </w:rPr>
      </w:pPr>
      <w:r w:rsidRPr="007C68EC">
        <w:rPr>
          <w:color w:val="auto"/>
          <w:lang w:val="en-US"/>
        </w:rPr>
        <w:t xml:space="preserve">We also call on the European Commission to clarify </w:t>
      </w:r>
      <w:r w:rsidR="00A5779E" w:rsidRPr="007C68EC">
        <w:rPr>
          <w:color w:val="auto"/>
          <w:lang w:val="en-US"/>
        </w:rPr>
        <w:t>what constitutes a “unit of packaging”.</w:t>
      </w:r>
      <w:r w:rsidR="006C65F0" w:rsidRPr="007C68EC">
        <w:rPr>
          <w:color w:val="auto"/>
          <w:lang w:val="en-US"/>
        </w:rPr>
        <w:t xml:space="preserve"> A “unit of packaging” could be understood as </w:t>
      </w:r>
      <w:r w:rsidR="00C539CE" w:rsidRPr="007C68EC">
        <w:rPr>
          <w:color w:val="auto"/>
          <w:lang w:val="en-US"/>
        </w:rPr>
        <w:t xml:space="preserve">the </w:t>
      </w:r>
      <w:r w:rsidR="00723C77" w:rsidRPr="007C68EC">
        <w:rPr>
          <w:color w:val="auto"/>
          <w:lang w:val="en-US"/>
        </w:rPr>
        <w:t xml:space="preserve">entirety of a packaging, or each </w:t>
      </w:r>
      <w:r w:rsidR="00BF3276" w:rsidRPr="007C68EC">
        <w:rPr>
          <w:color w:val="auto"/>
          <w:lang w:val="en-US"/>
        </w:rPr>
        <w:t xml:space="preserve">individual </w:t>
      </w:r>
      <w:r w:rsidR="00723C77" w:rsidRPr="007C68EC">
        <w:rPr>
          <w:color w:val="auto"/>
          <w:lang w:val="en-US"/>
        </w:rPr>
        <w:t xml:space="preserve">component of </w:t>
      </w:r>
      <w:r w:rsidR="00BB11FA" w:rsidRPr="007C68EC">
        <w:rPr>
          <w:color w:val="auto"/>
          <w:lang w:val="en-US"/>
        </w:rPr>
        <w:t xml:space="preserve">a </w:t>
      </w:r>
      <w:r w:rsidR="00723C77" w:rsidRPr="007C68EC">
        <w:rPr>
          <w:color w:val="auto"/>
          <w:lang w:val="en-US"/>
        </w:rPr>
        <w:t>packaging.</w:t>
      </w:r>
      <w:r w:rsidR="00BB11FA" w:rsidRPr="007C68EC">
        <w:rPr>
          <w:color w:val="auto"/>
          <w:lang w:val="en-US"/>
        </w:rPr>
        <w:t xml:space="preserve"> It also raises the question as to whether the proposed 95%</w:t>
      </w:r>
      <w:r w:rsidR="00C47D28" w:rsidRPr="007C68EC">
        <w:rPr>
          <w:color w:val="auto"/>
          <w:lang w:val="en-US"/>
        </w:rPr>
        <w:t xml:space="preserve"> </w:t>
      </w:r>
      <w:r w:rsidR="00BB11FA" w:rsidRPr="007C68EC">
        <w:rPr>
          <w:color w:val="auto"/>
          <w:lang w:val="en-US"/>
        </w:rPr>
        <w:t xml:space="preserve">recyclability threshold </w:t>
      </w:r>
      <w:r w:rsidR="006D4D2A" w:rsidRPr="007C68EC">
        <w:rPr>
          <w:color w:val="auto"/>
          <w:lang w:val="en-US"/>
        </w:rPr>
        <w:t xml:space="preserve">of a unit of packaging is to be understood on a weight or on a volume basis, i.e. </w:t>
      </w:r>
      <w:r w:rsidR="00C47D28" w:rsidRPr="007C68EC">
        <w:rPr>
          <w:color w:val="auto"/>
          <w:lang w:val="en-US"/>
        </w:rPr>
        <w:t>if 95% of the unit of packaging should be recyclable, is it 95% of the weight of this unit, or 95% of its volume?</w:t>
      </w:r>
    </w:p>
    <w:p w14:paraId="135BB30F" w14:textId="6D91FE27" w:rsidR="0033066B" w:rsidRPr="00EF465E" w:rsidRDefault="00CE6895" w:rsidP="00EF465E">
      <w:pPr>
        <w:pStyle w:val="Heading3"/>
        <w:numPr>
          <w:ilvl w:val="0"/>
          <w:numId w:val="30"/>
        </w:numPr>
        <w:rPr>
          <w:color w:val="1CC4ED" w:themeColor="accent4"/>
          <w:sz w:val="18"/>
          <w:szCs w:val="18"/>
          <w:lang w:val="en-US"/>
        </w:rPr>
      </w:pPr>
      <w:bookmarkStart w:id="5" w:name="_Toc105081929"/>
      <w:bookmarkStart w:id="6" w:name="_Toc105081979"/>
      <w:r w:rsidRPr="00EF465E">
        <w:rPr>
          <w:color w:val="1CC4ED" w:themeColor="accent4"/>
          <w:sz w:val="18"/>
          <w:szCs w:val="18"/>
          <w:lang w:val="en-US"/>
        </w:rPr>
        <w:t xml:space="preserve">The </w:t>
      </w:r>
      <w:r w:rsidR="008E5BBE" w:rsidRPr="00EF465E">
        <w:rPr>
          <w:color w:val="1CC4ED" w:themeColor="accent4"/>
          <w:sz w:val="18"/>
          <w:szCs w:val="18"/>
          <w:lang w:val="en-US"/>
        </w:rPr>
        <w:t xml:space="preserve">unintended consequences </w:t>
      </w:r>
      <w:r w:rsidR="00BB79A4" w:rsidRPr="00EF465E">
        <w:rPr>
          <w:color w:val="1CC4ED" w:themeColor="accent4"/>
          <w:sz w:val="18"/>
          <w:szCs w:val="18"/>
          <w:lang w:val="en-US"/>
        </w:rPr>
        <w:t xml:space="preserve">of the </w:t>
      </w:r>
      <w:r w:rsidRPr="00EF465E">
        <w:rPr>
          <w:color w:val="1CC4ED" w:themeColor="accent4"/>
          <w:sz w:val="18"/>
          <w:szCs w:val="18"/>
          <w:lang w:val="en-US"/>
        </w:rPr>
        <w:t xml:space="preserve">inclusion of a 95% threshold is the </w:t>
      </w:r>
      <w:r w:rsidR="00C04D8D" w:rsidRPr="00EF465E">
        <w:rPr>
          <w:color w:val="1CC4ED" w:themeColor="accent4"/>
          <w:sz w:val="18"/>
          <w:szCs w:val="18"/>
          <w:lang w:val="en-US"/>
        </w:rPr>
        <w:t xml:space="preserve">EU-wide </w:t>
      </w:r>
      <w:r w:rsidRPr="00EF465E">
        <w:rPr>
          <w:color w:val="1CC4ED" w:themeColor="accent4"/>
          <w:sz w:val="18"/>
          <w:szCs w:val="18"/>
          <w:lang w:val="en-US"/>
        </w:rPr>
        <w:t>definition of recyclable packaging</w:t>
      </w:r>
      <w:bookmarkEnd w:id="5"/>
      <w:bookmarkEnd w:id="6"/>
      <w:r w:rsidRPr="00EF465E">
        <w:rPr>
          <w:color w:val="1CC4ED" w:themeColor="accent4"/>
          <w:sz w:val="18"/>
          <w:szCs w:val="18"/>
          <w:lang w:val="en-US"/>
        </w:rPr>
        <w:t xml:space="preserve">  </w:t>
      </w:r>
    </w:p>
    <w:p w14:paraId="3B42EBD5" w14:textId="2079D901" w:rsidR="008E5BBE" w:rsidRPr="00436D39" w:rsidRDefault="009F71D3" w:rsidP="00436D39">
      <w:pPr>
        <w:rPr>
          <w:color w:val="auto"/>
          <w:lang w:val="en-US"/>
        </w:rPr>
      </w:pPr>
      <w:r w:rsidRPr="009F71D3">
        <w:rPr>
          <w:b/>
          <w:bCs/>
          <w:color w:val="auto"/>
          <w:lang w:val="en-US"/>
        </w:rPr>
        <w:t>Contradicting the EU sustainability and climate objectives</w:t>
      </w:r>
      <w:r w:rsidR="008E5BBE" w:rsidRPr="00436D39">
        <w:rPr>
          <w:color w:val="auto"/>
          <w:lang w:val="en-US"/>
        </w:rPr>
        <w:t xml:space="preserve">: </w:t>
      </w:r>
      <w:r w:rsidR="00C94691" w:rsidRPr="00436D39">
        <w:rPr>
          <w:color w:val="auto"/>
          <w:lang w:val="en-US"/>
        </w:rPr>
        <w:t xml:space="preserve">The inclusion of a 95% recyclability threshold </w:t>
      </w:r>
      <w:r>
        <w:rPr>
          <w:color w:val="auto"/>
          <w:lang w:val="en-US"/>
        </w:rPr>
        <w:t>in the EU definition of recyclable packaging</w:t>
      </w:r>
      <w:r w:rsidR="003C2A7B" w:rsidRPr="00436D39">
        <w:rPr>
          <w:color w:val="auto"/>
          <w:lang w:val="en-US"/>
        </w:rPr>
        <w:t xml:space="preserve"> </w:t>
      </w:r>
      <w:r w:rsidR="008E5BBE" w:rsidRPr="00436D39">
        <w:rPr>
          <w:color w:val="auto"/>
          <w:lang w:val="en-US"/>
        </w:rPr>
        <w:t xml:space="preserve">would lead to an unnecessary increase </w:t>
      </w:r>
      <w:r w:rsidR="00C66FEC" w:rsidRPr="00436D39">
        <w:rPr>
          <w:color w:val="auto"/>
          <w:lang w:val="en-US"/>
        </w:rPr>
        <w:t>of use of resources</w:t>
      </w:r>
      <w:r>
        <w:rPr>
          <w:color w:val="auto"/>
          <w:lang w:val="en-US"/>
        </w:rPr>
        <w:t xml:space="preserve"> as for </w:t>
      </w:r>
      <w:r w:rsidRPr="009F71D3">
        <w:rPr>
          <w:color w:val="auto"/>
          <w:lang w:val="en-US"/>
        </w:rPr>
        <w:t>several types of packaging</w:t>
      </w:r>
      <w:r>
        <w:rPr>
          <w:color w:val="auto"/>
          <w:lang w:val="en-US"/>
        </w:rPr>
        <w:t xml:space="preserve">, </w:t>
      </w:r>
      <w:r w:rsidRPr="009F71D3">
        <w:rPr>
          <w:color w:val="auto"/>
          <w:lang w:val="en-US"/>
        </w:rPr>
        <w:t xml:space="preserve">it would require increasing the thickness of the main material to </w:t>
      </w:r>
      <w:r>
        <w:rPr>
          <w:color w:val="auto"/>
          <w:lang w:val="en-US"/>
        </w:rPr>
        <w:t>comply with</w:t>
      </w:r>
      <w:r w:rsidRPr="009F71D3">
        <w:rPr>
          <w:color w:val="auto"/>
          <w:lang w:val="en-US"/>
        </w:rPr>
        <w:t xml:space="preserve"> this threshold</w:t>
      </w:r>
      <w:r w:rsidR="008E5BBE" w:rsidRPr="00436D39">
        <w:rPr>
          <w:color w:val="auto"/>
          <w:lang w:val="en-US"/>
        </w:rPr>
        <w:t>.</w:t>
      </w:r>
      <w:r>
        <w:rPr>
          <w:color w:val="auto"/>
          <w:lang w:val="en-US"/>
        </w:rPr>
        <w:t xml:space="preserve"> This would also contradict </w:t>
      </w:r>
      <w:r w:rsidRPr="009F71D3">
        <w:rPr>
          <w:color w:val="auto"/>
          <w:lang w:val="en-US"/>
        </w:rPr>
        <w:t>the European Green Deal and EU climate goals</w:t>
      </w:r>
      <w:r>
        <w:rPr>
          <w:color w:val="auto"/>
          <w:lang w:val="en-US"/>
        </w:rPr>
        <w:t xml:space="preserve">: </w:t>
      </w:r>
      <w:r w:rsidRPr="009F71D3">
        <w:rPr>
          <w:color w:val="auto"/>
          <w:lang w:val="en-US"/>
        </w:rPr>
        <w:t>thicker packaging means more packaging placed on the market and an increase of greenhouse gas emissions</w:t>
      </w:r>
      <w:r>
        <w:rPr>
          <w:color w:val="auto"/>
          <w:lang w:val="en-US"/>
        </w:rPr>
        <w:t>.</w:t>
      </w:r>
    </w:p>
    <w:p w14:paraId="6225436A" w14:textId="3F2A3F84" w:rsidR="004178A4" w:rsidRDefault="00B2447E" w:rsidP="00436D39">
      <w:pPr>
        <w:rPr>
          <w:color w:val="auto"/>
          <w:lang w:val="en-US"/>
        </w:rPr>
      </w:pPr>
      <w:r w:rsidRPr="00436D39">
        <w:rPr>
          <w:b/>
          <w:bCs/>
          <w:color w:val="auto"/>
          <w:lang w:val="en-US"/>
        </w:rPr>
        <w:t xml:space="preserve">Weakened </w:t>
      </w:r>
      <w:r w:rsidR="44063151" w:rsidRPr="7F8C31F3">
        <w:rPr>
          <w:b/>
          <w:bCs/>
          <w:color w:val="auto"/>
          <w:lang w:val="en-US"/>
        </w:rPr>
        <w:t>s</w:t>
      </w:r>
      <w:r w:rsidR="44063151" w:rsidRPr="7F8C31F3" w:rsidDel="44063151">
        <w:rPr>
          <w:b/>
          <w:bCs/>
          <w:color w:val="auto"/>
          <w:lang w:val="en-US"/>
        </w:rPr>
        <w:t>upplies</w:t>
      </w:r>
      <w:r w:rsidR="44063151" w:rsidRPr="60A78B07">
        <w:rPr>
          <w:b/>
          <w:bCs/>
          <w:color w:val="auto"/>
          <w:lang w:val="en-US"/>
        </w:rPr>
        <w:t xml:space="preserve"> and </w:t>
      </w:r>
      <w:r w:rsidR="44063151" w:rsidRPr="4DFC126D">
        <w:rPr>
          <w:b/>
          <w:bCs/>
          <w:color w:val="auto"/>
          <w:lang w:val="en-US"/>
        </w:rPr>
        <w:t>increased food waste</w:t>
      </w:r>
      <w:r w:rsidR="008E5BBE" w:rsidRPr="00436D39">
        <w:rPr>
          <w:color w:val="auto"/>
          <w:lang w:val="en-US"/>
        </w:rPr>
        <w:t xml:space="preserve">: </w:t>
      </w:r>
      <w:r w:rsidR="009805F0" w:rsidRPr="00436D39">
        <w:rPr>
          <w:color w:val="auto"/>
          <w:lang w:val="en-US"/>
        </w:rPr>
        <w:t>Numerous products are</w:t>
      </w:r>
      <w:r w:rsidR="007222DC" w:rsidRPr="00436D39">
        <w:rPr>
          <w:color w:val="auto"/>
          <w:lang w:val="en-US"/>
        </w:rPr>
        <w:t xml:space="preserve"> currently</w:t>
      </w:r>
      <w:r w:rsidR="009805F0" w:rsidRPr="00436D39">
        <w:rPr>
          <w:color w:val="auto"/>
          <w:lang w:val="en-US"/>
        </w:rPr>
        <w:t xml:space="preserve"> packed in packaging that would not reach </w:t>
      </w:r>
      <w:r w:rsidR="00B96ED8">
        <w:rPr>
          <w:color w:val="auto"/>
          <w:lang w:val="en-US"/>
        </w:rPr>
        <w:t>the</w:t>
      </w:r>
      <w:r w:rsidR="009805F0" w:rsidRPr="00436D39">
        <w:rPr>
          <w:color w:val="auto"/>
          <w:lang w:val="en-US"/>
        </w:rPr>
        <w:t xml:space="preserve"> proposed 95% recyclability threshold</w:t>
      </w:r>
      <w:r w:rsidR="00764927" w:rsidRPr="00436D39">
        <w:rPr>
          <w:color w:val="auto"/>
          <w:lang w:val="en-US"/>
        </w:rPr>
        <w:t>. These packaging play</w:t>
      </w:r>
      <w:r w:rsidR="008E5BBE" w:rsidRPr="00436D39">
        <w:rPr>
          <w:color w:val="auto"/>
          <w:lang w:val="en-US"/>
        </w:rPr>
        <w:t xml:space="preserve"> a vital role in the  safety, accessibility, affordability and availability of </w:t>
      </w:r>
      <w:r w:rsidR="3C4E9E77" w:rsidRPr="179AFDDC">
        <w:rPr>
          <w:color w:val="auto"/>
          <w:lang w:val="en-US"/>
        </w:rPr>
        <w:t>food supplies and products</w:t>
      </w:r>
      <w:r w:rsidR="008E5BBE" w:rsidRPr="00436D39">
        <w:rPr>
          <w:color w:val="auto"/>
          <w:lang w:val="en-US"/>
        </w:rPr>
        <w:t xml:space="preserve"> across the EU. </w:t>
      </w:r>
      <w:r w:rsidR="267744CD" w:rsidRPr="18F26EC6">
        <w:rPr>
          <w:color w:val="auto"/>
          <w:lang w:val="en-US"/>
        </w:rPr>
        <w:t>P</w:t>
      </w:r>
      <w:r w:rsidR="3C4E9E77" w:rsidRPr="18F26EC6">
        <w:rPr>
          <w:color w:val="auto"/>
          <w:lang w:val="en-US"/>
        </w:rPr>
        <w:t>ackaging</w:t>
      </w:r>
      <w:r w:rsidR="008E5BBE" w:rsidRPr="00436D39">
        <w:rPr>
          <w:color w:val="auto"/>
          <w:lang w:val="en-US"/>
        </w:rPr>
        <w:t xml:space="preserve"> formats </w:t>
      </w:r>
      <w:r w:rsidR="00913AEB" w:rsidRPr="00436D39">
        <w:rPr>
          <w:color w:val="auto"/>
          <w:lang w:val="en-US"/>
        </w:rPr>
        <w:t>that</w:t>
      </w:r>
      <w:r w:rsidR="008E5BBE" w:rsidRPr="00436D39">
        <w:rPr>
          <w:color w:val="auto"/>
          <w:lang w:val="en-US"/>
        </w:rPr>
        <w:t xml:space="preserve"> are already </w:t>
      </w:r>
      <w:r w:rsidR="00913AEB" w:rsidRPr="00436D39">
        <w:rPr>
          <w:color w:val="auto"/>
          <w:lang w:val="en-US"/>
        </w:rPr>
        <w:t xml:space="preserve">effectively </w:t>
      </w:r>
      <w:r w:rsidR="008E5BBE" w:rsidRPr="00436D39">
        <w:rPr>
          <w:color w:val="auto"/>
          <w:lang w:val="en-US"/>
        </w:rPr>
        <w:t xml:space="preserve">recyclable today but do not meet </w:t>
      </w:r>
      <w:r w:rsidR="00F322AA" w:rsidRPr="00436D39">
        <w:rPr>
          <w:color w:val="auto"/>
          <w:lang w:val="en-US"/>
        </w:rPr>
        <w:t>the</w:t>
      </w:r>
      <w:r w:rsidR="008E5BBE" w:rsidRPr="00436D39">
        <w:rPr>
          <w:color w:val="auto"/>
          <w:lang w:val="en-US"/>
        </w:rPr>
        <w:t xml:space="preserve"> </w:t>
      </w:r>
      <w:r w:rsidR="00B47DFC" w:rsidRPr="00436D39">
        <w:rPr>
          <w:color w:val="auto"/>
          <w:lang w:val="en-US"/>
        </w:rPr>
        <w:t>95%</w:t>
      </w:r>
      <w:r w:rsidR="00FF7009">
        <w:rPr>
          <w:color w:val="auto"/>
          <w:lang w:val="en-US"/>
        </w:rPr>
        <w:t xml:space="preserve"> </w:t>
      </w:r>
      <w:r w:rsidR="00913AEB" w:rsidRPr="00436D39">
        <w:rPr>
          <w:color w:val="auto"/>
          <w:lang w:val="en-US"/>
        </w:rPr>
        <w:t>threshold</w:t>
      </w:r>
      <w:r w:rsidR="3EC5A3A9" w:rsidRPr="67E4DD40">
        <w:rPr>
          <w:color w:val="auto"/>
          <w:lang w:val="en-US"/>
        </w:rPr>
        <w:t xml:space="preserve"> </w:t>
      </w:r>
      <w:r w:rsidR="3EC5A3A9" w:rsidRPr="00B28114">
        <w:rPr>
          <w:color w:val="auto"/>
          <w:lang w:val="en-US"/>
        </w:rPr>
        <w:t xml:space="preserve">or for which new recycling streams are being developed thanks to new recycling </w:t>
      </w:r>
      <w:r w:rsidR="3EC5A3A9" w:rsidRPr="7543FFDA">
        <w:rPr>
          <w:color w:val="auto"/>
          <w:lang w:val="en-US"/>
        </w:rPr>
        <w:t>technologies</w:t>
      </w:r>
      <w:r w:rsidR="008E5BBE" w:rsidRPr="00436D39">
        <w:rPr>
          <w:color w:val="auto"/>
          <w:lang w:val="en-US"/>
        </w:rPr>
        <w:t xml:space="preserve"> would </w:t>
      </w:r>
      <w:r w:rsidR="00323EF0" w:rsidRPr="00436D39">
        <w:rPr>
          <w:color w:val="auto"/>
          <w:lang w:val="en-US"/>
        </w:rPr>
        <w:t xml:space="preserve">effectively </w:t>
      </w:r>
      <w:r w:rsidR="008E5BBE" w:rsidRPr="00436D39">
        <w:rPr>
          <w:color w:val="auto"/>
          <w:lang w:val="en-US"/>
        </w:rPr>
        <w:t xml:space="preserve">disappear from the </w:t>
      </w:r>
      <w:r w:rsidR="00913AEB" w:rsidRPr="00436D39">
        <w:rPr>
          <w:color w:val="auto"/>
          <w:lang w:val="en-US"/>
        </w:rPr>
        <w:t xml:space="preserve">EU </w:t>
      </w:r>
      <w:r w:rsidR="008E5BBE" w:rsidRPr="00436D39">
        <w:rPr>
          <w:color w:val="auto"/>
          <w:lang w:val="en-US"/>
        </w:rPr>
        <w:t>market</w:t>
      </w:r>
      <w:r w:rsidR="3C4E9E77" w:rsidRPr="4FD64429">
        <w:rPr>
          <w:color w:val="auto"/>
          <w:lang w:val="en-US"/>
        </w:rPr>
        <w:t xml:space="preserve">. </w:t>
      </w:r>
      <w:r w:rsidR="3C4E9E77" w:rsidRPr="14BEB8E4">
        <w:rPr>
          <w:color w:val="auto"/>
          <w:lang w:val="en-US"/>
        </w:rPr>
        <w:t xml:space="preserve">The removal of these packaging </w:t>
      </w:r>
      <w:r w:rsidR="3C4E9E77" w:rsidRPr="6CB12B26">
        <w:rPr>
          <w:color w:val="auto"/>
          <w:lang w:val="en-US"/>
        </w:rPr>
        <w:t xml:space="preserve">solutions from the market </w:t>
      </w:r>
      <w:r w:rsidR="366AF45D" w:rsidRPr="6EF4A44E">
        <w:rPr>
          <w:color w:val="auto"/>
          <w:lang w:val="en-US"/>
        </w:rPr>
        <w:t xml:space="preserve"> </w:t>
      </w:r>
      <w:r w:rsidR="366AF45D" w:rsidRPr="0AA7111D">
        <w:rPr>
          <w:color w:val="auto"/>
          <w:lang w:val="en-US"/>
        </w:rPr>
        <w:t xml:space="preserve">would </w:t>
      </w:r>
      <w:r w:rsidR="366AF45D" w:rsidRPr="7B9553A4">
        <w:rPr>
          <w:color w:val="auto"/>
          <w:lang w:val="en-US"/>
        </w:rPr>
        <w:t xml:space="preserve">result in </w:t>
      </w:r>
      <w:r w:rsidR="08383D8B" w:rsidRPr="7B9553A4">
        <w:rPr>
          <w:color w:val="auto"/>
          <w:lang w:val="en-US"/>
        </w:rPr>
        <w:t>a</w:t>
      </w:r>
      <w:r w:rsidR="00E60DAC" w:rsidRPr="00436D39">
        <w:rPr>
          <w:color w:val="auto"/>
          <w:lang w:val="en-US"/>
        </w:rPr>
        <w:t xml:space="preserve"> shortfall in supplies</w:t>
      </w:r>
      <w:r w:rsidR="00F322AA" w:rsidRPr="00436D39">
        <w:rPr>
          <w:color w:val="auto"/>
          <w:lang w:val="en-US"/>
        </w:rPr>
        <w:t xml:space="preserve"> </w:t>
      </w:r>
      <w:r w:rsidR="0F24BBFB" w:rsidRPr="1A6FB9F5">
        <w:rPr>
          <w:color w:val="auto"/>
          <w:lang w:val="en-US"/>
        </w:rPr>
        <w:t xml:space="preserve">or </w:t>
      </w:r>
      <w:r w:rsidR="0F24BBFB" w:rsidRPr="7122B4BA">
        <w:rPr>
          <w:color w:val="auto"/>
          <w:lang w:val="en-US"/>
        </w:rPr>
        <w:t>affordability of</w:t>
      </w:r>
      <w:r w:rsidR="00F322AA" w:rsidRPr="00436D39">
        <w:rPr>
          <w:color w:val="auto"/>
          <w:lang w:val="en-US"/>
        </w:rPr>
        <w:t xml:space="preserve"> </w:t>
      </w:r>
      <w:r w:rsidR="0F24BBFB" w:rsidRPr="3F9BA6E0">
        <w:rPr>
          <w:color w:val="auto"/>
          <w:lang w:val="en-US"/>
        </w:rPr>
        <w:t>food and</w:t>
      </w:r>
      <w:r w:rsidR="0F24BBFB" w:rsidRPr="69A0C66A">
        <w:rPr>
          <w:color w:val="auto"/>
          <w:lang w:val="en-US"/>
        </w:rPr>
        <w:t xml:space="preserve"> </w:t>
      </w:r>
      <w:r w:rsidR="0F24BBFB" w:rsidRPr="6B2663C6">
        <w:rPr>
          <w:color w:val="auto"/>
          <w:lang w:val="en-US"/>
        </w:rPr>
        <w:t xml:space="preserve">other </w:t>
      </w:r>
      <w:r w:rsidR="0F24BBFB" w:rsidRPr="503301B4">
        <w:rPr>
          <w:color w:val="auto"/>
          <w:lang w:val="en-US"/>
        </w:rPr>
        <w:t>products</w:t>
      </w:r>
      <w:r w:rsidR="0F24BBFB" w:rsidRPr="5EDF7CA3">
        <w:rPr>
          <w:color w:val="auto"/>
          <w:lang w:val="en-US"/>
        </w:rPr>
        <w:t>.</w:t>
      </w:r>
      <w:r w:rsidR="008E5BBE" w:rsidRPr="00436D39">
        <w:rPr>
          <w:color w:val="auto"/>
          <w:lang w:val="en-US"/>
        </w:rPr>
        <w:t xml:space="preserve"> </w:t>
      </w:r>
      <w:r w:rsidR="008E5BBE" w:rsidRPr="0ED93D37">
        <w:rPr>
          <w:color w:val="auto"/>
          <w:lang w:val="en-US"/>
        </w:rPr>
        <w:t xml:space="preserve">Furthermore, changing the packaging </w:t>
      </w:r>
      <w:r w:rsidR="008E5BBE" w:rsidRPr="5482E8B7">
        <w:rPr>
          <w:color w:val="auto"/>
          <w:lang w:val="en-US"/>
        </w:rPr>
        <w:t xml:space="preserve">composition to </w:t>
      </w:r>
      <w:r w:rsidR="008E5BBE" w:rsidRPr="598A47C8">
        <w:rPr>
          <w:color w:val="auto"/>
          <w:lang w:val="en-US"/>
        </w:rPr>
        <w:t xml:space="preserve">comply with a </w:t>
      </w:r>
      <w:r w:rsidR="008E5BBE" w:rsidRPr="10F57A59">
        <w:rPr>
          <w:color w:val="auto"/>
          <w:lang w:val="en-US"/>
        </w:rPr>
        <w:t>95% threshold</w:t>
      </w:r>
      <w:r w:rsidR="008E5BBE" w:rsidRPr="0896C664">
        <w:rPr>
          <w:color w:val="auto"/>
          <w:lang w:val="en-US"/>
        </w:rPr>
        <w:t xml:space="preserve"> could </w:t>
      </w:r>
      <w:r w:rsidR="008E5BBE" w:rsidRPr="481E46AB">
        <w:rPr>
          <w:color w:val="auto"/>
          <w:lang w:val="en-US"/>
        </w:rPr>
        <w:t xml:space="preserve">result in </w:t>
      </w:r>
      <w:r w:rsidR="008E5BBE" w:rsidRPr="7685AD30">
        <w:rPr>
          <w:color w:val="auto"/>
          <w:lang w:val="en-US"/>
        </w:rPr>
        <w:t xml:space="preserve">modifications to the </w:t>
      </w:r>
      <w:r w:rsidR="008E5BBE" w:rsidRPr="7BB44847">
        <w:rPr>
          <w:color w:val="auto"/>
          <w:lang w:val="en-US"/>
        </w:rPr>
        <w:t xml:space="preserve">packaging </w:t>
      </w:r>
      <w:r w:rsidR="7BB44847" w:rsidRPr="7BB44847">
        <w:rPr>
          <w:color w:val="auto"/>
          <w:lang w:val="en-US"/>
        </w:rPr>
        <w:t>barrier</w:t>
      </w:r>
      <w:r w:rsidR="56885B5C" w:rsidRPr="54DCB0EA">
        <w:rPr>
          <w:color w:val="auto"/>
          <w:lang w:val="en-US"/>
        </w:rPr>
        <w:t xml:space="preserve"> performance thus affecting food shelf life and resulting in higher food waste </w:t>
      </w:r>
      <w:r w:rsidR="7BB44847" w:rsidRPr="7BB44847">
        <w:rPr>
          <w:color w:val="auto"/>
          <w:lang w:val="en-US"/>
        </w:rPr>
        <w:t xml:space="preserve">and </w:t>
      </w:r>
      <w:r w:rsidR="7B2A5A69" w:rsidRPr="7B2A5A69">
        <w:rPr>
          <w:color w:val="auto"/>
          <w:lang w:val="en-US"/>
        </w:rPr>
        <w:t xml:space="preserve">higher </w:t>
      </w:r>
      <w:r w:rsidR="5D87E3B2" w:rsidRPr="5D87E3B2">
        <w:rPr>
          <w:color w:val="auto"/>
          <w:lang w:val="en-US"/>
        </w:rPr>
        <w:t>greenhouse</w:t>
      </w:r>
      <w:r w:rsidR="7B2A5A69" w:rsidRPr="7B2A5A69">
        <w:rPr>
          <w:color w:val="auto"/>
          <w:lang w:val="en-US"/>
        </w:rPr>
        <w:t xml:space="preserve"> gas emissions</w:t>
      </w:r>
      <w:r w:rsidR="60A78B07" w:rsidRPr="60A78B07">
        <w:rPr>
          <w:color w:val="auto"/>
          <w:lang w:val="en-US"/>
        </w:rPr>
        <w:t>.</w:t>
      </w:r>
    </w:p>
    <w:p w14:paraId="2120B221" w14:textId="11835E97" w:rsidR="008E5BBE" w:rsidRPr="00436D39" w:rsidRDefault="00BB0363" w:rsidP="00436D39">
      <w:pPr>
        <w:rPr>
          <w:color w:val="auto"/>
          <w:lang w:val="en-US"/>
        </w:rPr>
      </w:pPr>
      <w:r w:rsidRPr="00436D39">
        <w:rPr>
          <w:b/>
          <w:bCs/>
          <w:color w:val="auto"/>
          <w:lang w:val="en-US"/>
        </w:rPr>
        <w:t>Disrupted value chain:</w:t>
      </w:r>
      <w:r w:rsidRPr="00436D39">
        <w:rPr>
          <w:color w:val="auto"/>
          <w:lang w:val="en-US"/>
        </w:rPr>
        <w:t xml:space="preserve"> </w:t>
      </w:r>
      <w:r w:rsidR="00791A00" w:rsidRPr="00436D39">
        <w:rPr>
          <w:color w:val="auto"/>
          <w:lang w:val="en-US"/>
        </w:rPr>
        <w:t>Most p</w:t>
      </w:r>
      <w:r w:rsidR="008E5BBE" w:rsidRPr="00436D39">
        <w:rPr>
          <w:color w:val="auto"/>
          <w:lang w:val="en-US"/>
        </w:rPr>
        <w:t xml:space="preserve">ackaging machines used to fill </w:t>
      </w:r>
      <w:r w:rsidR="00791A00" w:rsidRPr="00436D39">
        <w:rPr>
          <w:color w:val="auto"/>
          <w:lang w:val="en-US"/>
        </w:rPr>
        <w:t>packaging with</w:t>
      </w:r>
      <w:r w:rsidR="008E5BBE" w:rsidRPr="00436D39">
        <w:rPr>
          <w:color w:val="auto"/>
          <w:lang w:val="en-US"/>
        </w:rPr>
        <w:t xml:space="preserve"> goods </w:t>
      </w:r>
      <w:r w:rsidR="00CA416F" w:rsidRPr="00436D39">
        <w:rPr>
          <w:color w:val="auto"/>
          <w:lang w:val="en-US"/>
        </w:rPr>
        <w:t xml:space="preserve">would </w:t>
      </w:r>
      <w:r w:rsidR="00AE085A" w:rsidRPr="00436D39">
        <w:rPr>
          <w:color w:val="auto"/>
          <w:lang w:val="en-US"/>
        </w:rPr>
        <w:t xml:space="preserve">be </w:t>
      </w:r>
      <w:r w:rsidR="00261EB7" w:rsidRPr="00436D39">
        <w:rPr>
          <w:color w:val="auto"/>
          <w:lang w:val="en-US"/>
        </w:rPr>
        <w:t xml:space="preserve">hardly </w:t>
      </w:r>
      <w:r w:rsidR="008E5BBE" w:rsidRPr="00436D39">
        <w:rPr>
          <w:color w:val="auto"/>
          <w:lang w:val="en-US"/>
        </w:rPr>
        <w:t>operable with thicker packaging materials</w:t>
      </w:r>
      <w:r w:rsidR="00CA416F" w:rsidRPr="00436D39">
        <w:rPr>
          <w:color w:val="auto"/>
          <w:lang w:val="en-US"/>
        </w:rPr>
        <w:t xml:space="preserve">, meaning </w:t>
      </w:r>
      <w:r w:rsidR="00261EB7" w:rsidRPr="00436D39">
        <w:rPr>
          <w:color w:val="auto"/>
          <w:lang w:val="en-US"/>
        </w:rPr>
        <w:t>these</w:t>
      </w:r>
      <w:r w:rsidR="00CA416F" w:rsidRPr="00436D39">
        <w:rPr>
          <w:color w:val="auto"/>
          <w:lang w:val="en-US"/>
        </w:rPr>
        <w:t xml:space="preserve"> machines would </w:t>
      </w:r>
      <w:r w:rsidR="00261EB7" w:rsidRPr="00436D39">
        <w:rPr>
          <w:color w:val="auto"/>
          <w:lang w:val="en-US"/>
        </w:rPr>
        <w:t xml:space="preserve">need </w:t>
      </w:r>
      <w:r w:rsidR="00CA416F" w:rsidRPr="00436D39">
        <w:rPr>
          <w:color w:val="auto"/>
          <w:lang w:val="en-US"/>
        </w:rPr>
        <w:t xml:space="preserve">to be </w:t>
      </w:r>
      <w:r w:rsidR="2CF3C2DA" w:rsidRPr="179AFDDC">
        <w:rPr>
          <w:color w:val="auto"/>
          <w:lang w:val="en-US"/>
        </w:rPr>
        <w:t xml:space="preserve">modified or </w:t>
      </w:r>
      <w:r w:rsidR="00CA416F" w:rsidRPr="00436D39">
        <w:rPr>
          <w:color w:val="auto"/>
          <w:lang w:val="en-US"/>
        </w:rPr>
        <w:t xml:space="preserve">replaced, entailing costs for </w:t>
      </w:r>
      <w:r w:rsidR="00261EB7" w:rsidRPr="00436D39">
        <w:rPr>
          <w:color w:val="auto"/>
          <w:lang w:val="en-US"/>
        </w:rPr>
        <w:t>economic operators</w:t>
      </w:r>
      <w:r w:rsidR="00CA416F" w:rsidRPr="00436D39">
        <w:rPr>
          <w:color w:val="auto"/>
          <w:lang w:val="en-US"/>
        </w:rPr>
        <w:t xml:space="preserve"> but also significant disruptions </w:t>
      </w:r>
      <w:r w:rsidR="00AE085A">
        <w:rPr>
          <w:color w:val="auto"/>
          <w:lang w:val="en-US"/>
        </w:rPr>
        <w:t>in</w:t>
      </w:r>
      <w:r w:rsidR="00046A93" w:rsidRPr="00436D39">
        <w:rPr>
          <w:color w:val="auto"/>
          <w:lang w:val="en-US"/>
        </w:rPr>
        <w:t xml:space="preserve"> the value chain. </w:t>
      </w:r>
    </w:p>
    <w:p w14:paraId="4EB85127" w14:textId="2079C3BA" w:rsidR="008E5BBE" w:rsidRPr="00436D39" w:rsidRDefault="008E5BBE" w:rsidP="00436D39">
      <w:pPr>
        <w:rPr>
          <w:color w:val="auto"/>
          <w:lang w:val="en-US"/>
        </w:rPr>
      </w:pPr>
      <w:r w:rsidRPr="00436D39">
        <w:rPr>
          <w:b/>
          <w:bCs/>
          <w:color w:val="auto"/>
          <w:lang w:val="en-US"/>
        </w:rPr>
        <w:t>Social</w:t>
      </w:r>
      <w:r w:rsidR="000A2332" w:rsidRPr="00436D39">
        <w:rPr>
          <w:b/>
          <w:bCs/>
          <w:color w:val="auto"/>
          <w:lang w:val="en-US"/>
        </w:rPr>
        <w:t xml:space="preserve"> and economic</w:t>
      </w:r>
      <w:r w:rsidRPr="00436D39">
        <w:rPr>
          <w:b/>
          <w:bCs/>
          <w:color w:val="auto"/>
          <w:lang w:val="en-US"/>
        </w:rPr>
        <w:t xml:space="preserve"> impact</w:t>
      </w:r>
      <w:r w:rsidRPr="00436D39">
        <w:rPr>
          <w:color w:val="auto"/>
          <w:lang w:val="en-US"/>
        </w:rPr>
        <w:t xml:space="preserve">: </w:t>
      </w:r>
      <w:r w:rsidR="000A2332" w:rsidRPr="00436D39">
        <w:rPr>
          <w:color w:val="auto"/>
          <w:lang w:val="en-US"/>
        </w:rPr>
        <w:t xml:space="preserve">If </w:t>
      </w:r>
      <w:r w:rsidR="00773639" w:rsidRPr="00436D39">
        <w:rPr>
          <w:color w:val="auto"/>
          <w:lang w:val="en-US"/>
        </w:rPr>
        <w:t xml:space="preserve">certain </w:t>
      </w:r>
      <w:r w:rsidR="000A2332" w:rsidRPr="00436D39">
        <w:rPr>
          <w:color w:val="auto"/>
          <w:lang w:val="en-US"/>
        </w:rPr>
        <w:t xml:space="preserve">packaging </w:t>
      </w:r>
      <w:r w:rsidR="51C10BC4" w:rsidRPr="179AFDDC">
        <w:rPr>
          <w:color w:val="auto"/>
          <w:lang w:val="en-US"/>
        </w:rPr>
        <w:t xml:space="preserve">applications </w:t>
      </w:r>
      <w:r w:rsidR="000A2332" w:rsidRPr="00436D39">
        <w:rPr>
          <w:color w:val="auto"/>
          <w:lang w:val="en-US"/>
        </w:rPr>
        <w:t xml:space="preserve">disappear from the EU market due to </w:t>
      </w:r>
      <w:r w:rsidR="00BC1FD9" w:rsidRPr="00436D39">
        <w:rPr>
          <w:color w:val="auto"/>
          <w:lang w:val="en-US"/>
        </w:rPr>
        <w:t xml:space="preserve">the introduction of this recyclability threshold, </w:t>
      </w:r>
      <w:r w:rsidR="00AC39BC" w:rsidRPr="00436D39">
        <w:rPr>
          <w:color w:val="auto"/>
          <w:lang w:val="en-US"/>
        </w:rPr>
        <w:t>the</w:t>
      </w:r>
      <w:r w:rsidR="003D066A" w:rsidRPr="00436D39">
        <w:rPr>
          <w:color w:val="auto"/>
          <w:lang w:val="en-US"/>
        </w:rPr>
        <w:t xml:space="preserve"> EU economy </w:t>
      </w:r>
      <w:r w:rsidR="00AC39BC" w:rsidRPr="00436D39">
        <w:rPr>
          <w:color w:val="auto"/>
          <w:lang w:val="en-US"/>
        </w:rPr>
        <w:t xml:space="preserve">would be impacted </w:t>
      </w:r>
      <w:r w:rsidR="003D066A" w:rsidRPr="00436D39">
        <w:rPr>
          <w:color w:val="auto"/>
          <w:lang w:val="en-US"/>
        </w:rPr>
        <w:t xml:space="preserve">as it would lead to the end of </w:t>
      </w:r>
      <w:r w:rsidR="00773639" w:rsidRPr="00436D39">
        <w:rPr>
          <w:color w:val="auto"/>
          <w:lang w:val="en-US"/>
        </w:rPr>
        <w:t xml:space="preserve">an entire segment of the packaging market </w:t>
      </w:r>
      <w:r w:rsidR="1AA1D33F" w:rsidRPr="179AFDDC">
        <w:rPr>
          <w:color w:val="auto"/>
          <w:lang w:val="en-US"/>
        </w:rPr>
        <w:t xml:space="preserve">(flexible packaging) as well as removal of other types of packaging materials and applications, and </w:t>
      </w:r>
      <w:r w:rsidR="7574FB73" w:rsidRPr="179AFDDC">
        <w:rPr>
          <w:color w:val="auto"/>
          <w:lang w:val="en-US"/>
        </w:rPr>
        <w:t>consequent</w:t>
      </w:r>
      <w:r w:rsidR="00355471" w:rsidRPr="00436D39">
        <w:rPr>
          <w:color w:val="auto"/>
          <w:lang w:val="en-US"/>
        </w:rPr>
        <w:t xml:space="preserve"> </w:t>
      </w:r>
      <w:r w:rsidR="3C4E9E77" w:rsidRPr="179AFDDC">
        <w:rPr>
          <w:color w:val="auto"/>
          <w:lang w:val="en-US"/>
        </w:rPr>
        <w:t>jobs losses</w:t>
      </w:r>
      <w:r w:rsidRPr="00436D39">
        <w:rPr>
          <w:color w:val="auto"/>
          <w:lang w:val="en-US"/>
        </w:rPr>
        <w:t xml:space="preserve"> in the packaging value chain. </w:t>
      </w:r>
    </w:p>
    <w:p w14:paraId="4BC739E3" w14:textId="49F56B15" w:rsidR="007922B4" w:rsidRPr="00EF465E" w:rsidRDefault="00706733" w:rsidP="007922B4">
      <w:pPr>
        <w:rPr>
          <w:b/>
          <w:bCs/>
          <w:i/>
          <w:iCs/>
          <w:color w:val="B870A3" w:themeColor="accent5"/>
        </w:rPr>
      </w:pPr>
      <w:r w:rsidRPr="00EF465E">
        <w:rPr>
          <w:b/>
          <w:bCs/>
          <w:i/>
          <w:iCs/>
          <w:color w:val="B870A3" w:themeColor="accent5"/>
          <w:lang w:val="en-US"/>
        </w:rPr>
        <w:t xml:space="preserve">Annex I of this document provides a list of examples of </w:t>
      </w:r>
      <w:r w:rsidR="00127576" w:rsidRPr="00EF465E">
        <w:rPr>
          <w:b/>
          <w:bCs/>
          <w:i/>
          <w:iCs/>
          <w:color w:val="B870A3" w:themeColor="accent5"/>
        </w:rPr>
        <w:t xml:space="preserve">packaging formats for which a 95% recyclability threshold </w:t>
      </w:r>
      <w:r w:rsidR="00531CAB" w:rsidRPr="78AAC92D">
        <w:rPr>
          <w:b/>
          <w:bCs/>
          <w:i/>
          <w:iCs/>
          <w:color w:val="B870A3" w:themeColor="accent5"/>
        </w:rPr>
        <w:t xml:space="preserve">is </w:t>
      </w:r>
      <w:r w:rsidR="00531CAB" w:rsidRPr="2962F23B">
        <w:rPr>
          <w:b/>
          <w:bCs/>
          <w:i/>
          <w:iCs/>
          <w:color w:val="B870A3" w:themeColor="accent5"/>
        </w:rPr>
        <w:t xml:space="preserve">not </w:t>
      </w:r>
      <w:r w:rsidR="00531CAB" w:rsidRPr="21043E46">
        <w:rPr>
          <w:b/>
          <w:bCs/>
          <w:i/>
          <w:iCs/>
          <w:color w:val="B870A3" w:themeColor="accent5"/>
        </w:rPr>
        <w:t>applicable</w:t>
      </w:r>
      <w:r w:rsidR="00127576" w:rsidRPr="00EF465E">
        <w:rPr>
          <w:b/>
          <w:bCs/>
          <w:i/>
          <w:iCs/>
          <w:color w:val="B870A3" w:themeColor="accent5"/>
        </w:rPr>
        <w:t>.</w:t>
      </w:r>
    </w:p>
    <w:p w14:paraId="4794FEF9" w14:textId="0AAFC002" w:rsidR="00DD4D64" w:rsidRPr="00EF465E" w:rsidRDefault="001B4122" w:rsidP="00EF465E">
      <w:pPr>
        <w:pStyle w:val="Heading3"/>
        <w:numPr>
          <w:ilvl w:val="0"/>
          <w:numId w:val="30"/>
        </w:numPr>
        <w:rPr>
          <w:color w:val="1CC4ED" w:themeColor="accent4"/>
          <w:sz w:val="18"/>
          <w:szCs w:val="18"/>
          <w:lang w:val="en-US"/>
        </w:rPr>
      </w:pPr>
      <w:bookmarkStart w:id="7" w:name="_Toc105081930"/>
      <w:bookmarkStart w:id="8" w:name="_Toc105081980"/>
      <w:r w:rsidRPr="00EF465E">
        <w:rPr>
          <w:color w:val="1CC4ED" w:themeColor="accent4"/>
          <w:sz w:val="18"/>
          <w:szCs w:val="18"/>
          <w:lang w:val="en-US"/>
        </w:rPr>
        <w:t xml:space="preserve">The EU-wide definition of recyclable packaging </w:t>
      </w:r>
      <w:r w:rsidR="0096409E" w:rsidRPr="00EF465E">
        <w:rPr>
          <w:color w:val="1CC4ED" w:themeColor="accent4"/>
          <w:sz w:val="18"/>
          <w:szCs w:val="18"/>
          <w:lang w:val="en-US"/>
        </w:rPr>
        <w:t>should be actionable, forward-looking and material neutral</w:t>
      </w:r>
      <w:bookmarkEnd w:id="7"/>
      <w:bookmarkEnd w:id="8"/>
    </w:p>
    <w:p w14:paraId="07771199" w14:textId="486135BF" w:rsidR="00A5779E" w:rsidRPr="00A5779E" w:rsidRDefault="00C61E5A" w:rsidP="007805B0">
      <w:pPr>
        <w:rPr>
          <w:rFonts w:ascii="Arial" w:hAnsi="Arial" w:cs="Arial"/>
          <w:color w:val="auto"/>
          <w:szCs w:val="18"/>
        </w:rPr>
      </w:pPr>
      <w:r>
        <w:rPr>
          <w:color w:val="auto"/>
        </w:rPr>
        <w:t xml:space="preserve">The undersigned organisations are putting forward </w:t>
      </w:r>
      <w:r w:rsidR="00DD4D64">
        <w:rPr>
          <w:color w:val="auto"/>
        </w:rPr>
        <w:t>an</w:t>
      </w:r>
      <w:r w:rsidR="00A5779E" w:rsidRPr="00A5779E">
        <w:rPr>
          <w:color w:val="auto"/>
          <w:lang w:val="en-US"/>
        </w:rPr>
        <w:t xml:space="preserve"> alternative proposed definition of recyclable packaging, which reads as follows: </w:t>
      </w:r>
    </w:p>
    <w:p w14:paraId="7DEACE34" w14:textId="77777777" w:rsidR="00A5779E" w:rsidRPr="00A5779E" w:rsidRDefault="00A5779E" w:rsidP="007805B0">
      <w:pPr>
        <w:pStyle w:val="ListParagraph"/>
        <w:numPr>
          <w:ilvl w:val="0"/>
          <w:numId w:val="14"/>
        </w:numPr>
        <w:rPr>
          <w:rFonts w:ascii="Arial" w:hAnsi="Arial" w:cs="Arial"/>
          <w:i/>
          <w:iCs/>
          <w:color w:val="auto"/>
          <w:szCs w:val="18"/>
        </w:rPr>
      </w:pPr>
      <w:r w:rsidRPr="00A5779E">
        <w:rPr>
          <w:rFonts w:ascii="Arial" w:hAnsi="Arial" w:cs="Arial"/>
          <w:i/>
          <w:iCs/>
          <w:color w:val="auto"/>
          <w:szCs w:val="18"/>
        </w:rPr>
        <w:t>“Recyclable packaging is that which can be effectively and efficiently collected, in line with article 3 (11) and article 11 (1) of the WFD, – by a minimum of 50% of the EU population and with a goal to reach 90% within 5 years  –, sorted  – meaning the majority of these packaging is oriented into the defined and recognised waste streams for recycling processes – and is capable of being recycled at scale with full transparency on the tonnages recycled and outlets, and with guarantees that the secondary materials produced, in line with Article 6a of the PPWD, are of sufficient quality that they can find end markets to substitute for the use of raw material, and based on the updated guidelines of the European technical committee representing the entire value chain mandated by the European Commission.</w:t>
      </w:r>
    </w:p>
    <w:p w14:paraId="33F5A6DD" w14:textId="77777777" w:rsidR="00A5779E" w:rsidRPr="00A5779E" w:rsidRDefault="00A5779E" w:rsidP="007805B0">
      <w:pPr>
        <w:pStyle w:val="ListParagraph"/>
        <w:numPr>
          <w:ilvl w:val="0"/>
          <w:numId w:val="14"/>
        </w:numPr>
        <w:rPr>
          <w:rFonts w:ascii="Arial" w:hAnsi="Arial" w:cs="Arial"/>
          <w:i/>
          <w:iCs/>
          <w:color w:val="auto"/>
          <w:szCs w:val="18"/>
        </w:rPr>
      </w:pPr>
      <w:r w:rsidRPr="00A5779E">
        <w:rPr>
          <w:rFonts w:ascii="Arial" w:hAnsi="Arial" w:cs="Arial"/>
          <w:i/>
          <w:iCs/>
          <w:color w:val="auto"/>
          <w:szCs w:val="18"/>
        </w:rPr>
        <w:t>Recyclable packaging is that which does not contain elements or substances that prevent recycling.” </w:t>
      </w:r>
    </w:p>
    <w:p w14:paraId="62F81144" w14:textId="78CBCA36" w:rsidR="00F17581" w:rsidRPr="00AA442B" w:rsidRDefault="00A5779E" w:rsidP="007805B0">
      <w:pPr>
        <w:rPr>
          <w:rFonts w:ascii="Arial" w:hAnsi="Arial" w:cs="Arial"/>
          <w:color w:val="auto"/>
          <w:szCs w:val="18"/>
        </w:rPr>
      </w:pPr>
      <w:r w:rsidRPr="00A5779E">
        <w:rPr>
          <w:color w:val="auto"/>
          <w:lang w:val="en-US"/>
        </w:rPr>
        <w:t>Such a definition must be accompanied by a provision in the PPWD to ensure</w:t>
      </w:r>
      <w:r w:rsidRPr="00A5779E">
        <w:rPr>
          <w:color w:val="auto"/>
        </w:rPr>
        <w:t xml:space="preserve"> that compostability falls within the definition of recyclability along with other recycling methods. No hierarchy should be set amongst existing recycling technologies in the future Essential Requirements.</w:t>
      </w:r>
    </w:p>
    <w:p w14:paraId="618A468B" w14:textId="34126402" w:rsidR="008C7523" w:rsidRPr="008C7523" w:rsidRDefault="008C7523" w:rsidP="00012C2B">
      <w:pPr>
        <w:pStyle w:val="Heading3"/>
        <w:numPr>
          <w:ilvl w:val="0"/>
          <w:numId w:val="27"/>
        </w:numPr>
        <w:rPr>
          <w:lang w:val="en-US"/>
        </w:rPr>
      </w:pPr>
      <w:bookmarkStart w:id="9" w:name="_Toc105081931"/>
      <w:bookmarkStart w:id="10" w:name="_Toc105081981"/>
      <w:r w:rsidRPr="008C7523">
        <w:rPr>
          <w:lang w:val="en-US"/>
        </w:rPr>
        <w:t>Assessing recyclability</w:t>
      </w:r>
      <w:bookmarkEnd w:id="9"/>
      <w:bookmarkEnd w:id="10"/>
      <w:r w:rsidRPr="008C7523">
        <w:rPr>
          <w:lang w:val="en-US"/>
        </w:rPr>
        <w:t xml:space="preserve"> </w:t>
      </w:r>
    </w:p>
    <w:p w14:paraId="0F40F4B7" w14:textId="45F98136" w:rsidR="00F83F6C" w:rsidRPr="00466751" w:rsidRDefault="00F83F6C" w:rsidP="00466751">
      <w:pPr>
        <w:pStyle w:val="Heading3"/>
        <w:numPr>
          <w:ilvl w:val="0"/>
          <w:numId w:val="33"/>
        </w:numPr>
        <w:rPr>
          <w:color w:val="1CC4ED" w:themeColor="accent4"/>
          <w:sz w:val="18"/>
          <w:szCs w:val="18"/>
          <w:lang w:val="en-US"/>
        </w:rPr>
      </w:pPr>
      <w:bookmarkStart w:id="11" w:name="_Toc105081932"/>
      <w:bookmarkStart w:id="12" w:name="_Toc105081982"/>
      <w:bookmarkStart w:id="13" w:name="_Toc103678464"/>
      <w:r w:rsidRPr="00466751">
        <w:rPr>
          <w:color w:val="1CC4ED" w:themeColor="accent4"/>
          <w:sz w:val="18"/>
          <w:szCs w:val="18"/>
          <w:lang w:val="en-US"/>
        </w:rPr>
        <w:t>A</w:t>
      </w:r>
      <w:r w:rsidR="00115F50" w:rsidRPr="00466751">
        <w:rPr>
          <w:color w:val="1CC4ED" w:themeColor="accent4"/>
          <w:sz w:val="18"/>
          <w:szCs w:val="18"/>
          <w:lang w:val="en-US"/>
        </w:rPr>
        <w:t xml:space="preserve"> dedicated</w:t>
      </w:r>
      <w:r w:rsidRPr="00466751">
        <w:rPr>
          <w:color w:val="1CC4ED" w:themeColor="accent4"/>
          <w:sz w:val="18"/>
          <w:szCs w:val="18"/>
          <w:lang w:val="en-US"/>
        </w:rPr>
        <w:t xml:space="preserve"> European Technical Committee</w:t>
      </w:r>
      <w:bookmarkEnd w:id="11"/>
      <w:bookmarkEnd w:id="12"/>
      <w:r w:rsidRPr="00466751">
        <w:rPr>
          <w:color w:val="1CC4ED" w:themeColor="accent4"/>
          <w:sz w:val="18"/>
          <w:szCs w:val="18"/>
          <w:lang w:val="en-US"/>
        </w:rPr>
        <w:t xml:space="preserve"> </w:t>
      </w:r>
    </w:p>
    <w:p w14:paraId="49F8BD4A" w14:textId="77777777" w:rsidR="00F83F6C" w:rsidRPr="00A5779E" w:rsidRDefault="00F83F6C" w:rsidP="00C04D8D">
      <w:pPr>
        <w:rPr>
          <w:rFonts w:cstheme="minorHAnsi"/>
          <w:szCs w:val="18"/>
        </w:rPr>
      </w:pPr>
      <w:r>
        <w:rPr>
          <w:color w:val="auto"/>
          <w:lang w:val="en-US"/>
        </w:rPr>
        <w:t xml:space="preserve">The undersigned organisations </w:t>
      </w:r>
      <w:r w:rsidRPr="00A5779E">
        <w:rPr>
          <w:color w:val="auto"/>
          <w:lang w:val="en-US"/>
        </w:rPr>
        <w:t>support the creation at EU level of a dedicated Technical Committee</w:t>
      </w:r>
      <w:r w:rsidRPr="00A5779E">
        <w:rPr>
          <w:rFonts w:cstheme="minorHAnsi"/>
          <w:szCs w:val="18"/>
        </w:rPr>
        <w:t xml:space="preserve">, based on a mandate from the European Commission. The European Technical Committee would be responsible to define and regularly update recyclability measurement criteria and </w:t>
      </w:r>
      <w:r w:rsidRPr="00A5779E">
        <w:rPr>
          <w:color w:val="auto"/>
          <w:lang w:val="en-US"/>
        </w:rPr>
        <w:t xml:space="preserve">Design for Recycling (DfR) </w:t>
      </w:r>
      <w:r w:rsidRPr="00A5779E">
        <w:rPr>
          <w:rFonts w:cstheme="minorHAnsi"/>
          <w:szCs w:val="18"/>
        </w:rPr>
        <w:t>guidelines per packaging material and type. The composition of this committee should be supervised by the Commission (DG GROW and DG ENV) and comprise representatives from national authorities and the entire value chain (packaging industry, waste management operators and recyclers).</w:t>
      </w:r>
    </w:p>
    <w:p w14:paraId="66828B2F" w14:textId="6719DF2D" w:rsidR="00F83F6C" w:rsidRPr="00A5779E" w:rsidRDefault="00F83F6C" w:rsidP="00C04D8D">
      <w:r w:rsidRPr="7D705978">
        <w:rPr>
          <w:color w:val="auto"/>
          <w:lang w:val="en-US"/>
        </w:rPr>
        <w:t xml:space="preserve">By way of </w:t>
      </w:r>
      <w:r w:rsidRPr="40051653">
        <w:rPr>
          <w:color w:val="auto"/>
          <w:lang w:val="en-US"/>
        </w:rPr>
        <w:t>example, such</w:t>
      </w:r>
      <w:r w:rsidRPr="00A5779E">
        <w:rPr>
          <w:color w:val="auto"/>
          <w:lang w:val="en-US"/>
        </w:rPr>
        <w:t xml:space="preserve"> a European Technical Committee could be inspired by the existing German system: </w:t>
      </w:r>
    </w:p>
    <w:p w14:paraId="392278F8" w14:textId="77777777" w:rsidR="00F83F6C" w:rsidRPr="00A5779E" w:rsidRDefault="00F83F6C" w:rsidP="00C04D8D">
      <w:pPr>
        <w:pStyle w:val="ListParagraph"/>
        <w:numPr>
          <w:ilvl w:val="0"/>
          <w:numId w:val="14"/>
        </w:numPr>
        <w:rPr>
          <w:rFonts w:cstheme="minorHAnsi"/>
          <w:szCs w:val="18"/>
        </w:rPr>
      </w:pPr>
      <w:r w:rsidRPr="00A5779E">
        <w:rPr>
          <w:rFonts w:cstheme="minorHAnsi"/>
          <w:szCs w:val="18"/>
        </w:rPr>
        <w:t>The German Packaging Act (2019) establishes a system defining criteria to measure recyclability. Overarching guidelines, updated every year, define the criteria to be used to measure recyclability (they do not define what is recyclable and what is not, but provide a set of questions to account for elements to consider when measuring the recyclability of packaging). The guidelines apply to all materials, neutrally, and take four criteria in consideration: existence of a recycling stream, sortability into this stream, compatibility with the stream (absence of contamination) and percentage of material content available for recycling.</w:t>
      </w:r>
    </w:p>
    <w:p w14:paraId="7A879556" w14:textId="77777777" w:rsidR="00F83F6C" w:rsidRPr="00A5779E" w:rsidRDefault="00F83F6C" w:rsidP="00C04D8D">
      <w:pPr>
        <w:pStyle w:val="ListParagraph"/>
        <w:numPr>
          <w:ilvl w:val="0"/>
          <w:numId w:val="14"/>
        </w:numPr>
        <w:rPr>
          <w:rFonts w:cstheme="minorHAnsi"/>
          <w:szCs w:val="18"/>
        </w:rPr>
      </w:pPr>
      <w:r w:rsidRPr="00A5779E">
        <w:rPr>
          <w:rFonts w:cstheme="minorHAnsi"/>
          <w:szCs w:val="18"/>
        </w:rPr>
        <w:t xml:space="preserve">The Central Agency Packaging Register (Zentrale Stelle Verpackungsregister) is responsible for updating the guidelines, with the support of the packaging value chain. Along with these guidelines, specific technical committees representing packaging materials define, for each material, how contamination can be avoided, define criteria for sortability, etc. </w:t>
      </w:r>
    </w:p>
    <w:p w14:paraId="5B560D16" w14:textId="12C1ABB5" w:rsidR="00F83F6C" w:rsidRPr="00466751" w:rsidRDefault="005076E6" w:rsidP="00466751">
      <w:pPr>
        <w:pStyle w:val="Heading3"/>
        <w:numPr>
          <w:ilvl w:val="0"/>
          <w:numId w:val="33"/>
        </w:numPr>
        <w:rPr>
          <w:color w:val="1CC4ED" w:themeColor="accent4"/>
          <w:sz w:val="18"/>
          <w:szCs w:val="18"/>
          <w:lang w:val="en-US"/>
        </w:rPr>
      </w:pPr>
      <w:bookmarkStart w:id="14" w:name="_Toc105081933"/>
      <w:bookmarkStart w:id="15" w:name="_Toc105081983"/>
      <w:r w:rsidRPr="00466751">
        <w:rPr>
          <w:color w:val="1CC4ED" w:themeColor="accent4"/>
          <w:sz w:val="18"/>
          <w:szCs w:val="18"/>
          <w:lang w:val="en-US"/>
        </w:rPr>
        <w:t>A one-step Design for Recycling conformity</w:t>
      </w:r>
      <w:r w:rsidR="00F83F6C" w:rsidRPr="00466751">
        <w:rPr>
          <w:color w:val="1CC4ED" w:themeColor="accent4"/>
          <w:sz w:val="18"/>
          <w:szCs w:val="18"/>
          <w:lang w:val="en-US"/>
        </w:rPr>
        <w:t xml:space="preserve"> </w:t>
      </w:r>
      <w:r w:rsidRPr="00466751">
        <w:rPr>
          <w:color w:val="1CC4ED" w:themeColor="accent4"/>
          <w:sz w:val="18"/>
          <w:szCs w:val="18"/>
          <w:lang w:val="en-US"/>
        </w:rPr>
        <w:t>assessment</w:t>
      </w:r>
      <w:bookmarkEnd w:id="14"/>
      <w:bookmarkEnd w:id="15"/>
    </w:p>
    <w:p w14:paraId="5F73F34B" w14:textId="7D08F2C3" w:rsidR="007805B0" w:rsidRPr="00A5779E" w:rsidRDefault="007805B0" w:rsidP="007805B0">
      <w:pPr>
        <w:rPr>
          <w:color w:val="auto"/>
          <w:lang w:val="en-US"/>
        </w:rPr>
      </w:pPr>
      <w:r w:rsidRPr="00A5779E">
        <w:rPr>
          <w:color w:val="auto"/>
          <w:lang w:val="en-US"/>
        </w:rPr>
        <w:t>Packaging recyclability must be assessed on the basis of recognised DfR guidelines that are built on multistakeholder input and are specific to each material and packaging type. These guidelines should be based on the different guidelines already existing or being developed from across the packaging value chain.</w:t>
      </w:r>
    </w:p>
    <w:p w14:paraId="7E495D42" w14:textId="591AA4FA" w:rsidR="007805B0" w:rsidRPr="00A5779E" w:rsidRDefault="007805B0" w:rsidP="007805B0">
      <w:pPr>
        <w:rPr>
          <w:color w:val="auto"/>
          <w:lang w:val="en-US"/>
        </w:rPr>
      </w:pPr>
      <w:r>
        <w:rPr>
          <w:color w:val="auto"/>
          <w:lang w:val="en-US"/>
        </w:rPr>
        <w:t>The undersigned organisations are</w:t>
      </w:r>
      <w:r w:rsidRPr="00A5779E">
        <w:rPr>
          <w:color w:val="auto"/>
          <w:lang w:val="en-US"/>
        </w:rPr>
        <w:t xml:space="preserve"> firmly opposed to the introduction of a negative list prohibiting packaging characteristics (materials, components or features). Such a list would significantly hinder innovation and would never be comprehensive and up to date. A fixed negative list would also contradict Design for Recycling criteria that keep pace with developments in recycling technologies and infrastructure.</w:t>
      </w:r>
    </w:p>
    <w:p w14:paraId="5F8BA516" w14:textId="77777777" w:rsidR="007805B0" w:rsidRPr="00A5779E" w:rsidRDefault="007805B0" w:rsidP="007805B0">
      <w:pPr>
        <w:rPr>
          <w:rFonts w:cstheme="minorHAnsi"/>
          <w:szCs w:val="18"/>
        </w:rPr>
      </w:pPr>
      <w:r w:rsidRPr="00A5779E">
        <w:rPr>
          <w:color w:val="auto"/>
          <w:lang w:val="en-US"/>
        </w:rPr>
        <w:t>Design for Recycling guidelines should define which packaging structures and materials are compatible with the recycling streams, including both existing and new ones being developed. DfR should factor in sufficient phase-in periods for materials/packaging types that are new to separate collection and/or recycling. DfR must be individually assessed, taking into account</w:t>
      </w:r>
      <w:r w:rsidRPr="00A5779E">
        <w:rPr>
          <w:rFonts w:cstheme="minorHAnsi"/>
          <w:szCs w:val="18"/>
        </w:rPr>
        <w:t xml:space="preserve"> the packaging material composition, format design, manufacturing processes, and the most likely way of using, disposing, and collecting it. </w:t>
      </w:r>
    </w:p>
    <w:p w14:paraId="0B491D6E" w14:textId="5CB0512C" w:rsidR="007805B0" w:rsidRPr="00A5779E" w:rsidRDefault="007805B0" w:rsidP="007805B0">
      <w:pPr>
        <w:rPr>
          <w:bCs/>
          <w:color w:val="auto"/>
        </w:rPr>
      </w:pPr>
      <w:r>
        <w:rPr>
          <w:color w:val="auto"/>
          <w:lang w:val="en-US"/>
        </w:rPr>
        <w:t xml:space="preserve">The undersigned organisations </w:t>
      </w:r>
      <w:r w:rsidRPr="00A5779E">
        <w:rPr>
          <w:bCs/>
          <w:color w:val="auto"/>
        </w:rPr>
        <w:t xml:space="preserve">a one-step Design for Recycling conformity assessment which could be implemented as follows: </w:t>
      </w:r>
    </w:p>
    <w:p w14:paraId="0EFAAFAC" w14:textId="77777777" w:rsidR="007805B0" w:rsidRPr="00C04D8D" w:rsidRDefault="007805B0" w:rsidP="007805B0">
      <w:pPr>
        <w:pStyle w:val="ListParagraph"/>
        <w:numPr>
          <w:ilvl w:val="0"/>
          <w:numId w:val="14"/>
        </w:numPr>
        <w:rPr>
          <w:rFonts w:ascii="Arial" w:hAnsi="Arial" w:cs="Arial"/>
          <w:color w:val="auto"/>
          <w:szCs w:val="18"/>
        </w:rPr>
      </w:pPr>
      <w:r w:rsidRPr="00C04D8D">
        <w:rPr>
          <w:rFonts w:ascii="Arial" w:hAnsi="Arial" w:cs="Arial"/>
          <w:color w:val="auto"/>
          <w:szCs w:val="18"/>
        </w:rPr>
        <w:t xml:space="preserve">Before placing packaging on the market, economic operators would be required to undertake a self-assessment per packaging design or specification to ensure that the packaging fulfils the recyclability requirements introduced in the Design for Recycling guidelines. </w:t>
      </w:r>
    </w:p>
    <w:p w14:paraId="4232217E" w14:textId="77777777" w:rsidR="007805B0" w:rsidRPr="00C04D8D" w:rsidRDefault="007805B0" w:rsidP="007805B0">
      <w:pPr>
        <w:pStyle w:val="ListParagraph"/>
        <w:numPr>
          <w:ilvl w:val="0"/>
          <w:numId w:val="14"/>
        </w:numPr>
        <w:rPr>
          <w:rFonts w:ascii="Arial" w:hAnsi="Arial" w:cs="Arial"/>
          <w:color w:val="auto"/>
          <w:szCs w:val="18"/>
        </w:rPr>
      </w:pPr>
      <w:r w:rsidRPr="00C04D8D">
        <w:rPr>
          <w:rFonts w:ascii="Arial" w:hAnsi="Arial" w:cs="Arial"/>
          <w:color w:val="auto"/>
          <w:szCs w:val="18"/>
        </w:rPr>
        <w:t>The declaration of conformity would need to be supported by technical documentation demonstrating conformity with DfR guidelines which could include results of tests carried out by producers themselves or on their behalf, studies, demonstration of conformity to relevant standards or specifications, or voluntary certification by an independent third party.</w:t>
      </w:r>
    </w:p>
    <w:p w14:paraId="183BA79B" w14:textId="77777777" w:rsidR="007805B0" w:rsidRPr="00C04D8D" w:rsidRDefault="007805B0" w:rsidP="007805B0">
      <w:pPr>
        <w:pStyle w:val="ListParagraph"/>
        <w:numPr>
          <w:ilvl w:val="0"/>
          <w:numId w:val="14"/>
        </w:numPr>
        <w:rPr>
          <w:rFonts w:ascii="Arial" w:hAnsi="Arial" w:cs="Arial"/>
          <w:color w:val="auto"/>
          <w:szCs w:val="18"/>
        </w:rPr>
      </w:pPr>
      <w:r w:rsidRPr="00C04D8D">
        <w:rPr>
          <w:rFonts w:ascii="Arial" w:hAnsi="Arial" w:cs="Arial"/>
          <w:color w:val="auto"/>
          <w:szCs w:val="18"/>
        </w:rPr>
        <w:t xml:space="preserve">The national surveillance authorities would be able to inspect the self-assessments and declarations of conformity on the basis of technical documentation made available to them. </w:t>
      </w:r>
    </w:p>
    <w:p w14:paraId="4399AE10" w14:textId="18E6EF7C" w:rsidR="007805B0" w:rsidRPr="00C04D8D" w:rsidRDefault="007805B0" w:rsidP="007805B0">
      <w:pPr>
        <w:pStyle w:val="ListParagraph"/>
        <w:numPr>
          <w:ilvl w:val="0"/>
          <w:numId w:val="14"/>
        </w:numPr>
        <w:rPr>
          <w:color w:val="auto"/>
          <w:lang w:val="en-US"/>
        </w:rPr>
      </w:pPr>
      <w:r w:rsidRPr="00C04D8D">
        <w:rPr>
          <w:rFonts w:ascii="Arial" w:hAnsi="Arial" w:cs="Arial"/>
          <w:color w:val="auto"/>
          <w:szCs w:val="18"/>
        </w:rPr>
        <w:t xml:space="preserve">The European Technical Committee, as mentioned </w:t>
      </w:r>
      <w:r w:rsidR="00965B4D">
        <w:rPr>
          <w:rFonts w:ascii="Arial" w:hAnsi="Arial" w:cs="Arial"/>
          <w:color w:val="auto"/>
          <w:szCs w:val="18"/>
        </w:rPr>
        <w:t>above</w:t>
      </w:r>
      <w:r w:rsidRPr="00C04D8D">
        <w:rPr>
          <w:rFonts w:ascii="Arial" w:hAnsi="Arial" w:cs="Arial"/>
          <w:color w:val="auto"/>
          <w:szCs w:val="18"/>
        </w:rPr>
        <w:t>, would be responsible to regularly update (e.g. every year) recyclability measurement criteria and DfR guidelines per packaging material and type. Economic operators would be required to undertake a new/updated assessment every time the packaging</w:t>
      </w:r>
      <w:r w:rsidRPr="00C04D8D">
        <w:rPr>
          <w:color w:val="auto"/>
          <w:lang w:val="en-US"/>
        </w:rPr>
        <w:t xml:space="preserve"> design is changed in a way that would impact its ability to be collected, sorted or recycled. </w:t>
      </w:r>
    </w:p>
    <w:p w14:paraId="79B783F6" w14:textId="77777777" w:rsidR="007805B0" w:rsidRPr="00A5779E" w:rsidRDefault="007805B0" w:rsidP="007805B0">
      <w:pPr>
        <w:rPr>
          <w:rFonts w:eastAsiaTheme="minorEastAsia"/>
          <w:color w:val="000000" w:themeColor="text1"/>
          <w:szCs w:val="18"/>
          <w:lang w:val="en-US"/>
        </w:rPr>
      </w:pPr>
      <w:r w:rsidRPr="00A5779E">
        <w:rPr>
          <w:color w:val="auto"/>
          <w:lang w:val="en-US"/>
        </w:rPr>
        <w:t>To make this process a success and prevent free-riding, market surveillance will be key. The new Market Surveillance Regulation (EU) 2019/1020 should be explicitly referred to in the PPWD as a tool to strengthen enforcement by extending the scope of inspections to packaging conformity documents. The Regulation already obliges Member States to consider packaging in their National Market Surveillance Strategies (art. 13 of Regulation 2019/1020).</w:t>
      </w:r>
    </w:p>
    <w:p w14:paraId="104E60A4" w14:textId="6DC88D81" w:rsidR="007805B0" w:rsidRPr="00A5779E" w:rsidRDefault="007805B0" w:rsidP="007805B0">
      <w:r>
        <w:rPr>
          <w:color w:val="auto"/>
          <w:lang w:val="en-US"/>
        </w:rPr>
        <w:t xml:space="preserve">The undersigned organisations </w:t>
      </w:r>
      <w:r w:rsidRPr="00A5779E">
        <w:t xml:space="preserve">recommend that economic operators </w:t>
      </w:r>
      <w:r w:rsidRPr="00A5779E">
        <w:rPr>
          <w:color w:val="auto"/>
          <w:lang w:val="en-US"/>
        </w:rPr>
        <w:t>undertake a new/updated assessment every time the packaging design</w:t>
      </w:r>
      <w:r w:rsidRPr="00A5779E">
        <w:t xml:space="preserve"> is changed </w:t>
      </w:r>
      <w:r w:rsidRPr="00A5779E">
        <w:rPr>
          <w:color w:val="auto"/>
          <w:lang w:val="en-US"/>
        </w:rPr>
        <w:t>in a way that would impact its ability to be collected, sorted or recycled</w:t>
      </w:r>
      <w:r w:rsidRPr="00A5779E">
        <w:t>.</w:t>
      </w:r>
      <w:r w:rsidRPr="00A5779E">
        <w:rPr>
          <w:rFonts w:ascii="Segoe UI" w:eastAsia="Times New Roman" w:hAnsi="Segoe UI" w:cs="Segoe UI"/>
          <w:color w:val="auto"/>
          <w:sz w:val="22"/>
          <w:lang w:eastAsia="en-GB"/>
        </w:rPr>
        <w:t xml:space="preserve"> </w:t>
      </w:r>
      <w:r w:rsidRPr="00A5779E">
        <w:t xml:space="preserve">Indeed, the process of redesigning packaging to improve its recyclability can take multiple years as it involves scoping potential alternative suppliers, conducting an environmental life-cycle analysis and global regulatory assessment of alternative packaging materials, creating prototypes and testing the prototypes on production lines, testing the prototypes with retailers and consumers, inventing new pack-sealing technology, and installing the new machinery on all production lines. The installation and scale-up to cover all the production lines is also a gradual process to minimise supply disruption.   </w:t>
      </w:r>
    </w:p>
    <w:p w14:paraId="7631D853" w14:textId="77777777" w:rsidR="00A5779E" w:rsidRPr="00466751" w:rsidRDefault="00A5779E" w:rsidP="00466751">
      <w:pPr>
        <w:pStyle w:val="Heading3"/>
        <w:numPr>
          <w:ilvl w:val="0"/>
          <w:numId w:val="33"/>
        </w:numPr>
        <w:rPr>
          <w:color w:val="1CC4ED" w:themeColor="accent4"/>
          <w:sz w:val="18"/>
          <w:szCs w:val="18"/>
          <w:lang w:val="en-US"/>
        </w:rPr>
      </w:pPr>
      <w:bookmarkStart w:id="16" w:name="_Toc103678466"/>
      <w:bookmarkStart w:id="17" w:name="_Toc105081934"/>
      <w:bookmarkStart w:id="18" w:name="_Toc105081984"/>
      <w:bookmarkEnd w:id="13"/>
      <w:r w:rsidRPr="00466751">
        <w:rPr>
          <w:color w:val="1CC4ED" w:themeColor="accent4"/>
          <w:sz w:val="18"/>
          <w:szCs w:val="18"/>
          <w:lang w:val="en-US"/>
        </w:rPr>
        <w:t>Deploying the appropriate infrastructure</w:t>
      </w:r>
      <w:bookmarkEnd w:id="16"/>
      <w:bookmarkEnd w:id="17"/>
      <w:bookmarkEnd w:id="18"/>
      <w:r w:rsidRPr="00466751">
        <w:rPr>
          <w:color w:val="1CC4ED" w:themeColor="accent4"/>
          <w:sz w:val="18"/>
          <w:szCs w:val="18"/>
          <w:lang w:val="en-US"/>
        </w:rPr>
        <w:t xml:space="preserve"> </w:t>
      </w:r>
    </w:p>
    <w:p w14:paraId="7144EF65" w14:textId="77777777" w:rsidR="00A5779E" w:rsidRPr="00A5779E" w:rsidRDefault="00A5779E" w:rsidP="00C04D8D">
      <w:pPr>
        <w:rPr>
          <w:color w:val="auto"/>
          <w:lang w:val="en-US"/>
        </w:rPr>
      </w:pPr>
      <w:r w:rsidRPr="00A5779E">
        <w:rPr>
          <w:color w:val="auto"/>
          <w:lang w:val="en-US"/>
        </w:rPr>
        <w:t xml:space="preserve">In addition to packaging design, infrastructure is the other essential element that determines packaging recyclability. A series of conditions related to the waste management infrastructure need to be considered when assessing packaging recyclability: </w:t>
      </w:r>
    </w:p>
    <w:p w14:paraId="7CA0F0A5" w14:textId="77777777" w:rsidR="00A5779E" w:rsidRPr="00A5779E" w:rsidRDefault="00A5779E" w:rsidP="00C04D8D">
      <w:pPr>
        <w:pStyle w:val="ListParagraph"/>
        <w:numPr>
          <w:ilvl w:val="0"/>
          <w:numId w:val="14"/>
        </w:numPr>
        <w:rPr>
          <w:color w:val="auto"/>
          <w:lang w:val="en-US"/>
        </w:rPr>
      </w:pPr>
      <w:r w:rsidRPr="00A5779E">
        <w:rPr>
          <w:rFonts w:cstheme="minorHAnsi"/>
          <w:b/>
          <w:bCs/>
          <w:szCs w:val="18"/>
        </w:rPr>
        <w:t>Collection</w:t>
      </w:r>
      <w:r w:rsidRPr="00A5779E">
        <w:rPr>
          <w:rFonts w:cstheme="minorHAnsi"/>
          <w:szCs w:val="18"/>
        </w:rPr>
        <w:t xml:space="preserve">: the packaging can be widely collected by a system available to at least 50% EU consumers with concrete plans to achieve 90% within five years of entry into force of the PPWD. However, for this, it is necessary to ensure that Member States effectively comply with their mandatory separate collection obligations under the Waste Framework Directive (WFD). This link between packaging recyclability and Member States’ collection obligations must be adequately reflected in both the revised PPWD and WFD. A phase in period should be considered for packaging types whose collection for recycling is incipient and needs some time to consolidate. </w:t>
      </w:r>
    </w:p>
    <w:p w14:paraId="453CECFE" w14:textId="77777777" w:rsidR="00A5779E" w:rsidRPr="00A5779E" w:rsidRDefault="00A5779E" w:rsidP="00C04D8D">
      <w:pPr>
        <w:pStyle w:val="ListParagraph"/>
        <w:numPr>
          <w:ilvl w:val="0"/>
          <w:numId w:val="14"/>
        </w:numPr>
        <w:rPr>
          <w:rFonts w:cstheme="minorHAnsi"/>
          <w:b/>
          <w:bCs/>
          <w:szCs w:val="18"/>
        </w:rPr>
      </w:pPr>
      <w:r w:rsidRPr="00A5779E">
        <w:rPr>
          <w:rFonts w:cstheme="minorHAnsi"/>
          <w:b/>
          <w:bCs/>
          <w:szCs w:val="18"/>
        </w:rPr>
        <w:t xml:space="preserve">Sorting: </w:t>
      </w:r>
      <w:r w:rsidRPr="00A5779E">
        <w:rPr>
          <w:rFonts w:cstheme="minorHAnsi"/>
          <w:szCs w:val="18"/>
        </w:rPr>
        <w:t>once the packaging has been collected, it is possible to direct it to an appropriate recycling stream using technologies currently available in sorting centres (or other preparation facilities).</w:t>
      </w:r>
    </w:p>
    <w:p w14:paraId="4D5C9A46" w14:textId="77777777" w:rsidR="00A5779E" w:rsidRPr="00A5779E" w:rsidRDefault="00A5779E" w:rsidP="00C04D8D">
      <w:pPr>
        <w:pStyle w:val="ListParagraph"/>
        <w:numPr>
          <w:ilvl w:val="0"/>
          <w:numId w:val="14"/>
        </w:numPr>
        <w:rPr>
          <w:rFonts w:cstheme="minorHAnsi"/>
          <w:b/>
          <w:bCs/>
          <w:szCs w:val="18"/>
        </w:rPr>
      </w:pPr>
      <w:r w:rsidRPr="00A5779E">
        <w:rPr>
          <w:rFonts w:cstheme="minorHAnsi"/>
          <w:b/>
          <w:bCs/>
          <w:szCs w:val="18"/>
        </w:rPr>
        <w:t xml:space="preserve">Recycling stream: </w:t>
      </w:r>
      <w:r w:rsidRPr="00A5779E">
        <w:rPr>
          <w:rFonts w:cstheme="minorHAnsi"/>
          <w:szCs w:val="18"/>
        </w:rPr>
        <w:t>the packaging can be included in the recycling stream, i.e. based on the composition of the packaging, material can be recovered without disrupting the processes or the quality of the recycled material. The criteria used to check this may change to reflect developments in sorting and recycling technologies.</w:t>
      </w:r>
      <w:r w:rsidRPr="00A5779E">
        <w:rPr>
          <w:rFonts w:cstheme="minorHAnsi"/>
          <w:b/>
          <w:bCs/>
          <w:szCs w:val="18"/>
        </w:rPr>
        <w:t xml:space="preserve"> </w:t>
      </w:r>
    </w:p>
    <w:p w14:paraId="74974CA3" w14:textId="47708795" w:rsidR="00A5779E" w:rsidRPr="00A5779E" w:rsidRDefault="00A5779E" w:rsidP="00C04D8D">
      <w:r w:rsidRPr="00A5779E">
        <w:rPr>
          <w:color w:val="auto"/>
        </w:rPr>
        <w:t>The geographical scope of industrial sorting and recycling must be EU wide.</w:t>
      </w:r>
      <w:r w:rsidRPr="179AFDDC">
        <w:t xml:space="preserve"> Collection will take place in one country, but to maximise efficiency it is possible that sorting and/or recycling will happen in another country. The absence of sorting or recycling facilities in a Member State should not be a reason to determine the non-recyclability of packaging if conditions are in place for the packaging to be recycled in another Member State. </w:t>
      </w:r>
      <w:r w:rsidRPr="00A5779E">
        <w:t xml:space="preserve">Hence, a stronger policy framework is necessary to facilitate and strengthen the transboundary movements of waste across the EU to support the creation of a Single Market for SRM. </w:t>
      </w:r>
      <w:r w:rsidR="2F9FBBF9">
        <w:t>This</w:t>
      </w:r>
      <w:r w:rsidRPr="00A5779E">
        <w:t xml:space="preserve"> </w:t>
      </w:r>
      <w:r w:rsidR="2F9FBBF9">
        <w:t xml:space="preserve">requires </w:t>
      </w:r>
      <w:r w:rsidRPr="00A5779E">
        <w:t xml:space="preserve">that when a Member State lacks adequate sorting and/or recycling infrastructure, it must ship its waste to neighbouring EU countries to ensure that packaging waste is effectively recycled. </w:t>
      </w:r>
    </w:p>
    <w:p w14:paraId="167C0B08" w14:textId="7BD5AF6D" w:rsidR="00B52F61" w:rsidRPr="00AF35B7" w:rsidRDefault="00AF35B7" w:rsidP="00AF35B7">
      <w:pPr>
        <w:jc w:val="center"/>
      </w:pPr>
      <w:r w:rsidRPr="00AF35B7">
        <w:t>***</w:t>
      </w:r>
    </w:p>
    <w:p w14:paraId="71B85C49" w14:textId="77777777" w:rsidR="00B52F61" w:rsidRDefault="00B52F61" w:rsidP="003D4C1D">
      <w:pPr>
        <w:pStyle w:val="Heading3"/>
        <w:rPr>
          <w:lang w:val="en-US"/>
        </w:rPr>
      </w:pPr>
    </w:p>
    <w:p w14:paraId="1F1BF85B" w14:textId="77777777" w:rsidR="00012C2B" w:rsidRDefault="00012C2B" w:rsidP="003D4C1D">
      <w:pPr>
        <w:pStyle w:val="Heading3"/>
        <w:rPr>
          <w:lang w:val="en-US"/>
        </w:rPr>
        <w:sectPr w:rsidR="00012C2B" w:rsidSect="00510511">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418" w:left="1418" w:header="709" w:footer="709" w:gutter="0"/>
          <w:cols w:space="708"/>
          <w:titlePg/>
          <w:docGrid w:linePitch="360"/>
        </w:sectPr>
      </w:pPr>
    </w:p>
    <w:p w14:paraId="0C6F7D5F" w14:textId="0C615626" w:rsidR="002C6B20" w:rsidRDefault="00F83F6C" w:rsidP="003D4C1D">
      <w:pPr>
        <w:pStyle w:val="Heading3"/>
        <w:rPr>
          <w:lang w:val="en-US"/>
        </w:rPr>
      </w:pPr>
      <w:bookmarkStart w:id="19" w:name="_Toc105081935"/>
      <w:bookmarkStart w:id="20" w:name="_Toc105081985"/>
      <w:r w:rsidRPr="003D4C1D">
        <w:rPr>
          <w:lang w:val="en-US"/>
        </w:rPr>
        <w:t xml:space="preserve">Annex I </w:t>
      </w:r>
      <w:r w:rsidR="00FF50B5">
        <w:rPr>
          <w:lang w:val="en-US"/>
        </w:rPr>
        <w:t>–</w:t>
      </w:r>
      <w:r w:rsidRPr="003D4C1D">
        <w:rPr>
          <w:lang w:val="en-US"/>
        </w:rPr>
        <w:t xml:space="preserve"> </w:t>
      </w:r>
      <w:r w:rsidRPr="6883E495">
        <w:rPr>
          <w:lang w:val="en-US"/>
        </w:rPr>
        <w:t xml:space="preserve">Non-exhaustive list of </w:t>
      </w:r>
      <w:r w:rsidR="003D4C1D" w:rsidRPr="6883E495">
        <w:rPr>
          <w:lang w:val="en-US"/>
        </w:rPr>
        <w:t>examples</w:t>
      </w:r>
      <w:r w:rsidR="003D4C1D" w:rsidRPr="003D4C1D">
        <w:rPr>
          <w:lang w:val="en-US"/>
        </w:rPr>
        <w:t xml:space="preserve"> of packaging formats </w:t>
      </w:r>
      <w:r w:rsidR="003D4C1D" w:rsidRPr="6883E495">
        <w:rPr>
          <w:lang w:val="en-US"/>
        </w:rPr>
        <w:t xml:space="preserve">and applications </w:t>
      </w:r>
      <w:r w:rsidR="003D4C1D" w:rsidRPr="003D4C1D">
        <w:rPr>
          <w:lang w:val="en-US"/>
        </w:rPr>
        <w:t xml:space="preserve">for which a 95% recyclability threshold </w:t>
      </w:r>
      <w:r w:rsidR="000070C0" w:rsidRPr="6883E495">
        <w:rPr>
          <w:lang w:val="en-US"/>
        </w:rPr>
        <w:t>is</w:t>
      </w:r>
      <w:r w:rsidR="000070C0" w:rsidRPr="000070C0">
        <w:rPr>
          <w:lang w:val="en-US"/>
        </w:rPr>
        <w:t xml:space="preserve"> not applicable</w:t>
      </w:r>
      <w:bookmarkEnd w:id="19"/>
      <w:bookmarkEnd w:id="20"/>
    </w:p>
    <w:p w14:paraId="265AC1E6" w14:textId="77777777" w:rsidR="001320D4" w:rsidRPr="001320D4" w:rsidRDefault="001320D4" w:rsidP="001320D4">
      <w:pPr>
        <w:rPr>
          <w:lang w:val="en-US"/>
        </w:rPr>
      </w:pPr>
    </w:p>
    <w:p w14:paraId="2ABCB10F" w14:textId="0CFF31EA" w:rsidR="001320D4" w:rsidRPr="00DA35CE" w:rsidRDefault="00A101C4" w:rsidP="001320D4">
      <w:pPr>
        <w:rPr>
          <w:rFonts w:ascii="Arial" w:hAnsi="Arial" w:cs="Arial"/>
          <w:b/>
          <w:bCs/>
          <w:color w:val="1CC4ED" w:themeColor="accent4"/>
          <w:sz w:val="20"/>
          <w:szCs w:val="20"/>
        </w:rPr>
      </w:pPr>
      <w:r>
        <w:rPr>
          <w:rFonts w:ascii="Arial" w:hAnsi="Arial" w:cs="Arial"/>
          <w:b/>
          <w:bCs/>
          <w:color w:val="1CC4ED" w:themeColor="accent4"/>
          <w:sz w:val="20"/>
          <w:szCs w:val="20"/>
        </w:rPr>
        <w:t>Flexible</w:t>
      </w:r>
      <w:r w:rsidR="001320D4" w:rsidRPr="00DA35CE">
        <w:rPr>
          <w:rFonts w:ascii="Arial" w:hAnsi="Arial" w:cs="Arial"/>
          <w:b/>
          <w:bCs/>
          <w:color w:val="1CC4ED" w:themeColor="accent4"/>
          <w:sz w:val="20"/>
          <w:szCs w:val="20"/>
        </w:rPr>
        <w:t xml:space="preserve"> </w:t>
      </w:r>
      <w:r>
        <w:rPr>
          <w:rFonts w:ascii="Arial" w:hAnsi="Arial" w:cs="Arial"/>
          <w:b/>
          <w:bCs/>
          <w:color w:val="1CC4ED" w:themeColor="accent4"/>
          <w:sz w:val="20"/>
          <w:szCs w:val="20"/>
        </w:rPr>
        <w:t>plastic</w:t>
      </w:r>
      <w:r w:rsidR="001320D4" w:rsidRPr="00DA35CE">
        <w:rPr>
          <w:rFonts w:ascii="Arial" w:hAnsi="Arial" w:cs="Arial"/>
          <w:b/>
          <w:bCs/>
          <w:color w:val="1CC4ED" w:themeColor="accent4"/>
          <w:sz w:val="20"/>
          <w:szCs w:val="20"/>
        </w:rPr>
        <w:t xml:space="preserve"> packaging</w:t>
      </w:r>
      <w:r w:rsidR="005076E6" w:rsidRPr="00DA35CE">
        <w:rPr>
          <w:rStyle w:val="FootnoteReference"/>
          <w:rFonts w:cs="Arial"/>
          <w:b/>
          <w:bCs/>
          <w:color w:val="1CC4ED" w:themeColor="accent4"/>
          <w:sz w:val="20"/>
          <w:szCs w:val="20"/>
        </w:rPr>
        <w:footnoteReference w:id="3"/>
      </w:r>
      <w:r w:rsidR="001320D4" w:rsidRPr="00DA35CE">
        <w:rPr>
          <w:rFonts w:ascii="Arial" w:hAnsi="Arial" w:cs="Arial"/>
          <w:b/>
          <w:bCs/>
          <w:color w:val="1CC4ED" w:themeColor="accent4"/>
          <w:sz w:val="20"/>
          <w:szCs w:val="20"/>
        </w:rPr>
        <w:t xml:space="preserve"> </w:t>
      </w:r>
    </w:p>
    <w:tbl>
      <w:tblPr>
        <w:tblStyle w:val="TableGrid"/>
        <w:tblW w:w="13887" w:type="dxa"/>
        <w:tblLook w:val="04A0" w:firstRow="1" w:lastRow="0" w:firstColumn="1" w:lastColumn="0" w:noHBand="0" w:noVBand="1"/>
      </w:tblPr>
      <w:tblGrid>
        <w:gridCol w:w="1250"/>
        <w:gridCol w:w="1528"/>
        <w:gridCol w:w="2107"/>
        <w:gridCol w:w="2054"/>
        <w:gridCol w:w="1755"/>
        <w:gridCol w:w="3484"/>
        <w:gridCol w:w="1709"/>
      </w:tblGrid>
      <w:tr w:rsidR="005076E6" w:rsidRPr="007360C4" w14:paraId="2D062C33" w14:textId="77777777" w:rsidTr="005076E6">
        <w:tc>
          <w:tcPr>
            <w:tcW w:w="1233" w:type="dxa"/>
          </w:tcPr>
          <w:p w14:paraId="23E16517" w14:textId="7777777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Product</w:t>
            </w:r>
          </w:p>
        </w:tc>
        <w:tc>
          <w:tcPr>
            <w:tcW w:w="1528" w:type="dxa"/>
          </w:tcPr>
          <w:p w14:paraId="18EFF8A0" w14:textId="59DAC0B1"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Packaging format</w:t>
            </w:r>
          </w:p>
        </w:tc>
        <w:tc>
          <w:tcPr>
            <w:tcW w:w="2107" w:type="dxa"/>
          </w:tcPr>
          <w:p w14:paraId="4921E0B9" w14:textId="60B7EEC1" w:rsidR="001320D4" w:rsidRPr="005076E6" w:rsidRDefault="006115B9" w:rsidP="005076E6">
            <w:pPr>
              <w:jc w:val="center"/>
              <w:rPr>
                <w:rFonts w:ascii="Arial" w:hAnsi="Arial" w:cs="Arial"/>
                <w:b/>
                <w:bCs/>
                <w:sz w:val="20"/>
                <w:szCs w:val="20"/>
              </w:rPr>
            </w:pPr>
            <w:r>
              <w:rPr>
                <w:rFonts w:ascii="Arial" w:hAnsi="Arial" w:cs="Arial"/>
                <w:b/>
                <w:bCs/>
                <w:sz w:val="20"/>
                <w:szCs w:val="20"/>
              </w:rPr>
              <w:t>Visual</w:t>
            </w:r>
          </w:p>
        </w:tc>
        <w:tc>
          <w:tcPr>
            <w:tcW w:w="2073" w:type="dxa"/>
          </w:tcPr>
          <w:p w14:paraId="33B707CD" w14:textId="381F28C2"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Packaging/product ratio</w:t>
            </w:r>
          </w:p>
        </w:tc>
        <w:tc>
          <w:tcPr>
            <w:tcW w:w="1869" w:type="dxa"/>
          </w:tcPr>
          <w:p w14:paraId="0FB32136" w14:textId="1E6B67E1"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Structural component(s)</w:t>
            </w:r>
          </w:p>
        </w:tc>
        <w:tc>
          <w:tcPr>
            <w:tcW w:w="3207" w:type="dxa"/>
          </w:tcPr>
          <w:p w14:paraId="660DD102" w14:textId="7777777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Functional layer(s)/component(s)</w:t>
            </w:r>
          </w:p>
          <w:p w14:paraId="3B182300" w14:textId="7777777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Including: inks/lacquer/coating/metallisation/ EVOH/ etc.</w:t>
            </w:r>
          </w:p>
        </w:tc>
        <w:tc>
          <w:tcPr>
            <w:tcW w:w="1870" w:type="dxa"/>
          </w:tcPr>
          <w:p w14:paraId="280398B5" w14:textId="4BBEDE53" w:rsidR="001320D4" w:rsidRPr="005076E6" w:rsidRDefault="001320D4" w:rsidP="005076E6">
            <w:pPr>
              <w:jc w:val="center"/>
              <w:rPr>
                <w:rFonts w:ascii="Arial" w:hAnsi="Arial" w:cs="Arial"/>
                <w:b/>
                <w:bCs/>
                <w:color w:val="94497E" w:themeColor="accent5" w:themeShade="BF"/>
                <w:sz w:val="20"/>
                <w:szCs w:val="20"/>
              </w:rPr>
            </w:pPr>
            <w:r w:rsidRPr="005076E6">
              <w:rPr>
                <w:rFonts w:ascii="Arial" w:hAnsi="Arial" w:cs="Arial"/>
                <w:b/>
                <w:bCs/>
                <w:color w:val="94497E" w:themeColor="accent5" w:themeShade="BF"/>
                <w:sz w:val="20"/>
                <w:szCs w:val="20"/>
              </w:rPr>
              <w:t>% Functional components</w:t>
            </w:r>
          </w:p>
        </w:tc>
      </w:tr>
      <w:tr w:rsidR="005076E6" w:rsidRPr="007360C4" w14:paraId="6D4D49BD" w14:textId="77777777" w:rsidTr="005076E6">
        <w:tc>
          <w:tcPr>
            <w:tcW w:w="1233" w:type="dxa"/>
          </w:tcPr>
          <w:p w14:paraId="60DA6F33"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 xml:space="preserve">Crisps </w:t>
            </w:r>
          </w:p>
          <w:p w14:paraId="36E8ED17"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150g</w:t>
            </w:r>
          </w:p>
        </w:tc>
        <w:tc>
          <w:tcPr>
            <w:tcW w:w="1528" w:type="dxa"/>
          </w:tcPr>
          <w:p w14:paraId="7A62E463" w14:textId="77777777" w:rsidR="00A101C4" w:rsidRDefault="001320D4" w:rsidP="0024710F">
            <w:pPr>
              <w:rPr>
                <w:rFonts w:ascii="Arial" w:hAnsi="Arial" w:cs="Arial"/>
                <w:sz w:val="20"/>
                <w:szCs w:val="20"/>
              </w:rPr>
            </w:pPr>
            <w:r w:rsidRPr="007360C4">
              <w:rPr>
                <w:rFonts w:ascii="Arial" w:hAnsi="Arial" w:cs="Arial"/>
                <w:sz w:val="20"/>
                <w:szCs w:val="20"/>
              </w:rPr>
              <w:t xml:space="preserve">Flexible packet </w:t>
            </w:r>
          </w:p>
          <w:p w14:paraId="20DC64F9" w14:textId="39B1F077" w:rsidR="001320D4" w:rsidRPr="007360C4" w:rsidRDefault="001320D4" w:rsidP="0024710F">
            <w:pPr>
              <w:rPr>
                <w:rFonts w:ascii="Arial" w:hAnsi="Arial" w:cs="Arial"/>
                <w:sz w:val="20"/>
                <w:szCs w:val="20"/>
              </w:rPr>
            </w:pPr>
            <w:r w:rsidRPr="007360C4">
              <w:rPr>
                <w:rFonts w:ascii="Arial" w:hAnsi="Arial" w:cs="Arial"/>
                <w:sz w:val="20"/>
                <w:szCs w:val="20"/>
              </w:rPr>
              <w:t>5g</w:t>
            </w:r>
          </w:p>
        </w:tc>
        <w:tc>
          <w:tcPr>
            <w:tcW w:w="2107" w:type="dxa"/>
          </w:tcPr>
          <w:p w14:paraId="421A6139" w14:textId="77777777" w:rsidR="001320D4" w:rsidRPr="007360C4" w:rsidRDefault="001320D4" w:rsidP="0024710F">
            <w:pPr>
              <w:rPr>
                <w:rFonts w:ascii="Arial" w:hAnsi="Arial" w:cs="Arial"/>
                <w:sz w:val="20"/>
                <w:szCs w:val="20"/>
              </w:rPr>
            </w:pPr>
            <w:r>
              <w:rPr>
                <w:noProof/>
              </w:rPr>
              <w:drawing>
                <wp:inline distT="0" distB="0" distL="0" distR="0" wp14:anchorId="14BC6B5E" wp14:editId="1B6FBD4F">
                  <wp:extent cx="887095" cy="613250"/>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1116" cy="643682"/>
                          </a:xfrm>
                          <a:prstGeom prst="rect">
                            <a:avLst/>
                          </a:prstGeom>
                          <a:noFill/>
                          <a:ln>
                            <a:noFill/>
                          </a:ln>
                        </pic:spPr>
                      </pic:pic>
                    </a:graphicData>
                  </a:graphic>
                </wp:inline>
              </w:drawing>
            </w:r>
          </w:p>
        </w:tc>
        <w:tc>
          <w:tcPr>
            <w:tcW w:w="2073" w:type="dxa"/>
          </w:tcPr>
          <w:p w14:paraId="0910AD77" w14:textId="77777777" w:rsidR="001320D4" w:rsidRPr="007360C4" w:rsidRDefault="001320D4" w:rsidP="0024710F">
            <w:pPr>
              <w:rPr>
                <w:rFonts w:ascii="Arial" w:hAnsi="Arial" w:cs="Arial"/>
                <w:sz w:val="20"/>
                <w:szCs w:val="20"/>
              </w:rPr>
            </w:pPr>
            <w:r w:rsidRPr="007360C4">
              <w:rPr>
                <w:rFonts w:ascii="Arial" w:hAnsi="Arial" w:cs="Arial"/>
                <w:sz w:val="20"/>
                <w:szCs w:val="20"/>
              </w:rPr>
              <w:t>3%</w:t>
            </w:r>
          </w:p>
        </w:tc>
        <w:tc>
          <w:tcPr>
            <w:tcW w:w="1869" w:type="dxa"/>
          </w:tcPr>
          <w:p w14:paraId="5FDB54F7" w14:textId="77777777" w:rsidR="001320D4" w:rsidRPr="007360C4" w:rsidRDefault="001320D4" w:rsidP="0024710F">
            <w:pPr>
              <w:rPr>
                <w:rFonts w:ascii="Arial" w:hAnsi="Arial" w:cs="Arial"/>
                <w:sz w:val="20"/>
                <w:szCs w:val="20"/>
              </w:rPr>
            </w:pPr>
            <w:r w:rsidRPr="007360C4">
              <w:rPr>
                <w:rFonts w:ascii="Arial" w:hAnsi="Arial" w:cs="Arial"/>
                <w:sz w:val="20"/>
                <w:szCs w:val="20"/>
              </w:rPr>
              <w:t>PP</w:t>
            </w:r>
          </w:p>
        </w:tc>
        <w:tc>
          <w:tcPr>
            <w:tcW w:w="3207" w:type="dxa"/>
          </w:tcPr>
          <w:p w14:paraId="7C578468" w14:textId="77777777" w:rsidR="001320D4" w:rsidRPr="007360C4" w:rsidRDefault="001320D4" w:rsidP="0024710F">
            <w:pPr>
              <w:rPr>
                <w:rFonts w:ascii="Arial" w:hAnsi="Arial" w:cs="Arial"/>
                <w:sz w:val="20"/>
                <w:szCs w:val="20"/>
              </w:rPr>
            </w:pPr>
            <w:r w:rsidRPr="007360C4">
              <w:rPr>
                <w:rFonts w:ascii="Arial" w:hAnsi="Arial" w:cs="Arial"/>
                <w:sz w:val="20"/>
                <w:szCs w:val="20"/>
              </w:rPr>
              <w:t>0.6g</w:t>
            </w:r>
          </w:p>
        </w:tc>
        <w:tc>
          <w:tcPr>
            <w:tcW w:w="1870" w:type="dxa"/>
          </w:tcPr>
          <w:p w14:paraId="447F9393"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12%</w:t>
            </w:r>
          </w:p>
        </w:tc>
      </w:tr>
      <w:tr w:rsidR="005076E6" w:rsidRPr="007360C4" w14:paraId="6AD4A66B" w14:textId="77777777" w:rsidTr="005076E6">
        <w:tc>
          <w:tcPr>
            <w:tcW w:w="1233" w:type="dxa"/>
          </w:tcPr>
          <w:p w14:paraId="4912C19C"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Chocolate bar 40g</w:t>
            </w:r>
          </w:p>
        </w:tc>
        <w:tc>
          <w:tcPr>
            <w:tcW w:w="1528" w:type="dxa"/>
          </w:tcPr>
          <w:p w14:paraId="4A1B5A52" w14:textId="77777777" w:rsidR="00A101C4" w:rsidRDefault="001320D4" w:rsidP="0024710F">
            <w:pPr>
              <w:rPr>
                <w:rFonts w:ascii="Arial" w:hAnsi="Arial" w:cs="Arial"/>
                <w:sz w:val="20"/>
                <w:szCs w:val="20"/>
              </w:rPr>
            </w:pPr>
            <w:r w:rsidRPr="007360C4">
              <w:rPr>
                <w:rFonts w:ascii="Arial" w:hAnsi="Arial" w:cs="Arial"/>
                <w:sz w:val="20"/>
                <w:szCs w:val="20"/>
              </w:rPr>
              <w:t xml:space="preserve">Flexible packet </w:t>
            </w:r>
          </w:p>
          <w:p w14:paraId="6F9A5184" w14:textId="3EE09E07" w:rsidR="001320D4" w:rsidRPr="007360C4" w:rsidRDefault="001320D4" w:rsidP="0024710F">
            <w:pPr>
              <w:rPr>
                <w:rFonts w:ascii="Arial" w:hAnsi="Arial" w:cs="Arial"/>
                <w:sz w:val="20"/>
                <w:szCs w:val="20"/>
              </w:rPr>
            </w:pPr>
            <w:r w:rsidRPr="007360C4">
              <w:rPr>
                <w:rFonts w:ascii="Arial" w:hAnsi="Arial" w:cs="Arial"/>
                <w:sz w:val="20"/>
                <w:szCs w:val="20"/>
              </w:rPr>
              <w:t>0.8g</w:t>
            </w:r>
          </w:p>
        </w:tc>
        <w:tc>
          <w:tcPr>
            <w:tcW w:w="2107" w:type="dxa"/>
          </w:tcPr>
          <w:p w14:paraId="0E36189C" w14:textId="77777777" w:rsidR="001320D4" w:rsidRPr="007360C4" w:rsidRDefault="001320D4" w:rsidP="0024710F">
            <w:pPr>
              <w:rPr>
                <w:rFonts w:ascii="Arial" w:hAnsi="Arial" w:cs="Arial"/>
                <w:sz w:val="20"/>
                <w:szCs w:val="20"/>
              </w:rPr>
            </w:pPr>
            <w:r>
              <w:rPr>
                <w:noProof/>
              </w:rPr>
              <w:drawing>
                <wp:inline distT="0" distB="0" distL="0" distR="0" wp14:anchorId="28BE301B" wp14:editId="23483C53">
                  <wp:extent cx="830432" cy="417443"/>
                  <wp:effectExtent l="38100" t="95250" r="46355" b="97155"/>
                  <wp:docPr id="3" name="Grafik 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feil enthält.&#10;&#10;Automatisch generierte Beschreibu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4432" b="25300"/>
                          <a:stretch/>
                        </pic:blipFill>
                        <pic:spPr bwMode="auto">
                          <a:xfrm rot="20873118" flipH="1">
                            <a:off x="0" y="0"/>
                            <a:ext cx="842728" cy="4236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73" w:type="dxa"/>
          </w:tcPr>
          <w:p w14:paraId="4C5AE2A0" w14:textId="77777777" w:rsidR="001320D4" w:rsidRPr="007360C4" w:rsidRDefault="001320D4" w:rsidP="0024710F">
            <w:pPr>
              <w:rPr>
                <w:rFonts w:ascii="Arial" w:hAnsi="Arial" w:cs="Arial"/>
                <w:sz w:val="20"/>
                <w:szCs w:val="20"/>
              </w:rPr>
            </w:pPr>
            <w:r w:rsidRPr="007360C4">
              <w:rPr>
                <w:rFonts w:ascii="Arial" w:hAnsi="Arial" w:cs="Arial"/>
                <w:sz w:val="20"/>
                <w:szCs w:val="20"/>
              </w:rPr>
              <w:t>5%</w:t>
            </w:r>
          </w:p>
        </w:tc>
        <w:tc>
          <w:tcPr>
            <w:tcW w:w="1869" w:type="dxa"/>
          </w:tcPr>
          <w:p w14:paraId="55B4F8AE" w14:textId="77777777" w:rsidR="001320D4" w:rsidRPr="007360C4" w:rsidRDefault="001320D4" w:rsidP="0024710F">
            <w:pPr>
              <w:rPr>
                <w:rFonts w:ascii="Arial" w:hAnsi="Arial" w:cs="Arial"/>
                <w:sz w:val="20"/>
                <w:szCs w:val="20"/>
              </w:rPr>
            </w:pPr>
            <w:r w:rsidRPr="007360C4">
              <w:rPr>
                <w:rFonts w:ascii="Arial" w:hAnsi="Arial" w:cs="Arial"/>
                <w:sz w:val="20"/>
                <w:szCs w:val="20"/>
              </w:rPr>
              <w:t>PP</w:t>
            </w:r>
          </w:p>
        </w:tc>
        <w:tc>
          <w:tcPr>
            <w:tcW w:w="3207" w:type="dxa"/>
          </w:tcPr>
          <w:p w14:paraId="1AB4FBE9" w14:textId="77777777" w:rsidR="001320D4" w:rsidRPr="007360C4" w:rsidRDefault="001320D4" w:rsidP="0024710F">
            <w:pPr>
              <w:rPr>
                <w:rFonts w:ascii="Arial" w:hAnsi="Arial" w:cs="Arial"/>
                <w:sz w:val="20"/>
                <w:szCs w:val="20"/>
              </w:rPr>
            </w:pPr>
            <w:r w:rsidRPr="007360C4">
              <w:rPr>
                <w:rFonts w:ascii="Arial" w:hAnsi="Arial" w:cs="Arial"/>
                <w:sz w:val="20"/>
                <w:szCs w:val="20"/>
              </w:rPr>
              <w:t>0.16g</w:t>
            </w:r>
          </w:p>
        </w:tc>
        <w:tc>
          <w:tcPr>
            <w:tcW w:w="1870" w:type="dxa"/>
          </w:tcPr>
          <w:p w14:paraId="2C30E52C"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20%</w:t>
            </w:r>
          </w:p>
        </w:tc>
      </w:tr>
      <w:tr w:rsidR="005076E6" w:rsidRPr="007360C4" w14:paraId="572F4559" w14:textId="77777777" w:rsidTr="005076E6">
        <w:tc>
          <w:tcPr>
            <w:tcW w:w="1233" w:type="dxa"/>
          </w:tcPr>
          <w:p w14:paraId="7B01441D"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Frozen vegetables</w:t>
            </w:r>
          </w:p>
          <w:p w14:paraId="7A9F0671"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1000g</w:t>
            </w:r>
          </w:p>
        </w:tc>
        <w:tc>
          <w:tcPr>
            <w:tcW w:w="1528" w:type="dxa"/>
          </w:tcPr>
          <w:p w14:paraId="41C70B45" w14:textId="77777777" w:rsidR="001320D4" w:rsidRPr="007360C4" w:rsidRDefault="001320D4" w:rsidP="0024710F">
            <w:pPr>
              <w:rPr>
                <w:rFonts w:ascii="Arial" w:hAnsi="Arial" w:cs="Arial"/>
                <w:sz w:val="20"/>
                <w:szCs w:val="20"/>
              </w:rPr>
            </w:pPr>
            <w:r w:rsidRPr="007360C4">
              <w:rPr>
                <w:rFonts w:ascii="Arial" w:hAnsi="Arial" w:cs="Arial"/>
                <w:sz w:val="20"/>
                <w:szCs w:val="20"/>
              </w:rPr>
              <w:t>Flexible pack</w:t>
            </w:r>
          </w:p>
          <w:p w14:paraId="0C083767" w14:textId="77777777" w:rsidR="001320D4" w:rsidRPr="007360C4" w:rsidRDefault="001320D4" w:rsidP="0024710F">
            <w:pPr>
              <w:rPr>
                <w:rFonts w:ascii="Arial" w:hAnsi="Arial" w:cs="Arial"/>
                <w:sz w:val="20"/>
                <w:szCs w:val="20"/>
              </w:rPr>
            </w:pPr>
            <w:r w:rsidRPr="007360C4">
              <w:rPr>
                <w:rFonts w:ascii="Arial" w:hAnsi="Arial" w:cs="Arial"/>
                <w:sz w:val="20"/>
                <w:szCs w:val="20"/>
              </w:rPr>
              <w:t>3.56g</w:t>
            </w:r>
          </w:p>
        </w:tc>
        <w:tc>
          <w:tcPr>
            <w:tcW w:w="2107" w:type="dxa"/>
          </w:tcPr>
          <w:p w14:paraId="32421C06" w14:textId="77777777" w:rsidR="001320D4" w:rsidRPr="007360C4" w:rsidRDefault="001320D4" w:rsidP="0024710F">
            <w:pPr>
              <w:rPr>
                <w:rFonts w:ascii="Arial" w:hAnsi="Arial" w:cs="Arial"/>
                <w:sz w:val="20"/>
                <w:szCs w:val="20"/>
              </w:rPr>
            </w:pPr>
            <w:r w:rsidRPr="00960297">
              <w:rPr>
                <w:rFonts w:ascii="Arial" w:hAnsi="Arial" w:cs="Arial"/>
                <w:noProof/>
                <w:sz w:val="20"/>
                <w:szCs w:val="20"/>
              </w:rPr>
              <w:drawing>
                <wp:inline distT="0" distB="0" distL="0" distR="0" wp14:anchorId="253EFEB1" wp14:editId="7CBD8B2A">
                  <wp:extent cx="628650" cy="681668"/>
                  <wp:effectExtent l="0" t="0" r="0" b="4445"/>
                  <wp:docPr id="1" name="Grafik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con&#10;&#10;Description automatically generated"/>
                          <pic:cNvPicPr/>
                        </pic:nvPicPr>
                        <pic:blipFill>
                          <a:blip r:embed="rId19"/>
                          <a:stretch>
                            <a:fillRect/>
                          </a:stretch>
                        </pic:blipFill>
                        <pic:spPr>
                          <a:xfrm>
                            <a:off x="0" y="0"/>
                            <a:ext cx="646343" cy="700853"/>
                          </a:xfrm>
                          <a:prstGeom prst="rect">
                            <a:avLst/>
                          </a:prstGeom>
                        </pic:spPr>
                      </pic:pic>
                    </a:graphicData>
                  </a:graphic>
                </wp:inline>
              </w:drawing>
            </w:r>
          </w:p>
        </w:tc>
        <w:tc>
          <w:tcPr>
            <w:tcW w:w="2073" w:type="dxa"/>
          </w:tcPr>
          <w:p w14:paraId="2D39CF19" w14:textId="77777777" w:rsidR="001320D4" w:rsidRPr="007360C4" w:rsidRDefault="001320D4" w:rsidP="0024710F">
            <w:pPr>
              <w:rPr>
                <w:rFonts w:ascii="Arial" w:hAnsi="Arial" w:cs="Arial"/>
                <w:sz w:val="20"/>
                <w:szCs w:val="20"/>
              </w:rPr>
            </w:pPr>
            <w:r w:rsidRPr="007360C4">
              <w:rPr>
                <w:rFonts w:ascii="Arial" w:hAnsi="Arial" w:cs="Arial"/>
                <w:sz w:val="20"/>
                <w:szCs w:val="20"/>
              </w:rPr>
              <w:t>0.4%</w:t>
            </w:r>
          </w:p>
        </w:tc>
        <w:tc>
          <w:tcPr>
            <w:tcW w:w="1869" w:type="dxa"/>
          </w:tcPr>
          <w:p w14:paraId="1DCABF69" w14:textId="77777777" w:rsidR="001320D4" w:rsidRPr="007360C4" w:rsidRDefault="001320D4" w:rsidP="0024710F">
            <w:pPr>
              <w:rPr>
                <w:rFonts w:ascii="Arial" w:hAnsi="Arial" w:cs="Arial"/>
                <w:sz w:val="20"/>
                <w:szCs w:val="20"/>
              </w:rPr>
            </w:pPr>
            <w:r w:rsidRPr="007360C4">
              <w:rPr>
                <w:rFonts w:ascii="Arial" w:hAnsi="Arial" w:cs="Arial"/>
                <w:sz w:val="20"/>
                <w:szCs w:val="20"/>
              </w:rPr>
              <w:t>PE</w:t>
            </w:r>
          </w:p>
        </w:tc>
        <w:tc>
          <w:tcPr>
            <w:tcW w:w="3207" w:type="dxa"/>
          </w:tcPr>
          <w:p w14:paraId="061DE402" w14:textId="77777777" w:rsidR="001320D4" w:rsidRPr="007360C4" w:rsidRDefault="001320D4" w:rsidP="0024710F">
            <w:pPr>
              <w:rPr>
                <w:rFonts w:ascii="Arial" w:hAnsi="Arial" w:cs="Arial"/>
                <w:sz w:val="20"/>
                <w:szCs w:val="20"/>
              </w:rPr>
            </w:pPr>
            <w:r w:rsidRPr="007360C4">
              <w:rPr>
                <w:rFonts w:ascii="Arial" w:hAnsi="Arial" w:cs="Arial"/>
                <w:sz w:val="20"/>
                <w:szCs w:val="20"/>
              </w:rPr>
              <w:t>0.25g</w:t>
            </w:r>
          </w:p>
        </w:tc>
        <w:tc>
          <w:tcPr>
            <w:tcW w:w="1870" w:type="dxa"/>
          </w:tcPr>
          <w:p w14:paraId="43C0D16E"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7%</w:t>
            </w:r>
          </w:p>
        </w:tc>
      </w:tr>
      <w:tr w:rsidR="005076E6" w:rsidRPr="007360C4" w14:paraId="4184EE0F" w14:textId="77777777" w:rsidTr="005076E6">
        <w:tc>
          <w:tcPr>
            <w:tcW w:w="1233" w:type="dxa"/>
          </w:tcPr>
          <w:p w14:paraId="4B843FBF"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Dry rice</w:t>
            </w:r>
          </w:p>
          <w:p w14:paraId="2B8E691D"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500g</w:t>
            </w:r>
          </w:p>
        </w:tc>
        <w:tc>
          <w:tcPr>
            <w:tcW w:w="1528" w:type="dxa"/>
          </w:tcPr>
          <w:p w14:paraId="11635880" w14:textId="77777777" w:rsidR="001320D4" w:rsidRPr="007360C4" w:rsidRDefault="001320D4" w:rsidP="0024710F">
            <w:pPr>
              <w:rPr>
                <w:rFonts w:ascii="Arial" w:hAnsi="Arial" w:cs="Arial"/>
                <w:sz w:val="20"/>
                <w:szCs w:val="20"/>
              </w:rPr>
            </w:pPr>
            <w:r w:rsidRPr="007360C4">
              <w:rPr>
                <w:rFonts w:ascii="Arial" w:hAnsi="Arial" w:cs="Arial"/>
                <w:sz w:val="20"/>
                <w:szCs w:val="20"/>
              </w:rPr>
              <w:t>Pouch</w:t>
            </w:r>
          </w:p>
          <w:p w14:paraId="2B46ED9C" w14:textId="32EECF7C" w:rsidR="001320D4" w:rsidRPr="007360C4" w:rsidRDefault="001320D4" w:rsidP="0024710F">
            <w:pPr>
              <w:rPr>
                <w:rFonts w:ascii="Arial" w:hAnsi="Arial" w:cs="Arial"/>
                <w:sz w:val="20"/>
                <w:szCs w:val="20"/>
              </w:rPr>
            </w:pPr>
            <w:r w:rsidRPr="007360C4">
              <w:rPr>
                <w:rFonts w:ascii="Arial" w:hAnsi="Arial" w:cs="Arial"/>
                <w:sz w:val="20"/>
                <w:szCs w:val="20"/>
              </w:rPr>
              <w:t>4</w:t>
            </w:r>
            <w:r w:rsidR="00A101C4">
              <w:rPr>
                <w:rFonts w:ascii="Arial" w:hAnsi="Arial" w:cs="Arial"/>
                <w:sz w:val="20"/>
                <w:szCs w:val="20"/>
              </w:rPr>
              <w:t>.</w:t>
            </w:r>
            <w:r w:rsidRPr="007360C4">
              <w:rPr>
                <w:rFonts w:ascii="Arial" w:hAnsi="Arial" w:cs="Arial"/>
                <w:sz w:val="20"/>
                <w:szCs w:val="20"/>
              </w:rPr>
              <w:t>15g</w:t>
            </w:r>
          </w:p>
        </w:tc>
        <w:tc>
          <w:tcPr>
            <w:tcW w:w="2107" w:type="dxa"/>
          </w:tcPr>
          <w:p w14:paraId="5B163B9C" w14:textId="77777777" w:rsidR="001320D4" w:rsidRPr="007360C4" w:rsidRDefault="001320D4" w:rsidP="0024710F">
            <w:pPr>
              <w:rPr>
                <w:rFonts w:ascii="Arial" w:hAnsi="Arial" w:cs="Arial"/>
                <w:sz w:val="20"/>
                <w:szCs w:val="20"/>
              </w:rPr>
            </w:pPr>
            <w:r>
              <w:rPr>
                <w:noProof/>
              </w:rPr>
              <w:drawing>
                <wp:inline distT="0" distB="0" distL="0" distR="0" wp14:anchorId="0E90B350" wp14:editId="603BAAA6">
                  <wp:extent cx="628650" cy="628650"/>
                  <wp:effectExtent l="0" t="0" r="0" b="0"/>
                  <wp:docPr id="9" name="Grafik 9" descr="Ein Bild, das Mil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Milch enthält.&#10;&#10;Automatisch generierte Beschreib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3498" cy="633498"/>
                          </a:xfrm>
                          <a:prstGeom prst="rect">
                            <a:avLst/>
                          </a:prstGeom>
                          <a:noFill/>
                          <a:ln>
                            <a:noFill/>
                          </a:ln>
                        </pic:spPr>
                      </pic:pic>
                    </a:graphicData>
                  </a:graphic>
                </wp:inline>
              </w:drawing>
            </w:r>
          </w:p>
        </w:tc>
        <w:tc>
          <w:tcPr>
            <w:tcW w:w="2073" w:type="dxa"/>
          </w:tcPr>
          <w:p w14:paraId="7EF9A383" w14:textId="77777777" w:rsidR="001320D4" w:rsidRPr="007360C4" w:rsidRDefault="001320D4" w:rsidP="0024710F">
            <w:pPr>
              <w:rPr>
                <w:rFonts w:ascii="Arial" w:hAnsi="Arial" w:cs="Arial"/>
                <w:sz w:val="20"/>
                <w:szCs w:val="20"/>
              </w:rPr>
            </w:pPr>
            <w:r w:rsidRPr="007360C4">
              <w:rPr>
                <w:rFonts w:ascii="Arial" w:hAnsi="Arial" w:cs="Arial"/>
                <w:sz w:val="20"/>
                <w:szCs w:val="20"/>
              </w:rPr>
              <w:t>0.9%</w:t>
            </w:r>
          </w:p>
        </w:tc>
        <w:tc>
          <w:tcPr>
            <w:tcW w:w="1869" w:type="dxa"/>
          </w:tcPr>
          <w:p w14:paraId="4A02E29C" w14:textId="77777777" w:rsidR="001320D4" w:rsidRPr="007360C4" w:rsidRDefault="001320D4" w:rsidP="0024710F">
            <w:pPr>
              <w:rPr>
                <w:rFonts w:ascii="Arial" w:hAnsi="Arial" w:cs="Arial"/>
                <w:sz w:val="20"/>
                <w:szCs w:val="20"/>
              </w:rPr>
            </w:pPr>
            <w:r w:rsidRPr="007360C4">
              <w:rPr>
                <w:rFonts w:ascii="Arial" w:hAnsi="Arial" w:cs="Arial"/>
                <w:sz w:val="20"/>
                <w:szCs w:val="20"/>
              </w:rPr>
              <w:t>PE/PET</w:t>
            </w:r>
          </w:p>
        </w:tc>
        <w:tc>
          <w:tcPr>
            <w:tcW w:w="3207" w:type="dxa"/>
          </w:tcPr>
          <w:p w14:paraId="6BBC44A0" w14:textId="77777777" w:rsidR="001320D4" w:rsidRPr="007360C4" w:rsidRDefault="001320D4" w:rsidP="0024710F">
            <w:pPr>
              <w:rPr>
                <w:rFonts w:ascii="Arial" w:hAnsi="Arial" w:cs="Arial"/>
                <w:sz w:val="20"/>
                <w:szCs w:val="20"/>
              </w:rPr>
            </w:pPr>
            <w:r w:rsidRPr="007360C4">
              <w:rPr>
                <w:rFonts w:ascii="Arial" w:hAnsi="Arial" w:cs="Arial"/>
                <w:sz w:val="20"/>
                <w:szCs w:val="20"/>
              </w:rPr>
              <w:t>0.35g</w:t>
            </w:r>
          </w:p>
        </w:tc>
        <w:tc>
          <w:tcPr>
            <w:tcW w:w="1870" w:type="dxa"/>
          </w:tcPr>
          <w:p w14:paraId="30A192AE"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8%</w:t>
            </w:r>
          </w:p>
        </w:tc>
      </w:tr>
      <w:tr w:rsidR="005076E6" w:rsidRPr="007360C4" w14:paraId="10A08DA3" w14:textId="77777777" w:rsidTr="005076E6">
        <w:tc>
          <w:tcPr>
            <w:tcW w:w="1233" w:type="dxa"/>
          </w:tcPr>
          <w:p w14:paraId="23AD8EEA"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 xml:space="preserve">Cereals </w:t>
            </w:r>
          </w:p>
          <w:p w14:paraId="54507C33"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400g</w:t>
            </w:r>
          </w:p>
        </w:tc>
        <w:tc>
          <w:tcPr>
            <w:tcW w:w="1528" w:type="dxa"/>
          </w:tcPr>
          <w:p w14:paraId="2EB99E86" w14:textId="77777777" w:rsidR="001320D4" w:rsidRPr="007360C4" w:rsidRDefault="001320D4" w:rsidP="0024710F">
            <w:pPr>
              <w:rPr>
                <w:rFonts w:ascii="Arial" w:hAnsi="Arial" w:cs="Arial"/>
                <w:sz w:val="20"/>
                <w:szCs w:val="20"/>
              </w:rPr>
            </w:pPr>
            <w:r w:rsidRPr="007360C4">
              <w:rPr>
                <w:rFonts w:ascii="Arial" w:hAnsi="Arial" w:cs="Arial"/>
                <w:sz w:val="20"/>
                <w:szCs w:val="20"/>
              </w:rPr>
              <w:t>Stand-up pouch</w:t>
            </w:r>
          </w:p>
          <w:p w14:paraId="22034709" w14:textId="77777777" w:rsidR="001320D4" w:rsidRPr="007360C4" w:rsidRDefault="001320D4" w:rsidP="0024710F">
            <w:pPr>
              <w:rPr>
                <w:rFonts w:ascii="Arial" w:hAnsi="Arial" w:cs="Arial"/>
                <w:sz w:val="20"/>
                <w:szCs w:val="20"/>
              </w:rPr>
            </w:pPr>
            <w:r w:rsidRPr="007360C4">
              <w:rPr>
                <w:rFonts w:ascii="Arial" w:hAnsi="Arial" w:cs="Arial"/>
                <w:sz w:val="20"/>
                <w:szCs w:val="20"/>
              </w:rPr>
              <w:t>11g</w:t>
            </w:r>
          </w:p>
        </w:tc>
        <w:tc>
          <w:tcPr>
            <w:tcW w:w="2107" w:type="dxa"/>
          </w:tcPr>
          <w:p w14:paraId="72C8DB44" w14:textId="77777777" w:rsidR="001320D4" w:rsidRPr="007360C4" w:rsidRDefault="001320D4" w:rsidP="0024710F">
            <w:pPr>
              <w:rPr>
                <w:rFonts w:ascii="Arial" w:hAnsi="Arial" w:cs="Arial"/>
                <w:sz w:val="20"/>
                <w:szCs w:val="20"/>
              </w:rPr>
            </w:pPr>
            <w:r>
              <w:rPr>
                <w:noProof/>
              </w:rPr>
              <w:drawing>
                <wp:inline distT="0" distB="0" distL="0" distR="0" wp14:anchorId="6C0E910C" wp14:editId="05DF6509">
                  <wp:extent cx="519113" cy="519113"/>
                  <wp:effectExtent l="0" t="0" r="0" b="0"/>
                  <wp:docPr id="13" name="Grafik 13" descr="Ein Bild, das Gl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las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6619" cy="526619"/>
                          </a:xfrm>
                          <a:prstGeom prst="rect">
                            <a:avLst/>
                          </a:prstGeom>
                          <a:noFill/>
                          <a:ln>
                            <a:noFill/>
                          </a:ln>
                        </pic:spPr>
                      </pic:pic>
                    </a:graphicData>
                  </a:graphic>
                </wp:inline>
              </w:drawing>
            </w:r>
          </w:p>
        </w:tc>
        <w:tc>
          <w:tcPr>
            <w:tcW w:w="2073" w:type="dxa"/>
          </w:tcPr>
          <w:p w14:paraId="1E90A5FC" w14:textId="77777777" w:rsidR="001320D4" w:rsidRPr="007360C4" w:rsidRDefault="001320D4" w:rsidP="0024710F">
            <w:pPr>
              <w:rPr>
                <w:rFonts w:ascii="Arial" w:hAnsi="Arial" w:cs="Arial"/>
                <w:sz w:val="20"/>
                <w:szCs w:val="20"/>
              </w:rPr>
            </w:pPr>
            <w:r w:rsidRPr="007360C4">
              <w:rPr>
                <w:rFonts w:ascii="Arial" w:hAnsi="Arial" w:cs="Arial"/>
                <w:sz w:val="20"/>
                <w:szCs w:val="20"/>
              </w:rPr>
              <w:t>2.7%</w:t>
            </w:r>
          </w:p>
        </w:tc>
        <w:tc>
          <w:tcPr>
            <w:tcW w:w="1869" w:type="dxa"/>
          </w:tcPr>
          <w:p w14:paraId="2E3C65C7" w14:textId="77777777" w:rsidR="001320D4" w:rsidRPr="007360C4" w:rsidRDefault="001320D4" w:rsidP="0024710F">
            <w:pPr>
              <w:rPr>
                <w:rFonts w:ascii="Arial" w:hAnsi="Arial" w:cs="Arial"/>
                <w:sz w:val="20"/>
                <w:szCs w:val="20"/>
              </w:rPr>
            </w:pPr>
            <w:r w:rsidRPr="007360C4">
              <w:rPr>
                <w:rFonts w:ascii="Arial" w:hAnsi="Arial" w:cs="Arial"/>
                <w:sz w:val="20"/>
                <w:szCs w:val="20"/>
              </w:rPr>
              <w:t>PE/PET</w:t>
            </w:r>
          </w:p>
        </w:tc>
        <w:tc>
          <w:tcPr>
            <w:tcW w:w="3207" w:type="dxa"/>
          </w:tcPr>
          <w:p w14:paraId="5E1943BB" w14:textId="77777777" w:rsidR="001320D4" w:rsidRPr="007360C4" w:rsidRDefault="001320D4" w:rsidP="0024710F">
            <w:pPr>
              <w:rPr>
                <w:rFonts w:ascii="Arial" w:hAnsi="Arial" w:cs="Arial"/>
                <w:sz w:val="20"/>
                <w:szCs w:val="20"/>
              </w:rPr>
            </w:pPr>
            <w:r w:rsidRPr="007360C4">
              <w:rPr>
                <w:rFonts w:ascii="Arial" w:hAnsi="Arial" w:cs="Arial"/>
                <w:sz w:val="20"/>
                <w:szCs w:val="20"/>
              </w:rPr>
              <w:t>0.8g</w:t>
            </w:r>
          </w:p>
        </w:tc>
        <w:tc>
          <w:tcPr>
            <w:tcW w:w="1870" w:type="dxa"/>
          </w:tcPr>
          <w:p w14:paraId="0A483EDE"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7%</w:t>
            </w:r>
          </w:p>
        </w:tc>
      </w:tr>
      <w:tr w:rsidR="005076E6" w:rsidRPr="007360C4" w14:paraId="40C63209" w14:textId="77777777" w:rsidTr="005076E6">
        <w:tc>
          <w:tcPr>
            <w:tcW w:w="1233" w:type="dxa"/>
          </w:tcPr>
          <w:p w14:paraId="7A666886"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Ground coffee</w:t>
            </w:r>
          </w:p>
          <w:p w14:paraId="45C4D35E"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500g</w:t>
            </w:r>
          </w:p>
        </w:tc>
        <w:tc>
          <w:tcPr>
            <w:tcW w:w="1528" w:type="dxa"/>
          </w:tcPr>
          <w:p w14:paraId="2AED8C33" w14:textId="77777777" w:rsidR="001320D4" w:rsidRPr="007360C4" w:rsidRDefault="001320D4" w:rsidP="0024710F">
            <w:pPr>
              <w:rPr>
                <w:rFonts w:ascii="Arial" w:hAnsi="Arial" w:cs="Arial"/>
                <w:sz w:val="20"/>
                <w:szCs w:val="20"/>
              </w:rPr>
            </w:pPr>
            <w:r w:rsidRPr="007360C4">
              <w:rPr>
                <w:rFonts w:ascii="Arial" w:hAnsi="Arial" w:cs="Arial"/>
                <w:sz w:val="20"/>
                <w:szCs w:val="20"/>
              </w:rPr>
              <w:t>Vacuum pack</w:t>
            </w:r>
          </w:p>
          <w:p w14:paraId="76284C34" w14:textId="77777777" w:rsidR="001320D4" w:rsidRPr="007360C4" w:rsidRDefault="001320D4" w:rsidP="0024710F">
            <w:pPr>
              <w:rPr>
                <w:rFonts w:ascii="Arial" w:hAnsi="Arial" w:cs="Arial"/>
                <w:sz w:val="20"/>
                <w:szCs w:val="20"/>
              </w:rPr>
            </w:pPr>
            <w:r w:rsidRPr="007360C4">
              <w:rPr>
                <w:rFonts w:ascii="Arial" w:hAnsi="Arial" w:cs="Arial"/>
                <w:sz w:val="20"/>
                <w:szCs w:val="20"/>
              </w:rPr>
              <w:t>7.5g</w:t>
            </w:r>
          </w:p>
        </w:tc>
        <w:tc>
          <w:tcPr>
            <w:tcW w:w="2107" w:type="dxa"/>
          </w:tcPr>
          <w:p w14:paraId="03005244" w14:textId="77777777" w:rsidR="001320D4" w:rsidRPr="007360C4" w:rsidRDefault="001320D4" w:rsidP="0024710F">
            <w:pPr>
              <w:rPr>
                <w:rFonts w:ascii="Arial" w:hAnsi="Arial" w:cs="Arial"/>
                <w:sz w:val="20"/>
                <w:szCs w:val="20"/>
              </w:rPr>
            </w:pPr>
            <w:r>
              <w:rPr>
                <w:noProof/>
              </w:rPr>
              <w:drawing>
                <wp:inline distT="0" distB="0" distL="0" distR="0" wp14:anchorId="6633BE7E" wp14:editId="6A1FD8C3">
                  <wp:extent cx="385763" cy="710282"/>
                  <wp:effectExtent l="0" t="0" r="0" b="0"/>
                  <wp:docPr id="8" name="Grafik 8"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drinnen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709" cy="758056"/>
                          </a:xfrm>
                          <a:prstGeom prst="rect">
                            <a:avLst/>
                          </a:prstGeom>
                          <a:noFill/>
                          <a:ln>
                            <a:noFill/>
                          </a:ln>
                        </pic:spPr>
                      </pic:pic>
                    </a:graphicData>
                  </a:graphic>
                </wp:inline>
              </w:drawing>
            </w:r>
          </w:p>
        </w:tc>
        <w:tc>
          <w:tcPr>
            <w:tcW w:w="2073" w:type="dxa"/>
          </w:tcPr>
          <w:p w14:paraId="3E60B96B" w14:textId="77777777" w:rsidR="001320D4" w:rsidRPr="007360C4" w:rsidRDefault="001320D4" w:rsidP="0024710F">
            <w:pPr>
              <w:rPr>
                <w:rFonts w:ascii="Arial" w:hAnsi="Arial" w:cs="Arial"/>
                <w:sz w:val="20"/>
                <w:szCs w:val="20"/>
              </w:rPr>
            </w:pPr>
            <w:r w:rsidRPr="007360C4">
              <w:rPr>
                <w:rFonts w:ascii="Arial" w:hAnsi="Arial" w:cs="Arial"/>
                <w:sz w:val="20"/>
                <w:szCs w:val="20"/>
              </w:rPr>
              <w:t>1.5%</w:t>
            </w:r>
          </w:p>
        </w:tc>
        <w:tc>
          <w:tcPr>
            <w:tcW w:w="1869" w:type="dxa"/>
          </w:tcPr>
          <w:p w14:paraId="1FB618FD" w14:textId="77777777" w:rsidR="001320D4" w:rsidRPr="007360C4" w:rsidRDefault="001320D4" w:rsidP="0024710F">
            <w:pPr>
              <w:rPr>
                <w:rFonts w:ascii="Arial" w:hAnsi="Arial" w:cs="Arial"/>
                <w:sz w:val="20"/>
                <w:szCs w:val="20"/>
              </w:rPr>
            </w:pPr>
            <w:r w:rsidRPr="007360C4">
              <w:rPr>
                <w:rFonts w:ascii="Arial" w:hAnsi="Arial" w:cs="Arial"/>
                <w:sz w:val="20"/>
                <w:szCs w:val="20"/>
              </w:rPr>
              <w:t>PE/PET</w:t>
            </w:r>
          </w:p>
        </w:tc>
        <w:tc>
          <w:tcPr>
            <w:tcW w:w="3207" w:type="dxa"/>
          </w:tcPr>
          <w:p w14:paraId="27E96798" w14:textId="2BE8BA0E" w:rsidR="001320D4" w:rsidRPr="007360C4" w:rsidRDefault="001320D4" w:rsidP="0024710F">
            <w:pPr>
              <w:rPr>
                <w:rFonts w:ascii="Arial" w:hAnsi="Arial" w:cs="Arial"/>
                <w:sz w:val="20"/>
                <w:szCs w:val="20"/>
              </w:rPr>
            </w:pPr>
            <w:r w:rsidRPr="007360C4">
              <w:rPr>
                <w:rFonts w:ascii="Arial" w:hAnsi="Arial" w:cs="Arial"/>
                <w:sz w:val="20"/>
                <w:szCs w:val="20"/>
              </w:rPr>
              <w:t>0.34</w:t>
            </w:r>
            <w:r w:rsidR="00FB78A6">
              <w:rPr>
                <w:rFonts w:ascii="Arial" w:hAnsi="Arial" w:cs="Arial"/>
                <w:sz w:val="20"/>
                <w:szCs w:val="20"/>
              </w:rPr>
              <w:t>g</w:t>
            </w:r>
          </w:p>
        </w:tc>
        <w:tc>
          <w:tcPr>
            <w:tcW w:w="1870" w:type="dxa"/>
          </w:tcPr>
          <w:p w14:paraId="40380936"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5%</w:t>
            </w:r>
          </w:p>
        </w:tc>
      </w:tr>
      <w:tr w:rsidR="005076E6" w:rsidRPr="003748CF" w14:paraId="09E18C9D" w14:textId="77777777" w:rsidTr="005076E6">
        <w:tc>
          <w:tcPr>
            <w:tcW w:w="1233" w:type="dxa"/>
          </w:tcPr>
          <w:p w14:paraId="0E7A5FCF"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Sliced ham</w:t>
            </w:r>
          </w:p>
          <w:p w14:paraId="07BA4831"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100g</w:t>
            </w:r>
          </w:p>
        </w:tc>
        <w:tc>
          <w:tcPr>
            <w:tcW w:w="1528" w:type="dxa"/>
          </w:tcPr>
          <w:p w14:paraId="107037ED" w14:textId="77777777" w:rsidR="001320D4" w:rsidRPr="003748CF" w:rsidRDefault="001320D4" w:rsidP="0024710F">
            <w:pPr>
              <w:rPr>
                <w:rFonts w:ascii="Arial" w:hAnsi="Arial" w:cs="Arial"/>
                <w:sz w:val="20"/>
                <w:szCs w:val="20"/>
              </w:rPr>
            </w:pPr>
            <w:r w:rsidRPr="003748CF">
              <w:rPr>
                <w:rFonts w:ascii="Arial" w:hAnsi="Arial" w:cs="Arial"/>
                <w:sz w:val="20"/>
                <w:szCs w:val="20"/>
              </w:rPr>
              <w:t>Thermoformed flexible tray and lid</w:t>
            </w:r>
          </w:p>
          <w:p w14:paraId="3C1E3472" w14:textId="77777777" w:rsidR="001320D4" w:rsidRPr="003748CF" w:rsidRDefault="001320D4" w:rsidP="0024710F">
            <w:pPr>
              <w:rPr>
                <w:rFonts w:ascii="Arial" w:hAnsi="Arial" w:cs="Arial"/>
                <w:sz w:val="20"/>
                <w:szCs w:val="20"/>
              </w:rPr>
            </w:pPr>
            <w:r w:rsidRPr="003748CF">
              <w:rPr>
                <w:rFonts w:ascii="Arial" w:hAnsi="Arial" w:cs="Arial"/>
                <w:sz w:val="20"/>
                <w:szCs w:val="20"/>
              </w:rPr>
              <w:t>6.9g</w:t>
            </w:r>
          </w:p>
        </w:tc>
        <w:tc>
          <w:tcPr>
            <w:tcW w:w="2107" w:type="dxa"/>
          </w:tcPr>
          <w:p w14:paraId="6DCEDFD7" w14:textId="77777777" w:rsidR="001320D4" w:rsidRPr="003748CF" w:rsidRDefault="001320D4" w:rsidP="0024710F">
            <w:pPr>
              <w:rPr>
                <w:rFonts w:ascii="Arial" w:hAnsi="Arial" w:cs="Arial"/>
                <w:noProof/>
                <w:sz w:val="20"/>
                <w:szCs w:val="20"/>
              </w:rPr>
            </w:pPr>
            <w:r>
              <w:rPr>
                <w:noProof/>
              </w:rPr>
              <w:drawing>
                <wp:inline distT="0" distB="0" distL="0" distR="0" wp14:anchorId="62CBADBE" wp14:editId="3AD54A5C">
                  <wp:extent cx="1201070" cy="755374"/>
                  <wp:effectExtent l="0" t="0" r="0" b="6985"/>
                  <wp:docPr id="15" name="Grafik 15" descr="Ein Bild, das Ger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Gericht enthält.&#10;&#10;Automatisch generierte Beschreibu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611" cy="762632"/>
                          </a:xfrm>
                          <a:prstGeom prst="rect">
                            <a:avLst/>
                          </a:prstGeom>
                          <a:noFill/>
                          <a:ln>
                            <a:noFill/>
                          </a:ln>
                        </pic:spPr>
                      </pic:pic>
                    </a:graphicData>
                  </a:graphic>
                </wp:inline>
              </w:drawing>
            </w:r>
          </w:p>
        </w:tc>
        <w:tc>
          <w:tcPr>
            <w:tcW w:w="2073" w:type="dxa"/>
          </w:tcPr>
          <w:p w14:paraId="346E208F" w14:textId="77777777" w:rsidR="001320D4" w:rsidRPr="003748CF" w:rsidRDefault="001320D4" w:rsidP="0024710F">
            <w:pPr>
              <w:rPr>
                <w:rFonts w:ascii="Arial" w:hAnsi="Arial" w:cs="Arial"/>
                <w:sz w:val="20"/>
                <w:szCs w:val="20"/>
              </w:rPr>
            </w:pPr>
            <w:r w:rsidRPr="003748CF">
              <w:rPr>
                <w:rFonts w:ascii="Arial" w:hAnsi="Arial" w:cs="Arial"/>
                <w:sz w:val="20"/>
                <w:szCs w:val="20"/>
              </w:rPr>
              <w:t>6.9%</w:t>
            </w:r>
          </w:p>
        </w:tc>
        <w:tc>
          <w:tcPr>
            <w:tcW w:w="1869" w:type="dxa"/>
          </w:tcPr>
          <w:p w14:paraId="7FE3E5B0" w14:textId="77777777" w:rsidR="001320D4" w:rsidRPr="003748CF" w:rsidRDefault="001320D4" w:rsidP="0024710F">
            <w:pPr>
              <w:rPr>
                <w:rFonts w:ascii="Arial" w:hAnsi="Arial" w:cs="Arial"/>
                <w:sz w:val="20"/>
                <w:szCs w:val="20"/>
              </w:rPr>
            </w:pPr>
            <w:r w:rsidRPr="003748CF">
              <w:rPr>
                <w:rFonts w:ascii="Arial" w:hAnsi="Arial" w:cs="Arial"/>
                <w:sz w:val="20"/>
                <w:szCs w:val="20"/>
              </w:rPr>
              <w:t>PE/PET</w:t>
            </w:r>
          </w:p>
        </w:tc>
        <w:tc>
          <w:tcPr>
            <w:tcW w:w="3207" w:type="dxa"/>
          </w:tcPr>
          <w:p w14:paraId="64EF85AD" w14:textId="1A367591" w:rsidR="001320D4" w:rsidRPr="003748CF" w:rsidRDefault="001320D4" w:rsidP="0024710F">
            <w:pPr>
              <w:rPr>
                <w:rFonts w:ascii="Arial" w:hAnsi="Arial" w:cs="Arial"/>
                <w:sz w:val="20"/>
                <w:szCs w:val="20"/>
              </w:rPr>
            </w:pPr>
            <w:r w:rsidRPr="003748CF">
              <w:rPr>
                <w:rFonts w:ascii="Arial" w:hAnsi="Arial" w:cs="Arial"/>
                <w:sz w:val="20"/>
                <w:szCs w:val="20"/>
              </w:rPr>
              <w:t>0.46</w:t>
            </w:r>
            <w:r w:rsidR="00FB78A6">
              <w:rPr>
                <w:rFonts w:ascii="Arial" w:hAnsi="Arial" w:cs="Arial"/>
                <w:sz w:val="20"/>
                <w:szCs w:val="20"/>
              </w:rPr>
              <w:t>g</w:t>
            </w:r>
          </w:p>
        </w:tc>
        <w:tc>
          <w:tcPr>
            <w:tcW w:w="1870" w:type="dxa"/>
          </w:tcPr>
          <w:p w14:paraId="53E817B0"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7%</w:t>
            </w:r>
          </w:p>
        </w:tc>
      </w:tr>
    </w:tbl>
    <w:p w14:paraId="1247320A" w14:textId="77777777" w:rsidR="001320D4" w:rsidRDefault="001320D4" w:rsidP="001320D4">
      <w:pPr>
        <w:rPr>
          <w:rFonts w:ascii="Arial" w:hAnsi="Arial" w:cs="Arial"/>
          <w:sz w:val="20"/>
          <w:szCs w:val="20"/>
        </w:rPr>
      </w:pPr>
    </w:p>
    <w:p w14:paraId="50577562" w14:textId="097586F0" w:rsidR="001320D4" w:rsidRPr="00DA35CE" w:rsidRDefault="00A101C4" w:rsidP="001320D4">
      <w:pPr>
        <w:rPr>
          <w:rFonts w:ascii="Arial" w:hAnsi="Arial" w:cs="Arial"/>
          <w:b/>
          <w:bCs/>
          <w:color w:val="1CC4ED" w:themeColor="accent4"/>
          <w:sz w:val="20"/>
          <w:szCs w:val="20"/>
        </w:rPr>
      </w:pPr>
      <w:r>
        <w:rPr>
          <w:rFonts w:ascii="Arial" w:hAnsi="Arial" w:cs="Arial"/>
          <w:b/>
          <w:bCs/>
          <w:color w:val="1CC4ED" w:themeColor="accent4"/>
          <w:sz w:val="20"/>
          <w:szCs w:val="20"/>
        </w:rPr>
        <w:t>F</w:t>
      </w:r>
      <w:r w:rsidR="001320D4" w:rsidRPr="00DA35CE">
        <w:rPr>
          <w:rFonts w:ascii="Arial" w:hAnsi="Arial" w:cs="Arial"/>
          <w:b/>
          <w:bCs/>
          <w:color w:val="1CC4ED" w:themeColor="accent4"/>
          <w:sz w:val="20"/>
          <w:szCs w:val="20"/>
        </w:rPr>
        <w:t xml:space="preserve">lexible </w:t>
      </w:r>
      <w:r>
        <w:rPr>
          <w:rFonts w:ascii="Arial" w:hAnsi="Arial" w:cs="Arial"/>
          <w:b/>
          <w:bCs/>
          <w:color w:val="1CC4ED" w:themeColor="accent4"/>
          <w:sz w:val="20"/>
          <w:szCs w:val="20"/>
        </w:rPr>
        <w:t>a</w:t>
      </w:r>
      <w:r w:rsidRPr="00DA35CE">
        <w:rPr>
          <w:rFonts w:ascii="Arial" w:hAnsi="Arial" w:cs="Arial"/>
          <w:b/>
          <w:bCs/>
          <w:color w:val="1CC4ED" w:themeColor="accent4"/>
          <w:sz w:val="20"/>
          <w:szCs w:val="20"/>
        </w:rPr>
        <w:t xml:space="preserve">luminium </w:t>
      </w:r>
      <w:r w:rsidR="001320D4" w:rsidRPr="00DA35CE">
        <w:rPr>
          <w:rFonts w:ascii="Arial" w:hAnsi="Arial" w:cs="Arial"/>
          <w:b/>
          <w:bCs/>
          <w:color w:val="1CC4ED" w:themeColor="accent4"/>
          <w:sz w:val="20"/>
          <w:szCs w:val="20"/>
        </w:rPr>
        <w:t>packaging</w:t>
      </w:r>
      <w:r w:rsidR="005076E6" w:rsidRPr="00DA35CE">
        <w:rPr>
          <w:rStyle w:val="FootnoteReference"/>
          <w:rFonts w:cs="Arial"/>
          <w:b/>
          <w:bCs/>
          <w:color w:val="1CC4ED" w:themeColor="accent4"/>
          <w:sz w:val="20"/>
          <w:szCs w:val="20"/>
        </w:rPr>
        <w:footnoteReference w:id="4"/>
      </w:r>
    </w:p>
    <w:tbl>
      <w:tblPr>
        <w:tblStyle w:val="TableGrid"/>
        <w:tblW w:w="13887" w:type="dxa"/>
        <w:tblLayout w:type="fixed"/>
        <w:tblLook w:val="04A0" w:firstRow="1" w:lastRow="0" w:firstColumn="1" w:lastColumn="0" w:noHBand="0" w:noVBand="1"/>
      </w:tblPr>
      <w:tblGrid>
        <w:gridCol w:w="1515"/>
        <w:gridCol w:w="1794"/>
        <w:gridCol w:w="1648"/>
        <w:gridCol w:w="2126"/>
        <w:gridCol w:w="1701"/>
        <w:gridCol w:w="3402"/>
        <w:gridCol w:w="1701"/>
      </w:tblGrid>
      <w:tr w:rsidR="009919A9" w:rsidRPr="007360C4" w14:paraId="43DDA97A" w14:textId="77777777" w:rsidTr="35A74707">
        <w:tc>
          <w:tcPr>
            <w:tcW w:w="1515" w:type="dxa"/>
          </w:tcPr>
          <w:p w14:paraId="463F22F1" w14:textId="7777777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Product</w:t>
            </w:r>
          </w:p>
        </w:tc>
        <w:tc>
          <w:tcPr>
            <w:tcW w:w="1794" w:type="dxa"/>
          </w:tcPr>
          <w:p w14:paraId="7F2C586E" w14:textId="4F16586B"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Packaging format</w:t>
            </w:r>
          </w:p>
        </w:tc>
        <w:tc>
          <w:tcPr>
            <w:tcW w:w="1648" w:type="dxa"/>
          </w:tcPr>
          <w:p w14:paraId="63496ED7" w14:textId="5DE60A54" w:rsidR="001320D4" w:rsidRPr="005076E6" w:rsidRDefault="006115B9" w:rsidP="005076E6">
            <w:pPr>
              <w:jc w:val="center"/>
              <w:rPr>
                <w:rFonts w:ascii="Arial" w:hAnsi="Arial" w:cs="Arial"/>
                <w:b/>
                <w:bCs/>
                <w:sz w:val="20"/>
                <w:szCs w:val="20"/>
              </w:rPr>
            </w:pPr>
            <w:r>
              <w:rPr>
                <w:rFonts w:ascii="Arial" w:hAnsi="Arial" w:cs="Arial"/>
                <w:b/>
                <w:bCs/>
                <w:sz w:val="20"/>
                <w:szCs w:val="20"/>
              </w:rPr>
              <w:t>Visual</w:t>
            </w:r>
          </w:p>
        </w:tc>
        <w:tc>
          <w:tcPr>
            <w:tcW w:w="2126" w:type="dxa"/>
          </w:tcPr>
          <w:p w14:paraId="132E2A1D" w14:textId="274AD63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Packaging/product ratio</w:t>
            </w:r>
          </w:p>
        </w:tc>
        <w:tc>
          <w:tcPr>
            <w:tcW w:w="1701" w:type="dxa"/>
          </w:tcPr>
          <w:p w14:paraId="6D12659C" w14:textId="7D08D18C"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Structural component(s)</w:t>
            </w:r>
          </w:p>
        </w:tc>
        <w:tc>
          <w:tcPr>
            <w:tcW w:w="3402" w:type="dxa"/>
          </w:tcPr>
          <w:p w14:paraId="75D11205" w14:textId="7777777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Non-aluminium functional components:  inks/lacquer/coating</w:t>
            </w:r>
          </w:p>
        </w:tc>
        <w:tc>
          <w:tcPr>
            <w:tcW w:w="1701" w:type="dxa"/>
          </w:tcPr>
          <w:p w14:paraId="70AD4FDC" w14:textId="565BD255" w:rsidR="001320D4" w:rsidRPr="005076E6" w:rsidRDefault="001320D4" w:rsidP="005076E6">
            <w:pPr>
              <w:jc w:val="center"/>
              <w:rPr>
                <w:rFonts w:ascii="Arial" w:hAnsi="Arial" w:cs="Arial"/>
                <w:b/>
                <w:bCs/>
                <w:color w:val="94497E" w:themeColor="accent5" w:themeShade="BF"/>
                <w:sz w:val="20"/>
                <w:szCs w:val="20"/>
              </w:rPr>
            </w:pPr>
            <w:r w:rsidRPr="005076E6">
              <w:rPr>
                <w:rFonts w:ascii="Arial" w:hAnsi="Arial" w:cs="Arial"/>
                <w:b/>
                <w:bCs/>
                <w:color w:val="94497E" w:themeColor="accent5" w:themeShade="BF"/>
                <w:sz w:val="20"/>
                <w:szCs w:val="20"/>
              </w:rPr>
              <w:t>% Functional components</w:t>
            </w:r>
          </w:p>
        </w:tc>
      </w:tr>
      <w:tr w:rsidR="009919A9" w:rsidRPr="007360C4" w14:paraId="4FEECB00" w14:textId="77777777" w:rsidTr="35A74707">
        <w:tc>
          <w:tcPr>
            <w:tcW w:w="1515" w:type="dxa"/>
          </w:tcPr>
          <w:p w14:paraId="29BB7F38"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Chocolate piece (Easter/ Christmas figures)</w:t>
            </w:r>
          </w:p>
          <w:p w14:paraId="190C4F47"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100g</w:t>
            </w:r>
          </w:p>
        </w:tc>
        <w:tc>
          <w:tcPr>
            <w:tcW w:w="1794" w:type="dxa"/>
          </w:tcPr>
          <w:p w14:paraId="084A18A9" w14:textId="77777777" w:rsidR="001320D4" w:rsidRPr="007360C4" w:rsidRDefault="001320D4" w:rsidP="0024710F">
            <w:pPr>
              <w:rPr>
                <w:rFonts w:ascii="Arial" w:hAnsi="Arial" w:cs="Arial"/>
                <w:sz w:val="20"/>
                <w:szCs w:val="20"/>
              </w:rPr>
            </w:pPr>
            <w:r w:rsidRPr="007360C4">
              <w:rPr>
                <w:rFonts w:ascii="Arial" w:hAnsi="Arial" w:cs="Arial"/>
                <w:sz w:val="20"/>
                <w:szCs w:val="20"/>
              </w:rPr>
              <w:t>Aluminium foil wrap</w:t>
            </w:r>
          </w:p>
          <w:p w14:paraId="1DA0B1E9" w14:textId="77777777" w:rsidR="001320D4" w:rsidRPr="007360C4" w:rsidRDefault="001320D4" w:rsidP="0024710F">
            <w:pPr>
              <w:rPr>
                <w:rFonts w:ascii="Arial" w:hAnsi="Arial" w:cs="Arial"/>
                <w:sz w:val="20"/>
                <w:szCs w:val="20"/>
              </w:rPr>
            </w:pPr>
            <w:r w:rsidRPr="007360C4">
              <w:rPr>
                <w:rFonts w:ascii="Arial" w:hAnsi="Arial" w:cs="Arial"/>
                <w:sz w:val="20"/>
                <w:szCs w:val="20"/>
              </w:rPr>
              <w:t>1.4g</w:t>
            </w:r>
          </w:p>
        </w:tc>
        <w:tc>
          <w:tcPr>
            <w:tcW w:w="1648" w:type="dxa"/>
          </w:tcPr>
          <w:p w14:paraId="38D5F90F" w14:textId="77777777" w:rsidR="001320D4" w:rsidRPr="007360C4" w:rsidRDefault="001320D4" w:rsidP="0024710F">
            <w:pPr>
              <w:rPr>
                <w:rFonts w:ascii="Arial" w:hAnsi="Arial" w:cs="Arial"/>
                <w:sz w:val="20"/>
                <w:szCs w:val="20"/>
              </w:rPr>
            </w:pPr>
            <w:r w:rsidRPr="007360C4">
              <w:rPr>
                <w:rFonts w:ascii="Arial" w:hAnsi="Arial" w:cs="Arial"/>
                <w:noProof/>
                <w:sz w:val="20"/>
                <w:szCs w:val="20"/>
              </w:rPr>
              <w:drawing>
                <wp:inline distT="0" distB="0" distL="0" distR="0" wp14:anchorId="23927A53" wp14:editId="4DF5A691">
                  <wp:extent cx="605790" cy="710418"/>
                  <wp:effectExtent l="0" t="0" r="3810" b="0"/>
                  <wp:docPr id="23" name="Picture 22" descr="A picture containing indoor, dessert&#10;&#10;Description automatically generated">
                    <a:extLst xmlns:a="http://schemas.openxmlformats.org/drawingml/2006/main">
                      <a:ext uri="{FF2B5EF4-FFF2-40B4-BE49-F238E27FC236}">
                        <a16:creationId xmlns:a16="http://schemas.microsoft.com/office/drawing/2014/main" id="{083BDBC7-3C0E-40AC-8A70-A5382637B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picture containing indoor, dessert&#10;&#10;Description automatically generated">
                            <a:extLst>
                              <a:ext uri="{FF2B5EF4-FFF2-40B4-BE49-F238E27FC236}">
                                <a16:creationId xmlns:a16="http://schemas.microsoft.com/office/drawing/2014/main" id="{083BDBC7-3C0E-40AC-8A70-A5382637BC74}"/>
                              </a:ext>
                            </a:extLst>
                          </pic:cNvPr>
                          <pic:cNvPicPr>
                            <a:picLocks noChangeAspect="1"/>
                          </pic:cNvPicPr>
                        </pic:nvPicPr>
                        <pic:blipFill rotWithShape="1">
                          <a:blip r:embed="rId24"/>
                          <a:srcRect b="3564"/>
                          <a:stretch/>
                        </pic:blipFill>
                        <pic:spPr bwMode="auto">
                          <a:xfrm>
                            <a:off x="0" y="0"/>
                            <a:ext cx="606322" cy="71104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8164171" wp14:editId="18D9704F">
                  <wp:extent cx="600323" cy="900085"/>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24731" cy="936681"/>
                          </a:xfrm>
                          <a:prstGeom prst="rect">
                            <a:avLst/>
                          </a:prstGeom>
                          <a:noFill/>
                          <a:ln>
                            <a:noFill/>
                          </a:ln>
                        </pic:spPr>
                      </pic:pic>
                    </a:graphicData>
                  </a:graphic>
                </wp:inline>
              </w:drawing>
            </w:r>
          </w:p>
        </w:tc>
        <w:tc>
          <w:tcPr>
            <w:tcW w:w="2126" w:type="dxa"/>
          </w:tcPr>
          <w:p w14:paraId="03C07DE2" w14:textId="77777777" w:rsidR="001320D4" w:rsidRPr="007360C4" w:rsidRDefault="001320D4" w:rsidP="0024710F">
            <w:pPr>
              <w:rPr>
                <w:rFonts w:ascii="Arial" w:hAnsi="Arial" w:cs="Arial"/>
                <w:sz w:val="20"/>
                <w:szCs w:val="20"/>
              </w:rPr>
            </w:pPr>
            <w:r w:rsidRPr="007360C4">
              <w:rPr>
                <w:rFonts w:ascii="Arial" w:hAnsi="Arial" w:cs="Arial"/>
                <w:sz w:val="20"/>
                <w:szCs w:val="20"/>
              </w:rPr>
              <w:t>1.4%</w:t>
            </w:r>
          </w:p>
        </w:tc>
        <w:tc>
          <w:tcPr>
            <w:tcW w:w="1701" w:type="dxa"/>
          </w:tcPr>
          <w:p w14:paraId="0AA9FAE1" w14:textId="4891E093" w:rsidR="001320D4" w:rsidRPr="007360C4" w:rsidRDefault="00F1178B" w:rsidP="0024710F">
            <w:pPr>
              <w:rPr>
                <w:rFonts w:ascii="Arial" w:hAnsi="Arial" w:cs="Arial"/>
                <w:sz w:val="20"/>
                <w:szCs w:val="20"/>
              </w:rPr>
            </w:pPr>
            <w:r>
              <w:rPr>
                <w:rFonts w:ascii="Arial" w:hAnsi="Arial" w:cs="Arial"/>
                <w:sz w:val="20"/>
                <w:szCs w:val="20"/>
              </w:rPr>
              <w:t>A</w:t>
            </w:r>
            <w:r w:rsidR="001320D4" w:rsidRPr="007360C4">
              <w:rPr>
                <w:rFonts w:ascii="Arial" w:hAnsi="Arial" w:cs="Arial"/>
                <w:sz w:val="20"/>
                <w:szCs w:val="20"/>
              </w:rPr>
              <w:t>luminium</w:t>
            </w:r>
          </w:p>
        </w:tc>
        <w:tc>
          <w:tcPr>
            <w:tcW w:w="3402" w:type="dxa"/>
          </w:tcPr>
          <w:p w14:paraId="360A50EC" w14:textId="77777777" w:rsidR="001320D4" w:rsidRPr="007360C4" w:rsidRDefault="001320D4" w:rsidP="0024710F">
            <w:pPr>
              <w:rPr>
                <w:rFonts w:ascii="Arial" w:hAnsi="Arial" w:cs="Arial"/>
                <w:sz w:val="20"/>
                <w:szCs w:val="20"/>
              </w:rPr>
            </w:pPr>
            <w:r w:rsidRPr="007360C4">
              <w:rPr>
                <w:rFonts w:ascii="Arial" w:hAnsi="Arial" w:cs="Arial"/>
                <w:sz w:val="20"/>
                <w:szCs w:val="20"/>
              </w:rPr>
              <w:t>Inks/lacquer</w:t>
            </w:r>
          </w:p>
          <w:p w14:paraId="44CF36A4" w14:textId="77777777" w:rsidR="001320D4" w:rsidRPr="007360C4" w:rsidRDefault="001320D4" w:rsidP="0024710F">
            <w:pPr>
              <w:rPr>
                <w:rFonts w:ascii="Arial" w:hAnsi="Arial" w:cs="Arial"/>
                <w:sz w:val="20"/>
                <w:szCs w:val="20"/>
              </w:rPr>
            </w:pPr>
            <w:r w:rsidRPr="007360C4">
              <w:rPr>
                <w:rFonts w:ascii="Arial" w:hAnsi="Arial" w:cs="Arial"/>
                <w:sz w:val="20"/>
                <w:szCs w:val="20"/>
              </w:rPr>
              <w:t>0.16g</w:t>
            </w:r>
          </w:p>
        </w:tc>
        <w:tc>
          <w:tcPr>
            <w:tcW w:w="1701" w:type="dxa"/>
          </w:tcPr>
          <w:p w14:paraId="5C70014D"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11%</w:t>
            </w:r>
          </w:p>
        </w:tc>
      </w:tr>
      <w:tr w:rsidR="009919A9" w:rsidRPr="007360C4" w14:paraId="3060DA60" w14:textId="77777777" w:rsidTr="35A74707">
        <w:tc>
          <w:tcPr>
            <w:tcW w:w="1515" w:type="dxa"/>
          </w:tcPr>
          <w:p w14:paraId="16EEABA6"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Yogurt</w:t>
            </w:r>
          </w:p>
          <w:p w14:paraId="5D3BC151"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200g</w:t>
            </w:r>
          </w:p>
        </w:tc>
        <w:tc>
          <w:tcPr>
            <w:tcW w:w="1794" w:type="dxa"/>
          </w:tcPr>
          <w:p w14:paraId="58741B3D" w14:textId="77777777" w:rsidR="001320D4" w:rsidRPr="007360C4" w:rsidRDefault="001320D4" w:rsidP="0024710F">
            <w:pPr>
              <w:rPr>
                <w:rFonts w:ascii="Arial" w:hAnsi="Arial" w:cs="Arial"/>
                <w:sz w:val="20"/>
                <w:szCs w:val="20"/>
              </w:rPr>
            </w:pPr>
            <w:r w:rsidRPr="007360C4">
              <w:rPr>
                <w:rFonts w:ascii="Arial" w:hAnsi="Arial" w:cs="Arial"/>
                <w:sz w:val="20"/>
                <w:szCs w:val="20"/>
              </w:rPr>
              <w:t>Lid</w:t>
            </w:r>
          </w:p>
          <w:p w14:paraId="7945D2B1" w14:textId="77777777" w:rsidR="001320D4" w:rsidRPr="007360C4" w:rsidRDefault="001320D4" w:rsidP="0024710F">
            <w:pPr>
              <w:rPr>
                <w:rFonts w:ascii="Arial" w:hAnsi="Arial" w:cs="Arial"/>
                <w:sz w:val="20"/>
                <w:szCs w:val="20"/>
              </w:rPr>
            </w:pPr>
            <w:r w:rsidRPr="007360C4">
              <w:rPr>
                <w:rFonts w:ascii="Arial" w:hAnsi="Arial" w:cs="Arial"/>
                <w:sz w:val="20"/>
                <w:szCs w:val="20"/>
              </w:rPr>
              <w:t xml:space="preserve"> 0.54g</w:t>
            </w:r>
          </w:p>
        </w:tc>
        <w:tc>
          <w:tcPr>
            <w:tcW w:w="1648" w:type="dxa"/>
          </w:tcPr>
          <w:p w14:paraId="06B0C0D9" w14:textId="77777777" w:rsidR="001320D4" w:rsidRPr="007360C4" w:rsidRDefault="001320D4" w:rsidP="0024710F">
            <w:pPr>
              <w:rPr>
                <w:rFonts w:ascii="Arial" w:hAnsi="Arial" w:cs="Arial"/>
                <w:sz w:val="20"/>
                <w:szCs w:val="20"/>
              </w:rPr>
            </w:pPr>
            <w:r>
              <w:rPr>
                <w:noProof/>
              </w:rPr>
              <w:drawing>
                <wp:inline distT="0" distB="0" distL="0" distR="0" wp14:anchorId="68B63B86" wp14:editId="32165FB1">
                  <wp:extent cx="659959" cy="865859"/>
                  <wp:effectExtent l="0" t="0" r="6985" b="0"/>
                  <wp:docPr id="14" name="Grafik 14" descr="Ein Bild, das Tasse,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asse, Geschirr enthält.&#10;&#10;Automatisch generierte Beschreibu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7824" cy="876177"/>
                          </a:xfrm>
                          <a:prstGeom prst="rect">
                            <a:avLst/>
                          </a:prstGeom>
                          <a:noFill/>
                          <a:ln>
                            <a:noFill/>
                          </a:ln>
                        </pic:spPr>
                      </pic:pic>
                    </a:graphicData>
                  </a:graphic>
                </wp:inline>
              </w:drawing>
            </w:r>
          </w:p>
        </w:tc>
        <w:tc>
          <w:tcPr>
            <w:tcW w:w="2126" w:type="dxa"/>
          </w:tcPr>
          <w:p w14:paraId="45E2F1B7" w14:textId="77777777" w:rsidR="001320D4" w:rsidRPr="007360C4" w:rsidRDefault="001320D4" w:rsidP="0024710F">
            <w:pPr>
              <w:rPr>
                <w:rFonts w:ascii="Arial" w:hAnsi="Arial" w:cs="Arial"/>
                <w:sz w:val="20"/>
                <w:szCs w:val="20"/>
              </w:rPr>
            </w:pPr>
            <w:r w:rsidRPr="007360C4">
              <w:rPr>
                <w:rFonts w:ascii="Arial" w:hAnsi="Arial" w:cs="Arial"/>
                <w:sz w:val="20"/>
                <w:szCs w:val="20"/>
              </w:rPr>
              <w:t>NA</w:t>
            </w:r>
          </w:p>
        </w:tc>
        <w:tc>
          <w:tcPr>
            <w:tcW w:w="1701" w:type="dxa"/>
          </w:tcPr>
          <w:p w14:paraId="2E5FCBC1" w14:textId="12B60086" w:rsidR="001320D4" w:rsidRPr="007360C4" w:rsidRDefault="00F1178B" w:rsidP="0024710F">
            <w:pPr>
              <w:rPr>
                <w:rFonts w:ascii="Arial" w:hAnsi="Arial" w:cs="Arial"/>
                <w:sz w:val="20"/>
                <w:szCs w:val="20"/>
              </w:rPr>
            </w:pPr>
            <w:r>
              <w:rPr>
                <w:rFonts w:ascii="Arial" w:hAnsi="Arial" w:cs="Arial"/>
                <w:sz w:val="20"/>
                <w:szCs w:val="20"/>
              </w:rPr>
              <w:t>A</w:t>
            </w:r>
            <w:r w:rsidRPr="007360C4">
              <w:rPr>
                <w:rFonts w:ascii="Arial" w:hAnsi="Arial" w:cs="Arial"/>
                <w:sz w:val="20"/>
                <w:szCs w:val="20"/>
              </w:rPr>
              <w:t>luminium</w:t>
            </w:r>
          </w:p>
        </w:tc>
        <w:tc>
          <w:tcPr>
            <w:tcW w:w="3402" w:type="dxa"/>
          </w:tcPr>
          <w:p w14:paraId="2C186F86" w14:textId="77777777" w:rsidR="001320D4" w:rsidRPr="007360C4" w:rsidRDefault="001320D4" w:rsidP="0024710F">
            <w:pPr>
              <w:rPr>
                <w:rFonts w:ascii="Arial" w:hAnsi="Arial" w:cs="Arial"/>
                <w:sz w:val="20"/>
                <w:szCs w:val="20"/>
              </w:rPr>
            </w:pPr>
            <w:r w:rsidRPr="007360C4">
              <w:rPr>
                <w:rFonts w:ascii="Arial" w:hAnsi="Arial" w:cs="Arial"/>
                <w:sz w:val="20"/>
                <w:szCs w:val="20"/>
              </w:rPr>
              <w:t>Heat seal lacquer, inks</w:t>
            </w:r>
          </w:p>
          <w:p w14:paraId="407B3B4D" w14:textId="77777777" w:rsidR="001320D4" w:rsidRPr="007360C4" w:rsidRDefault="001320D4" w:rsidP="0024710F">
            <w:pPr>
              <w:rPr>
                <w:rFonts w:ascii="Arial" w:hAnsi="Arial" w:cs="Arial"/>
                <w:sz w:val="20"/>
                <w:szCs w:val="20"/>
              </w:rPr>
            </w:pPr>
            <w:r w:rsidRPr="007360C4">
              <w:rPr>
                <w:rFonts w:ascii="Arial" w:hAnsi="Arial" w:cs="Arial"/>
                <w:sz w:val="20"/>
                <w:szCs w:val="20"/>
              </w:rPr>
              <w:t>0.05g</w:t>
            </w:r>
          </w:p>
        </w:tc>
        <w:tc>
          <w:tcPr>
            <w:tcW w:w="1701" w:type="dxa"/>
          </w:tcPr>
          <w:p w14:paraId="529EC7B9"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9%</w:t>
            </w:r>
          </w:p>
        </w:tc>
      </w:tr>
      <w:tr w:rsidR="009919A9" w:rsidRPr="007360C4" w14:paraId="09508EBF" w14:textId="77777777" w:rsidTr="35A74707">
        <w:tc>
          <w:tcPr>
            <w:tcW w:w="1515" w:type="dxa"/>
          </w:tcPr>
          <w:p w14:paraId="0EA66A5F"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Spreadable Cheese portion</w:t>
            </w:r>
          </w:p>
          <w:p w14:paraId="214B7BA8"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18g</w:t>
            </w:r>
          </w:p>
        </w:tc>
        <w:tc>
          <w:tcPr>
            <w:tcW w:w="1794" w:type="dxa"/>
          </w:tcPr>
          <w:p w14:paraId="67D397E6" w14:textId="77777777" w:rsidR="001320D4" w:rsidRPr="007360C4" w:rsidRDefault="001320D4" w:rsidP="0024710F">
            <w:pPr>
              <w:rPr>
                <w:rFonts w:ascii="Arial" w:hAnsi="Arial" w:cs="Arial"/>
                <w:sz w:val="20"/>
                <w:szCs w:val="20"/>
              </w:rPr>
            </w:pPr>
            <w:r w:rsidRPr="007360C4">
              <w:rPr>
                <w:rFonts w:ascii="Arial" w:hAnsi="Arial" w:cs="Arial"/>
                <w:sz w:val="20"/>
                <w:szCs w:val="20"/>
              </w:rPr>
              <w:t xml:space="preserve">Folded/lacquered aluminium foil </w:t>
            </w:r>
          </w:p>
          <w:p w14:paraId="3B77316A" w14:textId="77777777" w:rsidR="001320D4" w:rsidRPr="007360C4" w:rsidRDefault="001320D4" w:rsidP="0024710F">
            <w:pPr>
              <w:rPr>
                <w:rFonts w:ascii="Arial" w:hAnsi="Arial" w:cs="Arial"/>
                <w:sz w:val="20"/>
                <w:szCs w:val="20"/>
              </w:rPr>
            </w:pPr>
            <w:r w:rsidRPr="007360C4">
              <w:rPr>
                <w:rFonts w:ascii="Arial" w:hAnsi="Arial" w:cs="Arial"/>
                <w:sz w:val="20"/>
                <w:szCs w:val="20"/>
              </w:rPr>
              <w:t>0.37g</w:t>
            </w:r>
          </w:p>
        </w:tc>
        <w:tc>
          <w:tcPr>
            <w:tcW w:w="1648" w:type="dxa"/>
          </w:tcPr>
          <w:p w14:paraId="66AF87B2" w14:textId="77777777" w:rsidR="001320D4" w:rsidRPr="007360C4" w:rsidRDefault="001320D4" w:rsidP="0024710F">
            <w:pPr>
              <w:rPr>
                <w:rFonts w:ascii="Arial" w:hAnsi="Arial" w:cs="Arial"/>
                <w:sz w:val="20"/>
                <w:szCs w:val="20"/>
              </w:rPr>
            </w:pPr>
            <w:r>
              <w:rPr>
                <w:noProof/>
              </w:rPr>
              <w:drawing>
                <wp:inline distT="0" distB="0" distL="0" distR="0" wp14:anchorId="1F61E53D" wp14:editId="09A42A22">
                  <wp:extent cx="1132040" cy="751315"/>
                  <wp:effectExtent l="0" t="0" r="0" b="0"/>
                  <wp:docPr id="12" name="Grafik 12" descr="A close-up of a fis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 close-up of a fish&#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4780" cy="759771"/>
                          </a:xfrm>
                          <a:prstGeom prst="rect">
                            <a:avLst/>
                          </a:prstGeom>
                          <a:noFill/>
                          <a:ln>
                            <a:noFill/>
                          </a:ln>
                        </pic:spPr>
                      </pic:pic>
                    </a:graphicData>
                  </a:graphic>
                </wp:inline>
              </w:drawing>
            </w:r>
          </w:p>
        </w:tc>
        <w:tc>
          <w:tcPr>
            <w:tcW w:w="2126" w:type="dxa"/>
          </w:tcPr>
          <w:p w14:paraId="76F5AFD9" w14:textId="77777777" w:rsidR="001320D4" w:rsidRPr="007360C4" w:rsidRDefault="001320D4" w:rsidP="0024710F">
            <w:pPr>
              <w:rPr>
                <w:rFonts w:ascii="Arial" w:hAnsi="Arial" w:cs="Arial"/>
                <w:sz w:val="20"/>
                <w:szCs w:val="20"/>
              </w:rPr>
            </w:pPr>
            <w:r w:rsidRPr="007360C4">
              <w:rPr>
                <w:rFonts w:ascii="Arial" w:hAnsi="Arial" w:cs="Arial"/>
                <w:sz w:val="20"/>
                <w:szCs w:val="20"/>
              </w:rPr>
              <w:t>2%</w:t>
            </w:r>
          </w:p>
        </w:tc>
        <w:tc>
          <w:tcPr>
            <w:tcW w:w="1701" w:type="dxa"/>
          </w:tcPr>
          <w:p w14:paraId="4A67FF28" w14:textId="669969C6" w:rsidR="001320D4" w:rsidRPr="007360C4" w:rsidRDefault="00F1178B" w:rsidP="0024710F">
            <w:pPr>
              <w:rPr>
                <w:rFonts w:ascii="Arial" w:hAnsi="Arial" w:cs="Arial"/>
                <w:sz w:val="20"/>
                <w:szCs w:val="20"/>
              </w:rPr>
            </w:pPr>
            <w:r>
              <w:rPr>
                <w:rFonts w:ascii="Arial" w:hAnsi="Arial" w:cs="Arial"/>
                <w:sz w:val="20"/>
                <w:szCs w:val="20"/>
              </w:rPr>
              <w:t>A</w:t>
            </w:r>
            <w:r w:rsidRPr="007360C4">
              <w:rPr>
                <w:rFonts w:ascii="Arial" w:hAnsi="Arial" w:cs="Arial"/>
                <w:sz w:val="20"/>
                <w:szCs w:val="20"/>
              </w:rPr>
              <w:t>luminium</w:t>
            </w:r>
          </w:p>
        </w:tc>
        <w:tc>
          <w:tcPr>
            <w:tcW w:w="3402" w:type="dxa"/>
          </w:tcPr>
          <w:p w14:paraId="12B48DF5" w14:textId="77777777" w:rsidR="001320D4" w:rsidRPr="007360C4" w:rsidRDefault="001320D4" w:rsidP="0024710F">
            <w:pPr>
              <w:rPr>
                <w:rFonts w:ascii="Arial" w:hAnsi="Arial" w:cs="Arial"/>
                <w:sz w:val="20"/>
                <w:szCs w:val="20"/>
              </w:rPr>
            </w:pPr>
            <w:r w:rsidRPr="007360C4">
              <w:rPr>
                <w:rFonts w:ascii="Arial" w:hAnsi="Arial" w:cs="Arial"/>
                <w:sz w:val="20"/>
                <w:szCs w:val="20"/>
              </w:rPr>
              <w:t>Lacquer</w:t>
            </w:r>
          </w:p>
          <w:p w14:paraId="33B69D1D" w14:textId="77777777" w:rsidR="001320D4" w:rsidRPr="007360C4" w:rsidRDefault="001320D4" w:rsidP="0024710F">
            <w:pPr>
              <w:rPr>
                <w:rFonts w:ascii="Arial" w:hAnsi="Arial" w:cs="Arial"/>
                <w:sz w:val="20"/>
                <w:szCs w:val="20"/>
              </w:rPr>
            </w:pPr>
            <w:r w:rsidRPr="007360C4">
              <w:rPr>
                <w:rFonts w:ascii="Arial" w:hAnsi="Arial" w:cs="Arial"/>
                <w:sz w:val="20"/>
                <w:szCs w:val="20"/>
              </w:rPr>
              <w:t>0.08g</w:t>
            </w:r>
          </w:p>
        </w:tc>
        <w:tc>
          <w:tcPr>
            <w:tcW w:w="1701" w:type="dxa"/>
          </w:tcPr>
          <w:p w14:paraId="7FB62258"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21%</w:t>
            </w:r>
          </w:p>
        </w:tc>
      </w:tr>
    </w:tbl>
    <w:p w14:paraId="7280E3C4" w14:textId="77777777" w:rsidR="001320D4" w:rsidRDefault="001320D4" w:rsidP="001320D4">
      <w:pPr>
        <w:rPr>
          <w:rFonts w:ascii="Arial" w:hAnsi="Arial" w:cs="Arial"/>
          <w:sz w:val="20"/>
          <w:szCs w:val="20"/>
        </w:rPr>
      </w:pPr>
    </w:p>
    <w:p w14:paraId="2C256AFB" w14:textId="2910BF03" w:rsidR="001320D4" w:rsidRPr="00DA35CE" w:rsidRDefault="001320D4" w:rsidP="001320D4">
      <w:pPr>
        <w:rPr>
          <w:rFonts w:ascii="Arial" w:hAnsi="Arial" w:cs="Arial"/>
          <w:b/>
          <w:bCs/>
          <w:color w:val="1CC4ED" w:themeColor="accent4"/>
          <w:sz w:val="20"/>
          <w:szCs w:val="20"/>
        </w:rPr>
      </w:pPr>
      <w:r w:rsidRPr="00DA35CE">
        <w:rPr>
          <w:rFonts w:ascii="Arial" w:hAnsi="Arial" w:cs="Arial"/>
          <w:b/>
          <w:bCs/>
          <w:color w:val="1CC4ED" w:themeColor="accent4"/>
          <w:sz w:val="20"/>
          <w:szCs w:val="20"/>
        </w:rPr>
        <w:t>Aluminium rigid and semi-rigid packaging</w:t>
      </w:r>
      <w:r w:rsidR="005076E6" w:rsidRPr="00DA35CE">
        <w:rPr>
          <w:rStyle w:val="FootnoteReference"/>
          <w:rFonts w:cs="Arial"/>
          <w:b/>
          <w:bCs/>
          <w:color w:val="1CC4ED" w:themeColor="accent4"/>
          <w:sz w:val="20"/>
          <w:szCs w:val="20"/>
        </w:rPr>
        <w:footnoteReference w:id="5"/>
      </w:r>
    </w:p>
    <w:tbl>
      <w:tblPr>
        <w:tblStyle w:val="TableGrid"/>
        <w:tblW w:w="13887" w:type="dxa"/>
        <w:tblLook w:val="04A0" w:firstRow="1" w:lastRow="0" w:firstColumn="1" w:lastColumn="0" w:noHBand="0" w:noVBand="1"/>
      </w:tblPr>
      <w:tblGrid>
        <w:gridCol w:w="1510"/>
        <w:gridCol w:w="1601"/>
        <w:gridCol w:w="1833"/>
        <w:gridCol w:w="2017"/>
        <w:gridCol w:w="1699"/>
        <w:gridCol w:w="3529"/>
        <w:gridCol w:w="1698"/>
      </w:tblGrid>
      <w:tr w:rsidR="00DA35CE" w:rsidRPr="007360C4" w14:paraId="11A75B6F" w14:textId="77777777" w:rsidTr="00DA35CE">
        <w:tc>
          <w:tcPr>
            <w:tcW w:w="1510" w:type="dxa"/>
          </w:tcPr>
          <w:p w14:paraId="5536F4D0" w14:textId="7777777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Product</w:t>
            </w:r>
          </w:p>
        </w:tc>
        <w:tc>
          <w:tcPr>
            <w:tcW w:w="1601" w:type="dxa"/>
          </w:tcPr>
          <w:p w14:paraId="385AB05F" w14:textId="55B8EADA"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Packaging format</w:t>
            </w:r>
          </w:p>
        </w:tc>
        <w:tc>
          <w:tcPr>
            <w:tcW w:w="1833" w:type="dxa"/>
          </w:tcPr>
          <w:p w14:paraId="0A2CFA11" w14:textId="5D270EC2" w:rsidR="001320D4" w:rsidRPr="005076E6" w:rsidRDefault="006115B9" w:rsidP="005076E6">
            <w:pPr>
              <w:jc w:val="center"/>
              <w:rPr>
                <w:rFonts w:ascii="Arial" w:hAnsi="Arial" w:cs="Arial"/>
                <w:b/>
                <w:bCs/>
                <w:sz w:val="20"/>
                <w:szCs w:val="20"/>
              </w:rPr>
            </w:pPr>
            <w:r>
              <w:rPr>
                <w:rFonts w:ascii="Arial" w:hAnsi="Arial" w:cs="Arial"/>
                <w:b/>
                <w:bCs/>
                <w:sz w:val="20"/>
                <w:szCs w:val="20"/>
              </w:rPr>
              <w:t>Visual</w:t>
            </w:r>
          </w:p>
        </w:tc>
        <w:tc>
          <w:tcPr>
            <w:tcW w:w="2017" w:type="dxa"/>
          </w:tcPr>
          <w:p w14:paraId="7A821193" w14:textId="32168D68"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Packaging/product ratio</w:t>
            </w:r>
          </w:p>
        </w:tc>
        <w:tc>
          <w:tcPr>
            <w:tcW w:w="1699" w:type="dxa"/>
          </w:tcPr>
          <w:p w14:paraId="6AE92578" w14:textId="263B8AF3"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Structural component(s)</w:t>
            </w:r>
          </w:p>
        </w:tc>
        <w:tc>
          <w:tcPr>
            <w:tcW w:w="3529" w:type="dxa"/>
          </w:tcPr>
          <w:p w14:paraId="0D4F4A2F" w14:textId="77777777" w:rsidR="001320D4" w:rsidRPr="005076E6" w:rsidRDefault="001320D4" w:rsidP="005076E6">
            <w:pPr>
              <w:jc w:val="center"/>
              <w:rPr>
                <w:rFonts w:ascii="Arial" w:hAnsi="Arial" w:cs="Arial"/>
                <w:b/>
                <w:bCs/>
                <w:sz w:val="20"/>
                <w:szCs w:val="20"/>
              </w:rPr>
            </w:pPr>
            <w:r w:rsidRPr="005076E6">
              <w:rPr>
                <w:rFonts w:ascii="Arial" w:hAnsi="Arial" w:cs="Arial"/>
                <w:b/>
                <w:bCs/>
                <w:sz w:val="20"/>
                <w:szCs w:val="20"/>
              </w:rPr>
              <w:t>Non-aluminium functional components:  inks/lacquer/coating</w:t>
            </w:r>
          </w:p>
        </w:tc>
        <w:tc>
          <w:tcPr>
            <w:tcW w:w="1698" w:type="dxa"/>
          </w:tcPr>
          <w:p w14:paraId="35DD9B9B" w14:textId="554E60A5" w:rsidR="001320D4" w:rsidRPr="005076E6" w:rsidRDefault="001320D4" w:rsidP="005076E6">
            <w:pPr>
              <w:jc w:val="center"/>
              <w:rPr>
                <w:rFonts w:ascii="Arial" w:hAnsi="Arial" w:cs="Arial"/>
                <w:b/>
                <w:bCs/>
                <w:color w:val="94497E" w:themeColor="accent5" w:themeShade="BF"/>
                <w:sz w:val="20"/>
                <w:szCs w:val="20"/>
              </w:rPr>
            </w:pPr>
            <w:r w:rsidRPr="005076E6">
              <w:rPr>
                <w:rFonts w:ascii="Arial" w:hAnsi="Arial" w:cs="Arial"/>
                <w:b/>
                <w:bCs/>
                <w:color w:val="94497E" w:themeColor="accent5" w:themeShade="BF"/>
                <w:sz w:val="20"/>
                <w:szCs w:val="20"/>
              </w:rPr>
              <w:t>% Functional components</w:t>
            </w:r>
          </w:p>
        </w:tc>
      </w:tr>
      <w:tr w:rsidR="00DA35CE" w:rsidRPr="007360C4" w14:paraId="3A1C222A" w14:textId="77777777" w:rsidTr="00DA35CE">
        <w:tc>
          <w:tcPr>
            <w:tcW w:w="1510" w:type="dxa"/>
          </w:tcPr>
          <w:p w14:paraId="5C6B67CC"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Pet food</w:t>
            </w:r>
          </w:p>
          <w:p w14:paraId="1F79D8F9"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100g</w:t>
            </w:r>
          </w:p>
        </w:tc>
        <w:tc>
          <w:tcPr>
            <w:tcW w:w="1601" w:type="dxa"/>
          </w:tcPr>
          <w:p w14:paraId="20859676" w14:textId="77777777" w:rsidR="001320D4" w:rsidRPr="007360C4" w:rsidRDefault="001320D4" w:rsidP="0024710F">
            <w:pPr>
              <w:rPr>
                <w:rFonts w:ascii="Arial" w:hAnsi="Arial" w:cs="Arial"/>
                <w:sz w:val="20"/>
                <w:szCs w:val="20"/>
              </w:rPr>
            </w:pPr>
            <w:r w:rsidRPr="007360C4">
              <w:rPr>
                <w:rFonts w:ascii="Arial" w:hAnsi="Arial" w:cs="Arial"/>
                <w:sz w:val="20"/>
                <w:szCs w:val="20"/>
              </w:rPr>
              <w:t>Aluminium tray + lid</w:t>
            </w:r>
          </w:p>
          <w:p w14:paraId="3FE9E3B7" w14:textId="77777777" w:rsidR="001320D4" w:rsidRPr="007360C4" w:rsidRDefault="001320D4" w:rsidP="0024710F">
            <w:pPr>
              <w:rPr>
                <w:rFonts w:ascii="Arial" w:hAnsi="Arial" w:cs="Arial"/>
                <w:sz w:val="20"/>
                <w:szCs w:val="20"/>
              </w:rPr>
            </w:pPr>
            <w:r w:rsidRPr="007360C4">
              <w:rPr>
                <w:rFonts w:ascii="Arial" w:hAnsi="Arial" w:cs="Arial"/>
                <w:sz w:val="20"/>
                <w:szCs w:val="20"/>
              </w:rPr>
              <w:t>5g</w:t>
            </w:r>
          </w:p>
        </w:tc>
        <w:tc>
          <w:tcPr>
            <w:tcW w:w="1833" w:type="dxa"/>
          </w:tcPr>
          <w:p w14:paraId="0AD1BBD3" w14:textId="77777777" w:rsidR="001320D4" w:rsidRPr="007360C4" w:rsidRDefault="001320D4" w:rsidP="0024710F">
            <w:pPr>
              <w:rPr>
                <w:rFonts w:ascii="Arial" w:hAnsi="Arial" w:cs="Arial"/>
                <w:sz w:val="20"/>
                <w:szCs w:val="20"/>
              </w:rPr>
            </w:pPr>
            <w:r>
              <w:rPr>
                <w:noProof/>
              </w:rPr>
              <w:drawing>
                <wp:inline distT="0" distB="0" distL="0" distR="0" wp14:anchorId="79F10D13" wp14:editId="2F8F90FB">
                  <wp:extent cx="883314" cy="588397"/>
                  <wp:effectExtent l="0" t="0" r="0" b="2540"/>
                  <wp:docPr id="6" name="Grafik 6" descr="Ein Bild, das Desse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essert enthält.&#10;&#10;Automatisch generierte Beschreibu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0533" cy="606528"/>
                          </a:xfrm>
                          <a:prstGeom prst="rect">
                            <a:avLst/>
                          </a:prstGeom>
                          <a:noFill/>
                          <a:ln>
                            <a:noFill/>
                          </a:ln>
                        </pic:spPr>
                      </pic:pic>
                    </a:graphicData>
                  </a:graphic>
                </wp:inline>
              </w:drawing>
            </w:r>
          </w:p>
        </w:tc>
        <w:tc>
          <w:tcPr>
            <w:tcW w:w="2017" w:type="dxa"/>
          </w:tcPr>
          <w:p w14:paraId="2B1F470D" w14:textId="77777777" w:rsidR="001320D4" w:rsidRPr="007360C4" w:rsidRDefault="001320D4" w:rsidP="0024710F">
            <w:pPr>
              <w:rPr>
                <w:rFonts w:ascii="Arial" w:hAnsi="Arial" w:cs="Arial"/>
                <w:sz w:val="20"/>
                <w:szCs w:val="20"/>
              </w:rPr>
            </w:pPr>
            <w:r w:rsidRPr="007360C4">
              <w:rPr>
                <w:rFonts w:ascii="Arial" w:hAnsi="Arial" w:cs="Arial"/>
                <w:sz w:val="20"/>
                <w:szCs w:val="20"/>
              </w:rPr>
              <w:t>5%</w:t>
            </w:r>
          </w:p>
        </w:tc>
        <w:tc>
          <w:tcPr>
            <w:tcW w:w="1699" w:type="dxa"/>
          </w:tcPr>
          <w:p w14:paraId="69F57671" w14:textId="73C5BD0B" w:rsidR="001320D4" w:rsidRPr="007360C4" w:rsidRDefault="00F1178B" w:rsidP="0024710F">
            <w:pPr>
              <w:rPr>
                <w:rFonts w:ascii="Arial" w:hAnsi="Arial" w:cs="Arial"/>
                <w:sz w:val="20"/>
                <w:szCs w:val="20"/>
              </w:rPr>
            </w:pPr>
            <w:r>
              <w:rPr>
                <w:rFonts w:ascii="Arial" w:hAnsi="Arial" w:cs="Arial"/>
                <w:sz w:val="20"/>
                <w:szCs w:val="20"/>
              </w:rPr>
              <w:t>A</w:t>
            </w:r>
            <w:r w:rsidRPr="007360C4">
              <w:rPr>
                <w:rFonts w:ascii="Arial" w:hAnsi="Arial" w:cs="Arial"/>
                <w:sz w:val="20"/>
                <w:szCs w:val="20"/>
              </w:rPr>
              <w:t>luminium</w:t>
            </w:r>
          </w:p>
        </w:tc>
        <w:tc>
          <w:tcPr>
            <w:tcW w:w="3529" w:type="dxa"/>
          </w:tcPr>
          <w:p w14:paraId="08CDBA26" w14:textId="77777777" w:rsidR="001320D4" w:rsidRPr="007360C4" w:rsidRDefault="001320D4" w:rsidP="0024710F">
            <w:pPr>
              <w:rPr>
                <w:rFonts w:ascii="Arial" w:hAnsi="Arial" w:cs="Arial"/>
                <w:sz w:val="20"/>
                <w:szCs w:val="20"/>
              </w:rPr>
            </w:pPr>
            <w:r w:rsidRPr="007360C4">
              <w:rPr>
                <w:rFonts w:ascii="Arial" w:hAnsi="Arial" w:cs="Arial"/>
                <w:sz w:val="20"/>
                <w:szCs w:val="20"/>
              </w:rPr>
              <w:t>Inks/lacquer</w:t>
            </w:r>
          </w:p>
          <w:p w14:paraId="576B0943" w14:textId="77777777" w:rsidR="001320D4" w:rsidRPr="007360C4" w:rsidRDefault="001320D4" w:rsidP="0024710F">
            <w:pPr>
              <w:rPr>
                <w:rFonts w:ascii="Arial" w:hAnsi="Arial" w:cs="Arial"/>
                <w:sz w:val="20"/>
                <w:szCs w:val="20"/>
              </w:rPr>
            </w:pPr>
            <w:r w:rsidRPr="007360C4">
              <w:rPr>
                <w:rFonts w:ascii="Arial" w:hAnsi="Arial" w:cs="Arial"/>
                <w:sz w:val="20"/>
                <w:szCs w:val="20"/>
              </w:rPr>
              <w:t>0.16g</w:t>
            </w:r>
          </w:p>
        </w:tc>
        <w:tc>
          <w:tcPr>
            <w:tcW w:w="1698" w:type="dxa"/>
          </w:tcPr>
          <w:p w14:paraId="404F37CA"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15%</w:t>
            </w:r>
          </w:p>
        </w:tc>
      </w:tr>
      <w:tr w:rsidR="00DA35CE" w:rsidRPr="007360C4" w14:paraId="1F397439" w14:textId="77777777" w:rsidTr="00DA35CE">
        <w:tc>
          <w:tcPr>
            <w:tcW w:w="1510" w:type="dxa"/>
          </w:tcPr>
          <w:p w14:paraId="645780AB"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 xml:space="preserve">Wine </w:t>
            </w:r>
          </w:p>
          <w:p w14:paraId="0BF0110B" w14:textId="77777777" w:rsidR="001320D4" w:rsidRPr="00E74933" w:rsidRDefault="001320D4" w:rsidP="0024710F">
            <w:pPr>
              <w:rPr>
                <w:rFonts w:ascii="Arial" w:hAnsi="Arial" w:cs="Arial"/>
                <w:b/>
                <w:bCs/>
                <w:sz w:val="20"/>
                <w:szCs w:val="20"/>
              </w:rPr>
            </w:pPr>
            <w:r w:rsidRPr="00E74933">
              <w:rPr>
                <w:rFonts w:ascii="Arial" w:hAnsi="Arial" w:cs="Arial"/>
                <w:b/>
                <w:bCs/>
                <w:sz w:val="20"/>
                <w:szCs w:val="20"/>
              </w:rPr>
              <w:t>75 cl</w:t>
            </w:r>
          </w:p>
        </w:tc>
        <w:tc>
          <w:tcPr>
            <w:tcW w:w="1601" w:type="dxa"/>
          </w:tcPr>
          <w:p w14:paraId="13CA7C36" w14:textId="77777777" w:rsidR="001320D4" w:rsidRPr="007360C4" w:rsidRDefault="001320D4" w:rsidP="0024710F">
            <w:pPr>
              <w:rPr>
                <w:rFonts w:ascii="Arial" w:hAnsi="Arial" w:cs="Arial"/>
                <w:sz w:val="20"/>
                <w:szCs w:val="20"/>
              </w:rPr>
            </w:pPr>
            <w:r w:rsidRPr="007360C4">
              <w:rPr>
                <w:rFonts w:ascii="Arial" w:hAnsi="Arial" w:cs="Arial"/>
                <w:sz w:val="20"/>
                <w:szCs w:val="20"/>
              </w:rPr>
              <w:t>Aluminium closure</w:t>
            </w:r>
            <w:r w:rsidR="00955D9D">
              <w:rPr>
                <w:rFonts w:ascii="Arial" w:hAnsi="Arial" w:cs="Arial"/>
                <w:sz w:val="20"/>
                <w:szCs w:val="20"/>
              </w:rPr>
              <w:t xml:space="preserve"> </w:t>
            </w:r>
            <w:r w:rsidRPr="007360C4">
              <w:rPr>
                <w:rFonts w:ascii="Arial" w:hAnsi="Arial" w:cs="Arial"/>
                <w:sz w:val="20"/>
                <w:szCs w:val="20"/>
              </w:rPr>
              <w:t>(screw cap)</w:t>
            </w:r>
          </w:p>
          <w:p w14:paraId="5A0BD358" w14:textId="77777777" w:rsidR="001320D4" w:rsidRPr="007360C4" w:rsidRDefault="001320D4" w:rsidP="0024710F">
            <w:pPr>
              <w:rPr>
                <w:rFonts w:ascii="Arial" w:hAnsi="Arial" w:cs="Arial"/>
                <w:sz w:val="20"/>
                <w:szCs w:val="20"/>
              </w:rPr>
            </w:pPr>
            <w:r w:rsidRPr="007360C4">
              <w:rPr>
                <w:rFonts w:ascii="Arial" w:hAnsi="Arial" w:cs="Arial"/>
                <w:sz w:val="20"/>
                <w:szCs w:val="20"/>
              </w:rPr>
              <w:t>4.2g</w:t>
            </w:r>
          </w:p>
        </w:tc>
        <w:tc>
          <w:tcPr>
            <w:tcW w:w="1833" w:type="dxa"/>
          </w:tcPr>
          <w:p w14:paraId="12B7CBDC" w14:textId="77777777" w:rsidR="001320D4" w:rsidRPr="007360C4" w:rsidRDefault="001320D4" w:rsidP="0024710F">
            <w:pPr>
              <w:rPr>
                <w:rFonts w:ascii="Arial" w:hAnsi="Arial" w:cs="Arial"/>
                <w:sz w:val="20"/>
                <w:szCs w:val="20"/>
              </w:rPr>
            </w:pPr>
            <w:r>
              <w:rPr>
                <w:noProof/>
              </w:rPr>
              <w:drawing>
                <wp:inline distT="0" distB="0" distL="0" distR="0" wp14:anchorId="31B9C96C" wp14:editId="3F70FEB7">
                  <wp:extent cx="597690" cy="739692"/>
                  <wp:effectExtent l="0" t="0" r="0" b="3810"/>
                  <wp:docPr id="5" name="Grafik 5" descr="Ein Bild, das Essen, Getränk, Alkoh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Essen, Getränk, Alkohol enthält.&#10;&#10;Automatisch generierte Beschreibu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390" cy="744271"/>
                          </a:xfrm>
                          <a:prstGeom prst="rect">
                            <a:avLst/>
                          </a:prstGeom>
                          <a:noFill/>
                          <a:ln>
                            <a:noFill/>
                          </a:ln>
                        </pic:spPr>
                      </pic:pic>
                    </a:graphicData>
                  </a:graphic>
                </wp:inline>
              </w:drawing>
            </w:r>
          </w:p>
        </w:tc>
        <w:tc>
          <w:tcPr>
            <w:tcW w:w="2017" w:type="dxa"/>
          </w:tcPr>
          <w:p w14:paraId="30147830" w14:textId="77777777" w:rsidR="001320D4" w:rsidRPr="007360C4" w:rsidRDefault="001320D4" w:rsidP="0024710F">
            <w:pPr>
              <w:rPr>
                <w:rFonts w:ascii="Arial" w:hAnsi="Arial" w:cs="Arial"/>
                <w:sz w:val="20"/>
                <w:szCs w:val="20"/>
              </w:rPr>
            </w:pPr>
            <w:r w:rsidRPr="007360C4">
              <w:rPr>
                <w:rFonts w:ascii="Arial" w:hAnsi="Arial" w:cs="Arial"/>
                <w:sz w:val="20"/>
                <w:szCs w:val="20"/>
              </w:rPr>
              <w:t>NA</w:t>
            </w:r>
          </w:p>
        </w:tc>
        <w:tc>
          <w:tcPr>
            <w:tcW w:w="1699" w:type="dxa"/>
          </w:tcPr>
          <w:p w14:paraId="1C5384EF" w14:textId="77777777" w:rsidR="001320D4" w:rsidRPr="007360C4" w:rsidRDefault="001320D4" w:rsidP="0024710F">
            <w:pPr>
              <w:rPr>
                <w:rFonts w:ascii="Arial" w:hAnsi="Arial" w:cs="Arial"/>
                <w:sz w:val="20"/>
                <w:szCs w:val="20"/>
              </w:rPr>
            </w:pPr>
            <w:r w:rsidRPr="007360C4">
              <w:rPr>
                <w:rFonts w:ascii="Arial" w:hAnsi="Arial" w:cs="Arial"/>
                <w:sz w:val="20"/>
                <w:szCs w:val="20"/>
              </w:rPr>
              <w:t xml:space="preserve">Aluminium </w:t>
            </w:r>
          </w:p>
        </w:tc>
        <w:tc>
          <w:tcPr>
            <w:tcW w:w="3529" w:type="dxa"/>
          </w:tcPr>
          <w:p w14:paraId="4B1F80D7" w14:textId="77777777" w:rsidR="001320D4" w:rsidRPr="007360C4" w:rsidRDefault="001320D4" w:rsidP="0024710F">
            <w:pPr>
              <w:rPr>
                <w:rFonts w:ascii="Arial" w:hAnsi="Arial" w:cs="Arial"/>
                <w:sz w:val="20"/>
                <w:szCs w:val="20"/>
              </w:rPr>
            </w:pPr>
            <w:r w:rsidRPr="007360C4">
              <w:rPr>
                <w:rFonts w:ascii="Arial" w:hAnsi="Arial" w:cs="Arial"/>
                <w:sz w:val="20"/>
                <w:szCs w:val="20"/>
              </w:rPr>
              <w:t>Lacquer, inner liner</w:t>
            </w:r>
          </w:p>
          <w:p w14:paraId="129EA4E8" w14:textId="77777777" w:rsidR="001320D4" w:rsidRPr="007360C4" w:rsidRDefault="001320D4" w:rsidP="0024710F">
            <w:pPr>
              <w:rPr>
                <w:rFonts w:ascii="Arial" w:hAnsi="Arial" w:cs="Arial"/>
                <w:sz w:val="20"/>
                <w:szCs w:val="20"/>
              </w:rPr>
            </w:pPr>
            <w:r w:rsidRPr="007360C4">
              <w:rPr>
                <w:rFonts w:ascii="Arial" w:hAnsi="Arial" w:cs="Arial"/>
                <w:sz w:val="20"/>
                <w:szCs w:val="20"/>
              </w:rPr>
              <w:t xml:space="preserve">0.34g </w:t>
            </w:r>
          </w:p>
        </w:tc>
        <w:tc>
          <w:tcPr>
            <w:tcW w:w="1698" w:type="dxa"/>
          </w:tcPr>
          <w:p w14:paraId="6B2901DD" w14:textId="77777777" w:rsidR="001320D4" w:rsidRPr="00403AA0" w:rsidRDefault="001320D4" w:rsidP="0024710F">
            <w:pPr>
              <w:rPr>
                <w:rFonts w:ascii="Arial" w:hAnsi="Arial" w:cs="Arial"/>
                <w:color w:val="94497E" w:themeColor="accent5" w:themeShade="BF"/>
                <w:sz w:val="20"/>
                <w:szCs w:val="20"/>
              </w:rPr>
            </w:pPr>
            <w:r w:rsidRPr="00403AA0">
              <w:rPr>
                <w:rFonts w:ascii="Arial" w:hAnsi="Arial" w:cs="Arial"/>
                <w:color w:val="94497E" w:themeColor="accent5" w:themeShade="BF"/>
                <w:sz w:val="20"/>
                <w:szCs w:val="20"/>
              </w:rPr>
              <w:t>8%</w:t>
            </w:r>
          </w:p>
        </w:tc>
      </w:tr>
    </w:tbl>
    <w:p w14:paraId="7A2C68C6" w14:textId="77777777" w:rsidR="001320D4" w:rsidRPr="007360C4" w:rsidRDefault="001320D4" w:rsidP="001320D4">
      <w:pPr>
        <w:rPr>
          <w:rFonts w:ascii="Arial" w:hAnsi="Arial" w:cs="Arial"/>
          <w:sz w:val="20"/>
          <w:szCs w:val="20"/>
        </w:rPr>
      </w:pPr>
    </w:p>
    <w:p w14:paraId="1D4413CE" w14:textId="7E298A93" w:rsidR="002A60E8" w:rsidRPr="004A6425" w:rsidRDefault="002A60E8" w:rsidP="004A6425">
      <w:pPr>
        <w:rPr>
          <w:rFonts w:ascii="Arial" w:hAnsi="Arial" w:cs="Arial"/>
          <w:color w:val="auto"/>
          <w:szCs w:val="18"/>
        </w:rPr>
      </w:pPr>
    </w:p>
    <w:p w14:paraId="738F63D3" w14:textId="0FC4220A" w:rsidR="006A291D" w:rsidRPr="004A6425" w:rsidRDefault="006A291D" w:rsidP="00FF50B5">
      <w:pPr>
        <w:jc w:val="center"/>
        <w:sectPr w:rsidR="006A291D" w:rsidRPr="004A6425" w:rsidSect="00012C2B">
          <w:pgSz w:w="16838" w:h="11906" w:orient="landscape"/>
          <w:pgMar w:top="1418" w:right="2268" w:bottom="1418" w:left="1418" w:header="709" w:footer="709" w:gutter="0"/>
          <w:cols w:space="708"/>
          <w:titlePg/>
          <w:docGrid w:linePitch="360"/>
        </w:sectPr>
      </w:pPr>
    </w:p>
    <w:p w14:paraId="4FC19896" w14:textId="532F6FA9" w:rsidR="00614C60" w:rsidRDefault="00614C60" w:rsidP="00614C60">
      <w:pPr>
        <w:pStyle w:val="Heading3"/>
        <w:rPr>
          <w:lang w:val="en-US"/>
        </w:rPr>
      </w:pPr>
      <w:bookmarkStart w:id="21" w:name="_Toc105081936"/>
      <w:bookmarkStart w:id="22" w:name="_Toc105081986"/>
      <w:r w:rsidRPr="003D4C1D">
        <w:rPr>
          <w:lang w:val="en-US"/>
        </w:rPr>
        <w:t>Annex I</w:t>
      </w:r>
      <w:r>
        <w:rPr>
          <w:lang w:val="en-US"/>
        </w:rPr>
        <w:t>I</w:t>
      </w:r>
      <w:r w:rsidRPr="003D4C1D">
        <w:rPr>
          <w:lang w:val="en-US"/>
        </w:rPr>
        <w:t xml:space="preserve"> - </w:t>
      </w:r>
      <w:r>
        <w:rPr>
          <w:lang w:val="en-US"/>
        </w:rPr>
        <w:t>Signatories</w:t>
      </w:r>
      <w:bookmarkEnd w:id="21"/>
      <w:bookmarkEnd w:id="22"/>
    </w:p>
    <w:p w14:paraId="5C774875" w14:textId="77777777" w:rsidR="00614C60" w:rsidRPr="00614C60" w:rsidRDefault="00614C60" w:rsidP="00614C60">
      <w:pPr>
        <w:rPr>
          <w:lang w:val="en-US"/>
        </w:rPr>
      </w:pPr>
    </w:p>
    <w:p w14:paraId="5A5999CF" w14:textId="77777777" w:rsidR="00614C60" w:rsidRPr="00614C60" w:rsidRDefault="00614C60" w:rsidP="00614C60"/>
    <w:sectPr w:rsidR="00614C60" w:rsidRPr="00614C60" w:rsidSect="006A291D">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6DBA" w14:textId="77777777" w:rsidR="003B383A" w:rsidRDefault="003B383A" w:rsidP="00703B8E">
      <w:pPr>
        <w:spacing w:after="0" w:line="240" w:lineRule="auto"/>
      </w:pPr>
      <w:r>
        <w:separator/>
      </w:r>
    </w:p>
  </w:endnote>
  <w:endnote w:type="continuationSeparator" w:id="0">
    <w:p w14:paraId="4B2802C1" w14:textId="77777777" w:rsidR="003B383A" w:rsidRDefault="003B383A" w:rsidP="00703B8E">
      <w:pPr>
        <w:spacing w:after="0" w:line="240" w:lineRule="auto"/>
      </w:pPr>
      <w:r>
        <w:continuationSeparator/>
      </w:r>
    </w:p>
  </w:endnote>
  <w:endnote w:type="continuationNotice" w:id="1">
    <w:p w14:paraId="347FDC55" w14:textId="77777777" w:rsidR="003B383A" w:rsidRDefault="003B3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5EF2" w14:textId="77777777" w:rsidR="00847389" w:rsidRDefault="00847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E410" w14:textId="59B2C55B" w:rsidR="00510511" w:rsidRDefault="00510511" w:rsidP="00012C2B">
    <w:pPr>
      <w:pStyle w:val="Footer"/>
      <w:tabs>
        <w:tab w:val="clear" w:pos="4513"/>
        <w:tab w:val="clear" w:pos="9026"/>
        <w:tab w:val="center" w:pos="9639"/>
      </w:tabs>
      <w:ind w:left="-567" w:right="-569"/>
      <w:jc w:val="right"/>
    </w:pP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CF31" w14:textId="0A8E366A" w:rsidR="008E1A37" w:rsidRPr="008E1A37" w:rsidRDefault="008E1A37" w:rsidP="00012C2B">
    <w:pPr>
      <w:pStyle w:val="Footer"/>
      <w:tabs>
        <w:tab w:val="clear" w:pos="4513"/>
        <w:tab w:val="clear" w:pos="9026"/>
        <w:tab w:val="center" w:pos="9639"/>
      </w:tabs>
      <w:ind w:left="-567" w:right="-569"/>
      <w:jc w:val="right"/>
    </w:pP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C340" w14:textId="77777777" w:rsidR="003B383A" w:rsidRPr="000F58A2" w:rsidRDefault="003B383A" w:rsidP="00703B8E">
      <w:pPr>
        <w:spacing w:after="0" w:line="240" w:lineRule="auto"/>
        <w:rPr>
          <w:color w:val="B870A3" w:themeColor="accent1"/>
        </w:rPr>
      </w:pPr>
      <w:r w:rsidRPr="000F58A2">
        <w:rPr>
          <w:color w:val="B870A3" w:themeColor="accent1"/>
        </w:rPr>
        <w:separator/>
      </w:r>
    </w:p>
  </w:footnote>
  <w:footnote w:type="continuationSeparator" w:id="0">
    <w:p w14:paraId="1733B388" w14:textId="77777777" w:rsidR="003B383A" w:rsidRPr="000F58A2" w:rsidRDefault="003B383A" w:rsidP="00703B8E">
      <w:pPr>
        <w:spacing w:after="0" w:line="240" w:lineRule="auto"/>
        <w:rPr>
          <w:color w:val="B870A3" w:themeColor="accent1"/>
        </w:rPr>
      </w:pPr>
      <w:r w:rsidRPr="000F58A2">
        <w:rPr>
          <w:color w:val="B870A3" w:themeColor="accent1"/>
        </w:rPr>
        <w:continuationSeparator/>
      </w:r>
    </w:p>
  </w:footnote>
  <w:footnote w:type="continuationNotice" w:id="1">
    <w:p w14:paraId="502B704A" w14:textId="77777777" w:rsidR="003B383A" w:rsidRDefault="003B383A">
      <w:pPr>
        <w:spacing w:after="0"/>
      </w:pPr>
    </w:p>
  </w:footnote>
  <w:footnote w:id="2">
    <w:p w14:paraId="3DFB03CE" w14:textId="2337A7CE" w:rsidR="00614C60" w:rsidRPr="00614C60" w:rsidRDefault="00614C60">
      <w:pPr>
        <w:pStyle w:val="FootnoteText"/>
        <w:rPr>
          <w:lang w:val="en-US"/>
        </w:rPr>
      </w:pPr>
      <w:r>
        <w:rPr>
          <w:rStyle w:val="FootnoteReference"/>
        </w:rPr>
        <w:footnoteRef/>
      </w:r>
      <w:r>
        <w:t xml:space="preserve"> </w:t>
      </w:r>
      <w:r>
        <w:rPr>
          <w:lang w:val="en-US"/>
        </w:rPr>
        <w:t>See Annex II</w:t>
      </w:r>
    </w:p>
  </w:footnote>
  <w:footnote w:id="3">
    <w:p w14:paraId="3E4F07F5" w14:textId="36F73FAF" w:rsidR="005076E6" w:rsidRPr="005076E6" w:rsidRDefault="005076E6">
      <w:pPr>
        <w:pStyle w:val="FootnoteText"/>
        <w:rPr>
          <w:lang w:val="en-US"/>
        </w:rPr>
      </w:pPr>
      <w:r>
        <w:rPr>
          <w:rStyle w:val="FootnoteReference"/>
        </w:rPr>
        <w:footnoteRef/>
      </w:r>
      <w:r>
        <w:t xml:space="preserve"> </w:t>
      </w:r>
      <w:r w:rsidRPr="005076E6">
        <w:t>Source: Flexible Packaging Europe</w:t>
      </w:r>
    </w:p>
  </w:footnote>
  <w:footnote w:id="4">
    <w:p w14:paraId="5EF5CD2C" w14:textId="22381B29" w:rsidR="005076E6" w:rsidRPr="005076E6" w:rsidRDefault="005076E6">
      <w:pPr>
        <w:pStyle w:val="FootnoteText"/>
        <w:rPr>
          <w:lang w:val="fr-BE"/>
        </w:rPr>
      </w:pPr>
      <w:r w:rsidRPr="005076E6">
        <w:rPr>
          <w:rStyle w:val="FootnoteReference"/>
        </w:rPr>
        <w:footnoteRef/>
      </w:r>
      <w:r w:rsidRPr="005076E6">
        <w:rPr>
          <w:lang w:val="fr-BE"/>
        </w:rPr>
        <w:t xml:space="preserve"> Sources: Flexible Packaging Europe (FPE)</w:t>
      </w:r>
      <w:r>
        <w:rPr>
          <w:lang w:val="fr-BE"/>
        </w:rPr>
        <w:t xml:space="preserve"> ; </w:t>
      </w:r>
      <w:r w:rsidRPr="005076E6">
        <w:t>European Aluminium Foil Association (EAFA)</w:t>
      </w:r>
    </w:p>
  </w:footnote>
  <w:footnote w:id="5">
    <w:p w14:paraId="027CA2BF" w14:textId="30C18E90" w:rsidR="005076E6" w:rsidRPr="005076E6" w:rsidRDefault="005076E6">
      <w:pPr>
        <w:pStyle w:val="FootnoteText"/>
        <w:rPr>
          <w:lang w:val="en-US"/>
        </w:rPr>
      </w:pPr>
      <w:r>
        <w:rPr>
          <w:rStyle w:val="FootnoteReference"/>
        </w:rPr>
        <w:footnoteRef/>
      </w:r>
      <w:r>
        <w:t xml:space="preserve"> </w:t>
      </w:r>
      <w:r w:rsidRPr="005076E6">
        <w:t>Sources: European Aluminium Foil Association (EAFA); Aluminium Closures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B89D" w14:textId="77777777" w:rsidR="00847389" w:rsidRDefault="00847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910427"/>
      <w:docPartObj>
        <w:docPartGallery w:val="Watermarks"/>
        <w:docPartUnique/>
      </w:docPartObj>
    </w:sdtPr>
    <w:sdtEndPr/>
    <w:sdtContent>
      <w:p w14:paraId="5589DF42" w14:textId="22E55B20" w:rsidR="00847389" w:rsidRDefault="00A457AC">
        <w:pPr>
          <w:pStyle w:val="Header"/>
        </w:pPr>
        <w:r>
          <w:rPr>
            <w:noProof/>
          </w:rPr>
          <w:pict w14:anchorId="49922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908" o:spid="_x0000_s1025" type="#_x0000_t136" style="position:absolute;left:0;text-align:left;margin-left:0;margin-top:0;width:548pt;height:91.3pt;rotation:315;z-index:-251658752;mso-position-horizontal:center;mso-position-horizontal-relative:margin;mso-position-vertical:center;mso-position-vertical-relative:margin" o:allowincell="f" fillcolor="silver" stroked="f">
              <v:fill opacity=".5"/>
              <v:textpath style="font-family:&quot;Calibri&quot;;font-size:1pt" string="CONFIDENTIAL - 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C72" w14:textId="71CBA34A" w:rsidR="001A7434" w:rsidRDefault="001A7434" w:rsidP="00737377">
    <w:pPr>
      <w:pStyle w:val="Header"/>
    </w:pPr>
  </w:p>
  <w:p w14:paraId="643751F1" w14:textId="77777777" w:rsidR="001A7434" w:rsidRDefault="001A7434" w:rsidP="00737377">
    <w:pPr>
      <w:pStyle w:val="Header"/>
    </w:pPr>
  </w:p>
  <w:p w14:paraId="379CCD0D" w14:textId="77777777" w:rsidR="001A7434" w:rsidRDefault="001A7434" w:rsidP="00737377">
    <w:pPr>
      <w:pStyle w:val="Header"/>
    </w:pPr>
  </w:p>
  <w:p w14:paraId="7FDF1266" w14:textId="77777777" w:rsidR="001A7434" w:rsidRDefault="001A7434" w:rsidP="00737377">
    <w:pPr>
      <w:pStyle w:val="Header"/>
    </w:pPr>
  </w:p>
  <w:p w14:paraId="2A43AC81" w14:textId="77777777" w:rsidR="001A7434" w:rsidRDefault="001A7434" w:rsidP="00737377">
    <w:pPr>
      <w:pStyle w:val="Header"/>
    </w:pPr>
  </w:p>
  <w:p w14:paraId="31A01D0B" w14:textId="30FA136C" w:rsidR="001A7434" w:rsidRPr="00085D3E" w:rsidRDefault="00085D3E" w:rsidP="00737377">
    <w:pPr>
      <w:pStyle w:val="Header"/>
      <w:rPr>
        <w:sz w:val="18"/>
        <w:szCs w:val="18"/>
      </w:rPr>
    </w:pPr>
    <w:r w:rsidRPr="00085D3E">
      <w:rPr>
        <w:sz w:val="18"/>
        <w:szCs w:val="18"/>
      </w:rPr>
      <w:t>May</w:t>
    </w:r>
    <w:r w:rsidR="00E30191" w:rsidRPr="00085D3E">
      <w:rPr>
        <w:sz w:val="18"/>
        <w:szCs w:val="18"/>
      </w:rPr>
      <w:t xml:space="preserve"> </w:t>
    </w:r>
    <w:r w:rsidRPr="00085D3E">
      <w:rPr>
        <w:sz w:val="18"/>
        <w:szCs w:val="18"/>
      </w:rPr>
      <w:t>2022</w:t>
    </w:r>
  </w:p>
  <w:p w14:paraId="1D0C6AF2" w14:textId="77777777" w:rsidR="001A7434" w:rsidRDefault="001A7434" w:rsidP="0047149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578"/>
    <w:multiLevelType w:val="hybridMultilevel"/>
    <w:tmpl w:val="93DCD8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0518F9"/>
    <w:multiLevelType w:val="hybridMultilevel"/>
    <w:tmpl w:val="EFC4B7E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FF10F9"/>
    <w:multiLevelType w:val="hybridMultilevel"/>
    <w:tmpl w:val="7EA067F2"/>
    <w:lvl w:ilvl="0" w:tplc="8D324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3060F"/>
    <w:multiLevelType w:val="hybridMultilevel"/>
    <w:tmpl w:val="0004D84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7E2C51"/>
    <w:multiLevelType w:val="hybridMultilevel"/>
    <w:tmpl w:val="22F8C6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412E74"/>
    <w:multiLevelType w:val="hybridMultilevel"/>
    <w:tmpl w:val="9C26CF2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F377D9"/>
    <w:multiLevelType w:val="hybridMultilevel"/>
    <w:tmpl w:val="2AA2FBEE"/>
    <w:lvl w:ilvl="0" w:tplc="0FB4BC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02890"/>
    <w:multiLevelType w:val="hybridMultilevel"/>
    <w:tmpl w:val="D242AB78"/>
    <w:lvl w:ilvl="0" w:tplc="A99668DC">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77EC5"/>
    <w:multiLevelType w:val="hybridMultilevel"/>
    <w:tmpl w:val="0EBED1E8"/>
    <w:lvl w:ilvl="0" w:tplc="393E7C0C">
      <w:start w:val="1"/>
      <w:numFmt w:val="decimal"/>
      <w:pStyle w:val="Heading2"/>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2AF65A19"/>
    <w:multiLevelType w:val="hybridMultilevel"/>
    <w:tmpl w:val="E87A4892"/>
    <w:lvl w:ilvl="0" w:tplc="6D12B92C">
      <w:start w:val="1"/>
      <w:numFmt w:val="bullet"/>
      <w:lvlText w:val="o"/>
      <w:lvlJc w:val="left"/>
      <w:pPr>
        <w:ind w:left="360" w:hanging="360"/>
      </w:pPr>
      <w:rPr>
        <w:rFonts w:ascii="Courier New" w:hAnsi="Courier New" w:cs="Courier New" w:hint="default"/>
        <w:color w:val="auto"/>
      </w:rPr>
    </w:lvl>
    <w:lvl w:ilvl="1" w:tplc="1AB60950">
      <w:start w:val="1"/>
      <w:numFmt w:val="bullet"/>
      <w:lvlText w:val=""/>
      <w:lvlJc w:val="left"/>
      <w:pPr>
        <w:ind w:left="1080" w:hanging="360"/>
      </w:pPr>
      <w:rPr>
        <w:rFonts w:ascii="Wingdings" w:hAnsi="Wingdings" w:hint="default"/>
        <w:sz w:val="18"/>
        <w:szCs w:val="18"/>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BE77183"/>
    <w:multiLevelType w:val="hybridMultilevel"/>
    <w:tmpl w:val="B80ADF0E"/>
    <w:lvl w:ilvl="0" w:tplc="D4E6310A">
      <w:start w:val="1"/>
      <w:numFmt w:val="decimal"/>
      <w:lvlText w:val="%1."/>
      <w:lvlJc w:val="left"/>
      <w:pPr>
        <w:ind w:left="720" w:hanging="360"/>
      </w:pPr>
      <w:rPr>
        <w:rFonts w:cs="Times New Roman" w:hint="default"/>
        <w:color w:val="1494B2"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0468F"/>
    <w:multiLevelType w:val="hybridMultilevel"/>
    <w:tmpl w:val="70A4C336"/>
    <w:lvl w:ilvl="0" w:tplc="4CD6387A">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C74C7"/>
    <w:multiLevelType w:val="hybridMultilevel"/>
    <w:tmpl w:val="F16E9E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60975"/>
    <w:multiLevelType w:val="hybridMultilevel"/>
    <w:tmpl w:val="1DB4FA1E"/>
    <w:lvl w:ilvl="0" w:tplc="2000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E232DC"/>
    <w:multiLevelType w:val="hybridMultilevel"/>
    <w:tmpl w:val="9C26CF2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2C2AA0"/>
    <w:multiLevelType w:val="hybridMultilevel"/>
    <w:tmpl w:val="40E05FD4"/>
    <w:lvl w:ilvl="0" w:tplc="2000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F60EB9"/>
    <w:multiLevelType w:val="hybridMultilevel"/>
    <w:tmpl w:val="7BF29942"/>
    <w:lvl w:ilvl="0" w:tplc="66E61A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AC6837"/>
    <w:multiLevelType w:val="hybridMultilevel"/>
    <w:tmpl w:val="7D640D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50085B"/>
    <w:multiLevelType w:val="hybridMultilevel"/>
    <w:tmpl w:val="EC8686D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A2D101F"/>
    <w:multiLevelType w:val="hybridMultilevel"/>
    <w:tmpl w:val="499EC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606D70"/>
    <w:multiLevelType w:val="hybridMultilevel"/>
    <w:tmpl w:val="7EFE6354"/>
    <w:lvl w:ilvl="0" w:tplc="271EF6C0">
      <w:start w:val="1"/>
      <w:numFmt w:val="bullet"/>
      <w:pStyle w:val="ListParagraph"/>
      <w:lvlText w:val="&gt;"/>
      <w:lvlJc w:val="left"/>
      <w:pPr>
        <w:ind w:left="360" w:hanging="360"/>
      </w:pPr>
      <w:rPr>
        <w:rFonts w:ascii="Arial" w:hAnsi="Arial" w:hint="default"/>
        <w:b w:val="0"/>
        <w:i w:val="0"/>
        <w:caps w:val="0"/>
        <w:strike w:val="0"/>
        <w:dstrike w:val="0"/>
        <w:vanish w:val="0"/>
        <w:color w:val="1494B2" w:themeColor="text2"/>
        <w:sz w:val="18"/>
        <w:vertAlign w:val="baseline"/>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7C2B5C9D"/>
    <w:multiLevelType w:val="hybridMultilevel"/>
    <w:tmpl w:val="975C25B6"/>
    <w:lvl w:ilvl="0" w:tplc="A99668D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7543297">
    <w:abstractNumId w:val="8"/>
  </w:num>
  <w:num w:numId="2" w16cid:durableId="63648676">
    <w:abstractNumId w:val="20"/>
  </w:num>
  <w:num w:numId="3" w16cid:durableId="558247920">
    <w:abstractNumId w:val="13"/>
  </w:num>
  <w:num w:numId="4" w16cid:durableId="1634554227">
    <w:abstractNumId w:val="9"/>
  </w:num>
  <w:num w:numId="5" w16cid:durableId="915672117">
    <w:abstractNumId w:val="12"/>
  </w:num>
  <w:num w:numId="6" w16cid:durableId="861556737">
    <w:abstractNumId w:val="15"/>
  </w:num>
  <w:num w:numId="7" w16cid:durableId="209996099">
    <w:abstractNumId w:val="18"/>
  </w:num>
  <w:num w:numId="8" w16cid:durableId="1883058710">
    <w:abstractNumId w:val="3"/>
  </w:num>
  <w:num w:numId="9" w16cid:durableId="1985547247">
    <w:abstractNumId w:val="4"/>
  </w:num>
  <w:num w:numId="10" w16cid:durableId="2043237986">
    <w:abstractNumId w:val="17"/>
  </w:num>
  <w:num w:numId="11" w16cid:durableId="769853588">
    <w:abstractNumId w:val="14"/>
  </w:num>
  <w:num w:numId="12" w16cid:durableId="1076854473">
    <w:abstractNumId w:val="5"/>
  </w:num>
  <w:num w:numId="13" w16cid:durableId="810363412">
    <w:abstractNumId w:val="19"/>
  </w:num>
  <w:num w:numId="14" w16cid:durableId="792090178">
    <w:abstractNumId w:val="1"/>
  </w:num>
  <w:num w:numId="15" w16cid:durableId="763066944">
    <w:abstractNumId w:val="20"/>
  </w:num>
  <w:num w:numId="16" w16cid:durableId="1268808562">
    <w:abstractNumId w:val="20"/>
  </w:num>
  <w:num w:numId="17" w16cid:durableId="388499880">
    <w:abstractNumId w:val="11"/>
  </w:num>
  <w:num w:numId="18" w16cid:durableId="1363242911">
    <w:abstractNumId w:val="20"/>
  </w:num>
  <w:num w:numId="19" w16cid:durableId="208298699">
    <w:abstractNumId w:val="20"/>
  </w:num>
  <w:num w:numId="20" w16cid:durableId="433745028">
    <w:abstractNumId w:val="20"/>
  </w:num>
  <w:num w:numId="21" w16cid:durableId="573128690">
    <w:abstractNumId w:val="20"/>
  </w:num>
  <w:num w:numId="22" w16cid:durableId="1899002929">
    <w:abstractNumId w:val="20"/>
  </w:num>
  <w:num w:numId="23" w16cid:durableId="443883619">
    <w:abstractNumId w:val="20"/>
  </w:num>
  <w:num w:numId="24" w16cid:durableId="69356432">
    <w:abstractNumId w:val="20"/>
  </w:num>
  <w:num w:numId="25" w16cid:durableId="805852580">
    <w:abstractNumId w:val="20"/>
  </w:num>
  <w:num w:numId="26" w16cid:durableId="2061977355">
    <w:abstractNumId w:val="20"/>
  </w:num>
  <w:num w:numId="27" w16cid:durableId="955060132">
    <w:abstractNumId w:val="16"/>
  </w:num>
  <w:num w:numId="28" w16cid:durableId="2142721454">
    <w:abstractNumId w:val="0"/>
  </w:num>
  <w:num w:numId="29" w16cid:durableId="1072773129">
    <w:abstractNumId w:val="20"/>
  </w:num>
  <w:num w:numId="30" w16cid:durableId="1624851098">
    <w:abstractNumId w:val="2"/>
  </w:num>
  <w:num w:numId="31" w16cid:durableId="1287278212">
    <w:abstractNumId w:val="7"/>
  </w:num>
  <w:num w:numId="32" w16cid:durableId="123740381">
    <w:abstractNumId w:val="21"/>
  </w:num>
  <w:num w:numId="33" w16cid:durableId="935945086">
    <w:abstractNumId w:val="6"/>
  </w:num>
  <w:num w:numId="34" w16cid:durableId="5175476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5A"/>
    <w:rsid w:val="000006EB"/>
    <w:rsid w:val="00002091"/>
    <w:rsid w:val="000033DF"/>
    <w:rsid w:val="0000373A"/>
    <w:rsid w:val="00003933"/>
    <w:rsid w:val="00004208"/>
    <w:rsid w:val="00004391"/>
    <w:rsid w:val="00006A42"/>
    <w:rsid w:val="00006BF0"/>
    <w:rsid w:val="000070C0"/>
    <w:rsid w:val="000104DE"/>
    <w:rsid w:val="00010743"/>
    <w:rsid w:val="00011681"/>
    <w:rsid w:val="00011ED5"/>
    <w:rsid w:val="00012065"/>
    <w:rsid w:val="00012896"/>
    <w:rsid w:val="000129BA"/>
    <w:rsid w:val="00012C2B"/>
    <w:rsid w:val="000136E7"/>
    <w:rsid w:val="00013F56"/>
    <w:rsid w:val="00014880"/>
    <w:rsid w:val="00014D22"/>
    <w:rsid w:val="00015CA3"/>
    <w:rsid w:val="00015D32"/>
    <w:rsid w:val="000168BC"/>
    <w:rsid w:val="00016FDB"/>
    <w:rsid w:val="00017621"/>
    <w:rsid w:val="000211DA"/>
    <w:rsid w:val="000220A1"/>
    <w:rsid w:val="00022E65"/>
    <w:rsid w:val="00023220"/>
    <w:rsid w:val="00023421"/>
    <w:rsid w:val="00023573"/>
    <w:rsid w:val="00023F9F"/>
    <w:rsid w:val="00025A79"/>
    <w:rsid w:val="00025B21"/>
    <w:rsid w:val="00025FA7"/>
    <w:rsid w:val="00026342"/>
    <w:rsid w:val="0002644F"/>
    <w:rsid w:val="000270D2"/>
    <w:rsid w:val="0002783D"/>
    <w:rsid w:val="00030020"/>
    <w:rsid w:val="00030387"/>
    <w:rsid w:val="000306A2"/>
    <w:rsid w:val="00032571"/>
    <w:rsid w:val="000325F8"/>
    <w:rsid w:val="000334B8"/>
    <w:rsid w:val="000356E7"/>
    <w:rsid w:val="00035908"/>
    <w:rsid w:val="00035D37"/>
    <w:rsid w:val="00036192"/>
    <w:rsid w:val="00036339"/>
    <w:rsid w:val="000363C2"/>
    <w:rsid w:val="000371A3"/>
    <w:rsid w:val="0003765A"/>
    <w:rsid w:val="00040492"/>
    <w:rsid w:val="0004060C"/>
    <w:rsid w:val="000412FF"/>
    <w:rsid w:val="00041B53"/>
    <w:rsid w:val="00042B90"/>
    <w:rsid w:val="00043014"/>
    <w:rsid w:val="0004312D"/>
    <w:rsid w:val="00043FFB"/>
    <w:rsid w:val="00044484"/>
    <w:rsid w:val="00044688"/>
    <w:rsid w:val="00044737"/>
    <w:rsid w:val="00044E64"/>
    <w:rsid w:val="000468A7"/>
    <w:rsid w:val="00046A93"/>
    <w:rsid w:val="00047DAE"/>
    <w:rsid w:val="0005078F"/>
    <w:rsid w:val="00050CC7"/>
    <w:rsid w:val="000515E2"/>
    <w:rsid w:val="0005297A"/>
    <w:rsid w:val="00052A6B"/>
    <w:rsid w:val="00052DD2"/>
    <w:rsid w:val="000531C3"/>
    <w:rsid w:val="00055A61"/>
    <w:rsid w:val="0006128A"/>
    <w:rsid w:val="00065B7D"/>
    <w:rsid w:val="00067AB4"/>
    <w:rsid w:val="0007038E"/>
    <w:rsid w:val="00072332"/>
    <w:rsid w:val="00072C2E"/>
    <w:rsid w:val="000730CA"/>
    <w:rsid w:val="0007495F"/>
    <w:rsid w:val="00075949"/>
    <w:rsid w:val="00077384"/>
    <w:rsid w:val="0007744B"/>
    <w:rsid w:val="000776A0"/>
    <w:rsid w:val="000800C4"/>
    <w:rsid w:val="00080417"/>
    <w:rsid w:val="00081377"/>
    <w:rsid w:val="00082215"/>
    <w:rsid w:val="00084B57"/>
    <w:rsid w:val="00084CBC"/>
    <w:rsid w:val="00084CED"/>
    <w:rsid w:val="00085D3E"/>
    <w:rsid w:val="0008617D"/>
    <w:rsid w:val="000863A0"/>
    <w:rsid w:val="0008643D"/>
    <w:rsid w:val="00086892"/>
    <w:rsid w:val="000918F2"/>
    <w:rsid w:val="0009364E"/>
    <w:rsid w:val="000937AE"/>
    <w:rsid w:val="00095639"/>
    <w:rsid w:val="000958CE"/>
    <w:rsid w:val="000958F1"/>
    <w:rsid w:val="000964C4"/>
    <w:rsid w:val="000A01B4"/>
    <w:rsid w:val="000A21DD"/>
    <w:rsid w:val="000A2332"/>
    <w:rsid w:val="000A333E"/>
    <w:rsid w:val="000A3931"/>
    <w:rsid w:val="000A399F"/>
    <w:rsid w:val="000A4663"/>
    <w:rsid w:val="000A487D"/>
    <w:rsid w:val="000A576D"/>
    <w:rsid w:val="000A679B"/>
    <w:rsid w:val="000A6934"/>
    <w:rsid w:val="000A71B5"/>
    <w:rsid w:val="000A74FB"/>
    <w:rsid w:val="000A7F38"/>
    <w:rsid w:val="000B3BAC"/>
    <w:rsid w:val="000B50F8"/>
    <w:rsid w:val="000B587D"/>
    <w:rsid w:val="000B62BE"/>
    <w:rsid w:val="000B6350"/>
    <w:rsid w:val="000B6C12"/>
    <w:rsid w:val="000B6D64"/>
    <w:rsid w:val="000C263D"/>
    <w:rsid w:val="000C3BF1"/>
    <w:rsid w:val="000C4FB8"/>
    <w:rsid w:val="000C6037"/>
    <w:rsid w:val="000C608F"/>
    <w:rsid w:val="000C622E"/>
    <w:rsid w:val="000C7E35"/>
    <w:rsid w:val="000D0B9E"/>
    <w:rsid w:val="000D1B8E"/>
    <w:rsid w:val="000D2582"/>
    <w:rsid w:val="000D26B3"/>
    <w:rsid w:val="000D2A2C"/>
    <w:rsid w:val="000D3A8B"/>
    <w:rsid w:val="000D3E32"/>
    <w:rsid w:val="000D6363"/>
    <w:rsid w:val="000D646F"/>
    <w:rsid w:val="000D6AF1"/>
    <w:rsid w:val="000D6CAF"/>
    <w:rsid w:val="000D732B"/>
    <w:rsid w:val="000D7940"/>
    <w:rsid w:val="000D7D88"/>
    <w:rsid w:val="000E2D1D"/>
    <w:rsid w:val="000E4983"/>
    <w:rsid w:val="000E69B6"/>
    <w:rsid w:val="000E6D2F"/>
    <w:rsid w:val="000E70A2"/>
    <w:rsid w:val="000E77F7"/>
    <w:rsid w:val="000F05B4"/>
    <w:rsid w:val="000F2EB2"/>
    <w:rsid w:val="000F3706"/>
    <w:rsid w:val="000F3943"/>
    <w:rsid w:val="000F3D6B"/>
    <w:rsid w:val="000F58A2"/>
    <w:rsid w:val="000F5E28"/>
    <w:rsid w:val="000F621D"/>
    <w:rsid w:val="000F6312"/>
    <w:rsid w:val="000F6330"/>
    <w:rsid w:val="000F6EA1"/>
    <w:rsid w:val="001001B8"/>
    <w:rsid w:val="001004DF"/>
    <w:rsid w:val="00100E0C"/>
    <w:rsid w:val="00100EBB"/>
    <w:rsid w:val="00101D2E"/>
    <w:rsid w:val="00101E80"/>
    <w:rsid w:val="001020DD"/>
    <w:rsid w:val="001037B7"/>
    <w:rsid w:val="001038A9"/>
    <w:rsid w:val="00103A3B"/>
    <w:rsid w:val="00104CCE"/>
    <w:rsid w:val="00104F98"/>
    <w:rsid w:val="00105AD5"/>
    <w:rsid w:val="00105EE2"/>
    <w:rsid w:val="001113BD"/>
    <w:rsid w:val="00111479"/>
    <w:rsid w:val="00111EE7"/>
    <w:rsid w:val="001121C6"/>
    <w:rsid w:val="00113398"/>
    <w:rsid w:val="00113AB3"/>
    <w:rsid w:val="00113BDD"/>
    <w:rsid w:val="00113CAD"/>
    <w:rsid w:val="00113E00"/>
    <w:rsid w:val="001140E6"/>
    <w:rsid w:val="001144C4"/>
    <w:rsid w:val="00114501"/>
    <w:rsid w:val="001147FA"/>
    <w:rsid w:val="00114B5A"/>
    <w:rsid w:val="00115279"/>
    <w:rsid w:val="00115A81"/>
    <w:rsid w:val="00115F50"/>
    <w:rsid w:val="00116484"/>
    <w:rsid w:val="0012037B"/>
    <w:rsid w:val="00121712"/>
    <w:rsid w:val="0012235C"/>
    <w:rsid w:val="001229CC"/>
    <w:rsid w:val="00124050"/>
    <w:rsid w:val="001243D9"/>
    <w:rsid w:val="001256E8"/>
    <w:rsid w:val="00126F49"/>
    <w:rsid w:val="00127576"/>
    <w:rsid w:val="00130115"/>
    <w:rsid w:val="00131F06"/>
    <w:rsid w:val="001320D4"/>
    <w:rsid w:val="00133563"/>
    <w:rsid w:val="001342AA"/>
    <w:rsid w:val="0013557B"/>
    <w:rsid w:val="00137846"/>
    <w:rsid w:val="00137B9D"/>
    <w:rsid w:val="00140929"/>
    <w:rsid w:val="00141F33"/>
    <w:rsid w:val="001423AC"/>
    <w:rsid w:val="001424D4"/>
    <w:rsid w:val="001430FB"/>
    <w:rsid w:val="00143428"/>
    <w:rsid w:val="00143C83"/>
    <w:rsid w:val="00144AB4"/>
    <w:rsid w:val="00144B2C"/>
    <w:rsid w:val="00144EA3"/>
    <w:rsid w:val="00145ECC"/>
    <w:rsid w:val="0014633A"/>
    <w:rsid w:val="001464FA"/>
    <w:rsid w:val="001519B9"/>
    <w:rsid w:val="001527F8"/>
    <w:rsid w:val="0015297B"/>
    <w:rsid w:val="00153C82"/>
    <w:rsid w:val="00153EF2"/>
    <w:rsid w:val="00154451"/>
    <w:rsid w:val="001546FE"/>
    <w:rsid w:val="00155685"/>
    <w:rsid w:val="001565A8"/>
    <w:rsid w:val="001617CD"/>
    <w:rsid w:val="001624A2"/>
    <w:rsid w:val="0016340B"/>
    <w:rsid w:val="00163EA9"/>
    <w:rsid w:val="001642A2"/>
    <w:rsid w:val="001647AC"/>
    <w:rsid w:val="00165592"/>
    <w:rsid w:val="00166046"/>
    <w:rsid w:val="00166D4B"/>
    <w:rsid w:val="00167EBC"/>
    <w:rsid w:val="0017092C"/>
    <w:rsid w:val="00170E8E"/>
    <w:rsid w:val="001725C6"/>
    <w:rsid w:val="00174145"/>
    <w:rsid w:val="00177F1F"/>
    <w:rsid w:val="00180DCA"/>
    <w:rsid w:val="0018183D"/>
    <w:rsid w:val="001819DD"/>
    <w:rsid w:val="00182032"/>
    <w:rsid w:val="00183465"/>
    <w:rsid w:val="001850E6"/>
    <w:rsid w:val="00185727"/>
    <w:rsid w:val="00185C1F"/>
    <w:rsid w:val="001860FC"/>
    <w:rsid w:val="001863F3"/>
    <w:rsid w:val="00186AEB"/>
    <w:rsid w:val="00186EEE"/>
    <w:rsid w:val="00187001"/>
    <w:rsid w:val="00190D75"/>
    <w:rsid w:val="00191ED5"/>
    <w:rsid w:val="00195FA5"/>
    <w:rsid w:val="00196BF9"/>
    <w:rsid w:val="00197109"/>
    <w:rsid w:val="001A04D0"/>
    <w:rsid w:val="001A1472"/>
    <w:rsid w:val="001A55C4"/>
    <w:rsid w:val="001A6169"/>
    <w:rsid w:val="001A6615"/>
    <w:rsid w:val="001A7434"/>
    <w:rsid w:val="001B0C3E"/>
    <w:rsid w:val="001B1651"/>
    <w:rsid w:val="001B18E6"/>
    <w:rsid w:val="001B25A3"/>
    <w:rsid w:val="001B3385"/>
    <w:rsid w:val="001B39EF"/>
    <w:rsid w:val="001B3A81"/>
    <w:rsid w:val="001B403D"/>
    <w:rsid w:val="001B4122"/>
    <w:rsid w:val="001B4323"/>
    <w:rsid w:val="001B4796"/>
    <w:rsid w:val="001B4DA4"/>
    <w:rsid w:val="001B6BD3"/>
    <w:rsid w:val="001B7826"/>
    <w:rsid w:val="001C0EE5"/>
    <w:rsid w:val="001C155E"/>
    <w:rsid w:val="001C375C"/>
    <w:rsid w:val="001C5CF8"/>
    <w:rsid w:val="001C61AE"/>
    <w:rsid w:val="001C7B3A"/>
    <w:rsid w:val="001D2711"/>
    <w:rsid w:val="001D4027"/>
    <w:rsid w:val="001D4C66"/>
    <w:rsid w:val="001D5691"/>
    <w:rsid w:val="001D5874"/>
    <w:rsid w:val="001D5906"/>
    <w:rsid w:val="001E195D"/>
    <w:rsid w:val="001E1FF1"/>
    <w:rsid w:val="001E47FA"/>
    <w:rsid w:val="001E56E6"/>
    <w:rsid w:val="001E6EEE"/>
    <w:rsid w:val="001E769F"/>
    <w:rsid w:val="001E77CF"/>
    <w:rsid w:val="001E7CA9"/>
    <w:rsid w:val="001F0139"/>
    <w:rsid w:val="001F0171"/>
    <w:rsid w:val="001F268D"/>
    <w:rsid w:val="001F26A5"/>
    <w:rsid w:val="001F34AE"/>
    <w:rsid w:val="001F3934"/>
    <w:rsid w:val="001F4CDD"/>
    <w:rsid w:val="001F4E3D"/>
    <w:rsid w:val="001F4FD5"/>
    <w:rsid w:val="001F572E"/>
    <w:rsid w:val="001F5E58"/>
    <w:rsid w:val="001F6054"/>
    <w:rsid w:val="001F7BCA"/>
    <w:rsid w:val="001F7E8B"/>
    <w:rsid w:val="001F7EF8"/>
    <w:rsid w:val="001F7F26"/>
    <w:rsid w:val="00201645"/>
    <w:rsid w:val="00201871"/>
    <w:rsid w:val="00201DD0"/>
    <w:rsid w:val="002052B6"/>
    <w:rsid w:val="00206884"/>
    <w:rsid w:val="002069E0"/>
    <w:rsid w:val="00206A63"/>
    <w:rsid w:val="002108E6"/>
    <w:rsid w:val="00210ED2"/>
    <w:rsid w:val="00211C8B"/>
    <w:rsid w:val="002120CF"/>
    <w:rsid w:val="002145CE"/>
    <w:rsid w:val="00215D2F"/>
    <w:rsid w:val="00216070"/>
    <w:rsid w:val="00216EC6"/>
    <w:rsid w:val="002170CB"/>
    <w:rsid w:val="0021728B"/>
    <w:rsid w:val="0021790C"/>
    <w:rsid w:val="00220E2A"/>
    <w:rsid w:val="00221F04"/>
    <w:rsid w:val="00223877"/>
    <w:rsid w:val="002239A1"/>
    <w:rsid w:val="002239F1"/>
    <w:rsid w:val="00223B1A"/>
    <w:rsid w:val="002274E3"/>
    <w:rsid w:val="00231462"/>
    <w:rsid w:val="002315FC"/>
    <w:rsid w:val="00233848"/>
    <w:rsid w:val="00236CC7"/>
    <w:rsid w:val="002370CA"/>
    <w:rsid w:val="00237578"/>
    <w:rsid w:val="002401E1"/>
    <w:rsid w:val="002414E5"/>
    <w:rsid w:val="00241B0B"/>
    <w:rsid w:val="00242DE8"/>
    <w:rsid w:val="00243234"/>
    <w:rsid w:val="00246149"/>
    <w:rsid w:val="002463C1"/>
    <w:rsid w:val="002465CB"/>
    <w:rsid w:val="0024690F"/>
    <w:rsid w:val="0024710F"/>
    <w:rsid w:val="00247698"/>
    <w:rsid w:val="002503BE"/>
    <w:rsid w:val="002524A3"/>
    <w:rsid w:val="00252505"/>
    <w:rsid w:val="00253D10"/>
    <w:rsid w:val="00253ECC"/>
    <w:rsid w:val="00255114"/>
    <w:rsid w:val="00255D60"/>
    <w:rsid w:val="00256F42"/>
    <w:rsid w:val="00257761"/>
    <w:rsid w:val="00257E40"/>
    <w:rsid w:val="002613BA"/>
    <w:rsid w:val="00261628"/>
    <w:rsid w:val="00261BB6"/>
    <w:rsid w:val="00261EB7"/>
    <w:rsid w:val="00262989"/>
    <w:rsid w:val="002630FD"/>
    <w:rsid w:val="002631B5"/>
    <w:rsid w:val="00263D14"/>
    <w:rsid w:val="002643FB"/>
    <w:rsid w:val="00266D8A"/>
    <w:rsid w:val="002674F4"/>
    <w:rsid w:val="00271826"/>
    <w:rsid w:val="00271EE4"/>
    <w:rsid w:val="00272A3D"/>
    <w:rsid w:val="00273D06"/>
    <w:rsid w:val="00273FDB"/>
    <w:rsid w:val="0027402C"/>
    <w:rsid w:val="002759CB"/>
    <w:rsid w:val="00275DDB"/>
    <w:rsid w:val="002760B3"/>
    <w:rsid w:val="00276B67"/>
    <w:rsid w:val="00277034"/>
    <w:rsid w:val="00277098"/>
    <w:rsid w:val="0027796D"/>
    <w:rsid w:val="00280B91"/>
    <w:rsid w:val="0028101F"/>
    <w:rsid w:val="0028493C"/>
    <w:rsid w:val="00285582"/>
    <w:rsid w:val="002858AA"/>
    <w:rsid w:val="00286105"/>
    <w:rsid w:val="00287733"/>
    <w:rsid w:val="00287742"/>
    <w:rsid w:val="00287CFD"/>
    <w:rsid w:val="00290541"/>
    <w:rsid w:val="00290B38"/>
    <w:rsid w:val="00291BBC"/>
    <w:rsid w:val="0029386F"/>
    <w:rsid w:val="00295FDE"/>
    <w:rsid w:val="00296743"/>
    <w:rsid w:val="00297023"/>
    <w:rsid w:val="002970D9"/>
    <w:rsid w:val="0029724C"/>
    <w:rsid w:val="00297869"/>
    <w:rsid w:val="002A11C1"/>
    <w:rsid w:val="002A18C4"/>
    <w:rsid w:val="002A2AB0"/>
    <w:rsid w:val="002A33B5"/>
    <w:rsid w:val="002A3CBE"/>
    <w:rsid w:val="002A3F83"/>
    <w:rsid w:val="002A4295"/>
    <w:rsid w:val="002A60E8"/>
    <w:rsid w:val="002A6B3B"/>
    <w:rsid w:val="002A776C"/>
    <w:rsid w:val="002A7CCB"/>
    <w:rsid w:val="002B0140"/>
    <w:rsid w:val="002B1053"/>
    <w:rsid w:val="002B15D6"/>
    <w:rsid w:val="002B202A"/>
    <w:rsid w:val="002B3114"/>
    <w:rsid w:val="002B313C"/>
    <w:rsid w:val="002B4720"/>
    <w:rsid w:val="002B4B68"/>
    <w:rsid w:val="002B54F1"/>
    <w:rsid w:val="002B5530"/>
    <w:rsid w:val="002B5926"/>
    <w:rsid w:val="002B64CE"/>
    <w:rsid w:val="002B763A"/>
    <w:rsid w:val="002B7984"/>
    <w:rsid w:val="002C0B4C"/>
    <w:rsid w:val="002C0EA0"/>
    <w:rsid w:val="002C11AC"/>
    <w:rsid w:val="002C3CCC"/>
    <w:rsid w:val="002C4092"/>
    <w:rsid w:val="002C4860"/>
    <w:rsid w:val="002C50DC"/>
    <w:rsid w:val="002C5308"/>
    <w:rsid w:val="002C5784"/>
    <w:rsid w:val="002C5ABD"/>
    <w:rsid w:val="002C6B20"/>
    <w:rsid w:val="002C6B67"/>
    <w:rsid w:val="002D142C"/>
    <w:rsid w:val="002D2BE8"/>
    <w:rsid w:val="002D2C6C"/>
    <w:rsid w:val="002D37BE"/>
    <w:rsid w:val="002D3A33"/>
    <w:rsid w:val="002D4F78"/>
    <w:rsid w:val="002D57CC"/>
    <w:rsid w:val="002D6178"/>
    <w:rsid w:val="002D7500"/>
    <w:rsid w:val="002D793A"/>
    <w:rsid w:val="002E0198"/>
    <w:rsid w:val="002E0691"/>
    <w:rsid w:val="002E136F"/>
    <w:rsid w:val="002E20A9"/>
    <w:rsid w:val="002E29D5"/>
    <w:rsid w:val="002E5450"/>
    <w:rsid w:val="002E587D"/>
    <w:rsid w:val="002E5ADE"/>
    <w:rsid w:val="002F0A7C"/>
    <w:rsid w:val="002F129D"/>
    <w:rsid w:val="002F151B"/>
    <w:rsid w:val="002F158C"/>
    <w:rsid w:val="002F1D38"/>
    <w:rsid w:val="002F20F7"/>
    <w:rsid w:val="002F22E3"/>
    <w:rsid w:val="002F25AF"/>
    <w:rsid w:val="002F280F"/>
    <w:rsid w:val="002F2F65"/>
    <w:rsid w:val="002F3266"/>
    <w:rsid w:val="002F3DA8"/>
    <w:rsid w:val="002F5A7A"/>
    <w:rsid w:val="002F5CB0"/>
    <w:rsid w:val="002F7403"/>
    <w:rsid w:val="002F7FC7"/>
    <w:rsid w:val="00301699"/>
    <w:rsid w:val="00301959"/>
    <w:rsid w:val="00303109"/>
    <w:rsid w:val="0030332D"/>
    <w:rsid w:val="0030338F"/>
    <w:rsid w:val="00303C34"/>
    <w:rsid w:val="00303EAA"/>
    <w:rsid w:val="00304E75"/>
    <w:rsid w:val="003052F7"/>
    <w:rsid w:val="0030536B"/>
    <w:rsid w:val="00305D88"/>
    <w:rsid w:val="00306945"/>
    <w:rsid w:val="00306FAD"/>
    <w:rsid w:val="003100D2"/>
    <w:rsid w:val="003104A1"/>
    <w:rsid w:val="00310759"/>
    <w:rsid w:val="00311072"/>
    <w:rsid w:val="0031195C"/>
    <w:rsid w:val="003119FD"/>
    <w:rsid w:val="00311A42"/>
    <w:rsid w:val="00311E39"/>
    <w:rsid w:val="00311E46"/>
    <w:rsid w:val="00313015"/>
    <w:rsid w:val="0031486B"/>
    <w:rsid w:val="00314A43"/>
    <w:rsid w:val="00320095"/>
    <w:rsid w:val="00323EF0"/>
    <w:rsid w:val="00325817"/>
    <w:rsid w:val="00325B97"/>
    <w:rsid w:val="0032659B"/>
    <w:rsid w:val="00326931"/>
    <w:rsid w:val="00327585"/>
    <w:rsid w:val="0033026B"/>
    <w:rsid w:val="0033033D"/>
    <w:rsid w:val="0033066B"/>
    <w:rsid w:val="00330748"/>
    <w:rsid w:val="00330D47"/>
    <w:rsid w:val="00331023"/>
    <w:rsid w:val="00331A60"/>
    <w:rsid w:val="00331C05"/>
    <w:rsid w:val="00331E10"/>
    <w:rsid w:val="00334454"/>
    <w:rsid w:val="00334D81"/>
    <w:rsid w:val="00335414"/>
    <w:rsid w:val="003362E3"/>
    <w:rsid w:val="00337BFB"/>
    <w:rsid w:val="00342A5B"/>
    <w:rsid w:val="00342B02"/>
    <w:rsid w:val="00342D73"/>
    <w:rsid w:val="0034529F"/>
    <w:rsid w:val="00345595"/>
    <w:rsid w:val="0034694A"/>
    <w:rsid w:val="00346AB0"/>
    <w:rsid w:val="00347135"/>
    <w:rsid w:val="00347D6B"/>
    <w:rsid w:val="0035016D"/>
    <w:rsid w:val="00350439"/>
    <w:rsid w:val="00350CA9"/>
    <w:rsid w:val="00351079"/>
    <w:rsid w:val="00351303"/>
    <w:rsid w:val="0035285A"/>
    <w:rsid w:val="00353E8D"/>
    <w:rsid w:val="0035484A"/>
    <w:rsid w:val="003551A5"/>
    <w:rsid w:val="00355471"/>
    <w:rsid w:val="003554B2"/>
    <w:rsid w:val="00355C23"/>
    <w:rsid w:val="003566EF"/>
    <w:rsid w:val="0035746B"/>
    <w:rsid w:val="0035756B"/>
    <w:rsid w:val="00357751"/>
    <w:rsid w:val="00360492"/>
    <w:rsid w:val="00361D92"/>
    <w:rsid w:val="00362000"/>
    <w:rsid w:val="00362F9E"/>
    <w:rsid w:val="00363DE7"/>
    <w:rsid w:val="003645F1"/>
    <w:rsid w:val="00364D38"/>
    <w:rsid w:val="00366218"/>
    <w:rsid w:val="0036654A"/>
    <w:rsid w:val="00367767"/>
    <w:rsid w:val="003703F0"/>
    <w:rsid w:val="003708FB"/>
    <w:rsid w:val="003746D1"/>
    <w:rsid w:val="00374AC6"/>
    <w:rsid w:val="00374C62"/>
    <w:rsid w:val="00375CA6"/>
    <w:rsid w:val="00376723"/>
    <w:rsid w:val="00380365"/>
    <w:rsid w:val="00382092"/>
    <w:rsid w:val="00382C22"/>
    <w:rsid w:val="00382F08"/>
    <w:rsid w:val="00383A84"/>
    <w:rsid w:val="00383B39"/>
    <w:rsid w:val="00383B3F"/>
    <w:rsid w:val="003846C3"/>
    <w:rsid w:val="0038515B"/>
    <w:rsid w:val="003852C5"/>
    <w:rsid w:val="00385D13"/>
    <w:rsid w:val="00385E17"/>
    <w:rsid w:val="00386ABE"/>
    <w:rsid w:val="00387AB3"/>
    <w:rsid w:val="00390C0D"/>
    <w:rsid w:val="00391848"/>
    <w:rsid w:val="003936EC"/>
    <w:rsid w:val="00393D8F"/>
    <w:rsid w:val="00393DDB"/>
    <w:rsid w:val="0039608E"/>
    <w:rsid w:val="00396ED1"/>
    <w:rsid w:val="0039785A"/>
    <w:rsid w:val="003978A0"/>
    <w:rsid w:val="00397D74"/>
    <w:rsid w:val="00397E3B"/>
    <w:rsid w:val="003A02C4"/>
    <w:rsid w:val="003A039D"/>
    <w:rsid w:val="003A0D13"/>
    <w:rsid w:val="003A14B1"/>
    <w:rsid w:val="003A1CA7"/>
    <w:rsid w:val="003A2E10"/>
    <w:rsid w:val="003A3CCD"/>
    <w:rsid w:val="003A3E3E"/>
    <w:rsid w:val="003A46DA"/>
    <w:rsid w:val="003A4EDD"/>
    <w:rsid w:val="003B23D0"/>
    <w:rsid w:val="003B2621"/>
    <w:rsid w:val="003B383A"/>
    <w:rsid w:val="003B3B04"/>
    <w:rsid w:val="003B55FD"/>
    <w:rsid w:val="003B5703"/>
    <w:rsid w:val="003B7B43"/>
    <w:rsid w:val="003C030E"/>
    <w:rsid w:val="003C032B"/>
    <w:rsid w:val="003C11FA"/>
    <w:rsid w:val="003C1754"/>
    <w:rsid w:val="003C1FB0"/>
    <w:rsid w:val="003C2A7B"/>
    <w:rsid w:val="003C2AB8"/>
    <w:rsid w:val="003C464D"/>
    <w:rsid w:val="003C582E"/>
    <w:rsid w:val="003D066A"/>
    <w:rsid w:val="003D2B7B"/>
    <w:rsid w:val="003D2E2A"/>
    <w:rsid w:val="003D34CB"/>
    <w:rsid w:val="003D4234"/>
    <w:rsid w:val="003D47D0"/>
    <w:rsid w:val="003D4B56"/>
    <w:rsid w:val="003D4C1D"/>
    <w:rsid w:val="003D722B"/>
    <w:rsid w:val="003E005C"/>
    <w:rsid w:val="003E077F"/>
    <w:rsid w:val="003E1AD6"/>
    <w:rsid w:val="003E25CE"/>
    <w:rsid w:val="003E325A"/>
    <w:rsid w:val="003E414B"/>
    <w:rsid w:val="003E428B"/>
    <w:rsid w:val="003E4D2B"/>
    <w:rsid w:val="003E4F69"/>
    <w:rsid w:val="003E585F"/>
    <w:rsid w:val="003E5C96"/>
    <w:rsid w:val="003E7119"/>
    <w:rsid w:val="003E7305"/>
    <w:rsid w:val="003E7333"/>
    <w:rsid w:val="003E7D5C"/>
    <w:rsid w:val="003F06A2"/>
    <w:rsid w:val="003F0C8F"/>
    <w:rsid w:val="003F1CD7"/>
    <w:rsid w:val="003F2118"/>
    <w:rsid w:val="003F31AB"/>
    <w:rsid w:val="003F39DE"/>
    <w:rsid w:val="003F3B35"/>
    <w:rsid w:val="003F40C2"/>
    <w:rsid w:val="003F48A9"/>
    <w:rsid w:val="003F5112"/>
    <w:rsid w:val="003F5BE5"/>
    <w:rsid w:val="003F5D00"/>
    <w:rsid w:val="003F608B"/>
    <w:rsid w:val="003F6CAF"/>
    <w:rsid w:val="00400D11"/>
    <w:rsid w:val="00402E77"/>
    <w:rsid w:val="00402E9E"/>
    <w:rsid w:val="0040362D"/>
    <w:rsid w:val="00403BB4"/>
    <w:rsid w:val="00404275"/>
    <w:rsid w:val="00405A28"/>
    <w:rsid w:val="0040659A"/>
    <w:rsid w:val="00406721"/>
    <w:rsid w:val="00406803"/>
    <w:rsid w:val="00406DEB"/>
    <w:rsid w:val="00407663"/>
    <w:rsid w:val="004107B9"/>
    <w:rsid w:val="00410AD7"/>
    <w:rsid w:val="00411DDF"/>
    <w:rsid w:val="004128AA"/>
    <w:rsid w:val="00413189"/>
    <w:rsid w:val="00414BE4"/>
    <w:rsid w:val="00415150"/>
    <w:rsid w:val="00415CA5"/>
    <w:rsid w:val="00416E4B"/>
    <w:rsid w:val="00416EFC"/>
    <w:rsid w:val="0041779C"/>
    <w:rsid w:val="004178A4"/>
    <w:rsid w:val="00420D7F"/>
    <w:rsid w:val="00421942"/>
    <w:rsid w:val="00422ACC"/>
    <w:rsid w:val="00422BDC"/>
    <w:rsid w:val="00422BFA"/>
    <w:rsid w:val="00422D13"/>
    <w:rsid w:val="004230F5"/>
    <w:rsid w:val="0042324C"/>
    <w:rsid w:val="00424B37"/>
    <w:rsid w:val="004307E9"/>
    <w:rsid w:val="00430B05"/>
    <w:rsid w:val="00430CC0"/>
    <w:rsid w:val="00431522"/>
    <w:rsid w:val="00435C70"/>
    <w:rsid w:val="00435C9A"/>
    <w:rsid w:val="00435D5A"/>
    <w:rsid w:val="00435ED9"/>
    <w:rsid w:val="004368C4"/>
    <w:rsid w:val="00436D39"/>
    <w:rsid w:val="00436FE2"/>
    <w:rsid w:val="00437921"/>
    <w:rsid w:val="00440A4C"/>
    <w:rsid w:val="004422D1"/>
    <w:rsid w:val="004438C9"/>
    <w:rsid w:val="00445C4E"/>
    <w:rsid w:val="0044720C"/>
    <w:rsid w:val="00447E3B"/>
    <w:rsid w:val="00447EE4"/>
    <w:rsid w:val="0045139B"/>
    <w:rsid w:val="00452139"/>
    <w:rsid w:val="00452883"/>
    <w:rsid w:val="00452D35"/>
    <w:rsid w:val="00453236"/>
    <w:rsid w:val="00454228"/>
    <w:rsid w:val="00454C0E"/>
    <w:rsid w:val="00454E36"/>
    <w:rsid w:val="00456169"/>
    <w:rsid w:val="004567AE"/>
    <w:rsid w:val="00457100"/>
    <w:rsid w:val="004604BA"/>
    <w:rsid w:val="00460D02"/>
    <w:rsid w:val="004616B8"/>
    <w:rsid w:val="00462FFA"/>
    <w:rsid w:val="00463426"/>
    <w:rsid w:val="00463687"/>
    <w:rsid w:val="00465163"/>
    <w:rsid w:val="00465209"/>
    <w:rsid w:val="00465647"/>
    <w:rsid w:val="0046594A"/>
    <w:rsid w:val="00465B84"/>
    <w:rsid w:val="00465DD3"/>
    <w:rsid w:val="00466751"/>
    <w:rsid w:val="004667F1"/>
    <w:rsid w:val="00470D6C"/>
    <w:rsid w:val="00471492"/>
    <w:rsid w:val="004720C7"/>
    <w:rsid w:val="00472E72"/>
    <w:rsid w:val="004741C8"/>
    <w:rsid w:val="00474FA3"/>
    <w:rsid w:val="0047533B"/>
    <w:rsid w:val="004778ED"/>
    <w:rsid w:val="004803E4"/>
    <w:rsid w:val="0048049B"/>
    <w:rsid w:val="00480A23"/>
    <w:rsid w:val="00481342"/>
    <w:rsid w:val="00483CB3"/>
    <w:rsid w:val="00483D03"/>
    <w:rsid w:val="00483D45"/>
    <w:rsid w:val="00484542"/>
    <w:rsid w:val="004847CD"/>
    <w:rsid w:val="00490564"/>
    <w:rsid w:val="0049082A"/>
    <w:rsid w:val="00492E77"/>
    <w:rsid w:val="00493B81"/>
    <w:rsid w:val="00493EA5"/>
    <w:rsid w:val="00494FBE"/>
    <w:rsid w:val="00495411"/>
    <w:rsid w:val="00495720"/>
    <w:rsid w:val="00496080"/>
    <w:rsid w:val="004964DE"/>
    <w:rsid w:val="004A00C0"/>
    <w:rsid w:val="004A00F4"/>
    <w:rsid w:val="004A3C89"/>
    <w:rsid w:val="004A6425"/>
    <w:rsid w:val="004A7B69"/>
    <w:rsid w:val="004B0C57"/>
    <w:rsid w:val="004B23A9"/>
    <w:rsid w:val="004B3C42"/>
    <w:rsid w:val="004B495A"/>
    <w:rsid w:val="004B5806"/>
    <w:rsid w:val="004C0D8E"/>
    <w:rsid w:val="004C0ED6"/>
    <w:rsid w:val="004C0F9F"/>
    <w:rsid w:val="004C1017"/>
    <w:rsid w:val="004C12FF"/>
    <w:rsid w:val="004C130B"/>
    <w:rsid w:val="004C1B6F"/>
    <w:rsid w:val="004C28DE"/>
    <w:rsid w:val="004C31DF"/>
    <w:rsid w:val="004C441B"/>
    <w:rsid w:val="004C5768"/>
    <w:rsid w:val="004C6141"/>
    <w:rsid w:val="004C6C5E"/>
    <w:rsid w:val="004C6FF9"/>
    <w:rsid w:val="004D0BD1"/>
    <w:rsid w:val="004D0F1D"/>
    <w:rsid w:val="004D20D1"/>
    <w:rsid w:val="004D2594"/>
    <w:rsid w:val="004D4F4B"/>
    <w:rsid w:val="004D5BB5"/>
    <w:rsid w:val="004D6D80"/>
    <w:rsid w:val="004D7CAA"/>
    <w:rsid w:val="004E09B0"/>
    <w:rsid w:val="004E3308"/>
    <w:rsid w:val="004E6124"/>
    <w:rsid w:val="004E6618"/>
    <w:rsid w:val="004E67BE"/>
    <w:rsid w:val="004E7D66"/>
    <w:rsid w:val="004F11A5"/>
    <w:rsid w:val="004F30F9"/>
    <w:rsid w:val="004F4177"/>
    <w:rsid w:val="004F425C"/>
    <w:rsid w:val="004F4CDC"/>
    <w:rsid w:val="004F62BD"/>
    <w:rsid w:val="004F69C5"/>
    <w:rsid w:val="004F6B6B"/>
    <w:rsid w:val="004F773F"/>
    <w:rsid w:val="00500880"/>
    <w:rsid w:val="00500A12"/>
    <w:rsid w:val="00500F2E"/>
    <w:rsid w:val="00501010"/>
    <w:rsid w:val="005016AF"/>
    <w:rsid w:val="0050188B"/>
    <w:rsid w:val="00502A76"/>
    <w:rsid w:val="00503668"/>
    <w:rsid w:val="00503C18"/>
    <w:rsid w:val="005041F5"/>
    <w:rsid w:val="0050446E"/>
    <w:rsid w:val="00505830"/>
    <w:rsid w:val="005059E8"/>
    <w:rsid w:val="00505D5B"/>
    <w:rsid w:val="00505DB2"/>
    <w:rsid w:val="00506BDA"/>
    <w:rsid w:val="0050762A"/>
    <w:rsid w:val="005076E6"/>
    <w:rsid w:val="00510511"/>
    <w:rsid w:val="0051079A"/>
    <w:rsid w:val="005112E2"/>
    <w:rsid w:val="00512C55"/>
    <w:rsid w:val="00512D13"/>
    <w:rsid w:val="005134E7"/>
    <w:rsid w:val="00514C97"/>
    <w:rsid w:val="00514DE5"/>
    <w:rsid w:val="00514E76"/>
    <w:rsid w:val="0051779C"/>
    <w:rsid w:val="0051781B"/>
    <w:rsid w:val="005178EB"/>
    <w:rsid w:val="00517A2F"/>
    <w:rsid w:val="00517D98"/>
    <w:rsid w:val="00520920"/>
    <w:rsid w:val="00522921"/>
    <w:rsid w:val="005248A6"/>
    <w:rsid w:val="00526413"/>
    <w:rsid w:val="00527EE3"/>
    <w:rsid w:val="00527F8C"/>
    <w:rsid w:val="00530C35"/>
    <w:rsid w:val="00531CAB"/>
    <w:rsid w:val="00531F60"/>
    <w:rsid w:val="00532168"/>
    <w:rsid w:val="00533B90"/>
    <w:rsid w:val="005351BE"/>
    <w:rsid w:val="00535339"/>
    <w:rsid w:val="005365F8"/>
    <w:rsid w:val="005371A7"/>
    <w:rsid w:val="0053773A"/>
    <w:rsid w:val="00537D3D"/>
    <w:rsid w:val="00541091"/>
    <w:rsid w:val="00541702"/>
    <w:rsid w:val="005417AA"/>
    <w:rsid w:val="00541FF7"/>
    <w:rsid w:val="00542B53"/>
    <w:rsid w:val="0054300E"/>
    <w:rsid w:val="0054629E"/>
    <w:rsid w:val="00546BAF"/>
    <w:rsid w:val="00551436"/>
    <w:rsid w:val="00554B4B"/>
    <w:rsid w:val="00554E17"/>
    <w:rsid w:val="00554FE5"/>
    <w:rsid w:val="00561B0E"/>
    <w:rsid w:val="00562768"/>
    <w:rsid w:val="00562E3A"/>
    <w:rsid w:val="005631D6"/>
    <w:rsid w:val="0056378C"/>
    <w:rsid w:val="00563985"/>
    <w:rsid w:val="00564F41"/>
    <w:rsid w:val="00565006"/>
    <w:rsid w:val="005653C4"/>
    <w:rsid w:val="00565A1C"/>
    <w:rsid w:val="0056687E"/>
    <w:rsid w:val="00567FDA"/>
    <w:rsid w:val="005709CE"/>
    <w:rsid w:val="0057108A"/>
    <w:rsid w:val="0057178A"/>
    <w:rsid w:val="005726CF"/>
    <w:rsid w:val="005738DF"/>
    <w:rsid w:val="00573CFE"/>
    <w:rsid w:val="005742DF"/>
    <w:rsid w:val="0057611C"/>
    <w:rsid w:val="00576343"/>
    <w:rsid w:val="00576448"/>
    <w:rsid w:val="00576E4E"/>
    <w:rsid w:val="005772F5"/>
    <w:rsid w:val="005774C5"/>
    <w:rsid w:val="00577599"/>
    <w:rsid w:val="005802A3"/>
    <w:rsid w:val="00580450"/>
    <w:rsid w:val="00580F41"/>
    <w:rsid w:val="00581C26"/>
    <w:rsid w:val="00582F06"/>
    <w:rsid w:val="00582F87"/>
    <w:rsid w:val="005842CD"/>
    <w:rsid w:val="005862A1"/>
    <w:rsid w:val="0058775C"/>
    <w:rsid w:val="00587B2F"/>
    <w:rsid w:val="00587DE9"/>
    <w:rsid w:val="0059021C"/>
    <w:rsid w:val="00590977"/>
    <w:rsid w:val="00590ED1"/>
    <w:rsid w:val="00591980"/>
    <w:rsid w:val="00592347"/>
    <w:rsid w:val="00592D06"/>
    <w:rsid w:val="0059336F"/>
    <w:rsid w:val="00593917"/>
    <w:rsid w:val="00593C47"/>
    <w:rsid w:val="00594B87"/>
    <w:rsid w:val="005955FD"/>
    <w:rsid w:val="005A086F"/>
    <w:rsid w:val="005A099D"/>
    <w:rsid w:val="005A0D88"/>
    <w:rsid w:val="005A0E3B"/>
    <w:rsid w:val="005A1049"/>
    <w:rsid w:val="005A1A84"/>
    <w:rsid w:val="005A34F7"/>
    <w:rsid w:val="005A606B"/>
    <w:rsid w:val="005A6123"/>
    <w:rsid w:val="005A786E"/>
    <w:rsid w:val="005B0D9B"/>
    <w:rsid w:val="005B1A10"/>
    <w:rsid w:val="005B1EED"/>
    <w:rsid w:val="005B2406"/>
    <w:rsid w:val="005B2CD0"/>
    <w:rsid w:val="005B39C7"/>
    <w:rsid w:val="005B3C74"/>
    <w:rsid w:val="005B4CB6"/>
    <w:rsid w:val="005B51D4"/>
    <w:rsid w:val="005B577E"/>
    <w:rsid w:val="005B58EE"/>
    <w:rsid w:val="005B7149"/>
    <w:rsid w:val="005B7734"/>
    <w:rsid w:val="005C0918"/>
    <w:rsid w:val="005C15F1"/>
    <w:rsid w:val="005C44EF"/>
    <w:rsid w:val="005C46DB"/>
    <w:rsid w:val="005C6417"/>
    <w:rsid w:val="005C68BF"/>
    <w:rsid w:val="005C6D1A"/>
    <w:rsid w:val="005C7D6D"/>
    <w:rsid w:val="005D0075"/>
    <w:rsid w:val="005D0282"/>
    <w:rsid w:val="005D079B"/>
    <w:rsid w:val="005D0A04"/>
    <w:rsid w:val="005D0D7C"/>
    <w:rsid w:val="005D2048"/>
    <w:rsid w:val="005D2BF2"/>
    <w:rsid w:val="005D2ED6"/>
    <w:rsid w:val="005D54B5"/>
    <w:rsid w:val="005D5985"/>
    <w:rsid w:val="005D63B4"/>
    <w:rsid w:val="005D7D4C"/>
    <w:rsid w:val="005D7FD9"/>
    <w:rsid w:val="005E00D0"/>
    <w:rsid w:val="005E1416"/>
    <w:rsid w:val="005E240A"/>
    <w:rsid w:val="005E2C06"/>
    <w:rsid w:val="005E3AB8"/>
    <w:rsid w:val="005E3C5D"/>
    <w:rsid w:val="005E669E"/>
    <w:rsid w:val="005E6849"/>
    <w:rsid w:val="005F0007"/>
    <w:rsid w:val="005F0104"/>
    <w:rsid w:val="005F13AB"/>
    <w:rsid w:val="005F22DD"/>
    <w:rsid w:val="005F36C4"/>
    <w:rsid w:val="005F3BCE"/>
    <w:rsid w:val="005F3C1C"/>
    <w:rsid w:val="005F3F93"/>
    <w:rsid w:val="005F5442"/>
    <w:rsid w:val="005F722B"/>
    <w:rsid w:val="005F756D"/>
    <w:rsid w:val="005F7655"/>
    <w:rsid w:val="005F7B03"/>
    <w:rsid w:val="0060006F"/>
    <w:rsid w:val="0060032A"/>
    <w:rsid w:val="00600D99"/>
    <w:rsid w:val="00601133"/>
    <w:rsid w:val="006017FF"/>
    <w:rsid w:val="00603D41"/>
    <w:rsid w:val="00605174"/>
    <w:rsid w:val="00605DD9"/>
    <w:rsid w:val="00605DEB"/>
    <w:rsid w:val="00606287"/>
    <w:rsid w:val="00606895"/>
    <w:rsid w:val="00606A0B"/>
    <w:rsid w:val="00607273"/>
    <w:rsid w:val="00611121"/>
    <w:rsid w:val="006115B9"/>
    <w:rsid w:val="006116BE"/>
    <w:rsid w:val="00611E00"/>
    <w:rsid w:val="0061256E"/>
    <w:rsid w:val="00614C60"/>
    <w:rsid w:val="0061596D"/>
    <w:rsid w:val="00616DA2"/>
    <w:rsid w:val="0061714B"/>
    <w:rsid w:val="00617169"/>
    <w:rsid w:val="0061797A"/>
    <w:rsid w:val="00617CA9"/>
    <w:rsid w:val="00620035"/>
    <w:rsid w:val="00620465"/>
    <w:rsid w:val="00620667"/>
    <w:rsid w:val="00620996"/>
    <w:rsid w:val="00621947"/>
    <w:rsid w:val="00621C9C"/>
    <w:rsid w:val="0062220C"/>
    <w:rsid w:val="00623EEC"/>
    <w:rsid w:val="00624A64"/>
    <w:rsid w:val="00624D1B"/>
    <w:rsid w:val="00624E4A"/>
    <w:rsid w:val="0062541F"/>
    <w:rsid w:val="0062556E"/>
    <w:rsid w:val="0062703C"/>
    <w:rsid w:val="006279C8"/>
    <w:rsid w:val="00630F04"/>
    <w:rsid w:val="006313D7"/>
    <w:rsid w:val="00631E02"/>
    <w:rsid w:val="0063246E"/>
    <w:rsid w:val="0063263B"/>
    <w:rsid w:val="00632BEF"/>
    <w:rsid w:val="0063498F"/>
    <w:rsid w:val="006355B1"/>
    <w:rsid w:val="0063715B"/>
    <w:rsid w:val="00637C9F"/>
    <w:rsid w:val="00640273"/>
    <w:rsid w:val="00640DFB"/>
    <w:rsid w:val="00641331"/>
    <w:rsid w:val="00642B96"/>
    <w:rsid w:val="006440A6"/>
    <w:rsid w:val="00644A85"/>
    <w:rsid w:val="00644AF8"/>
    <w:rsid w:val="006451C1"/>
    <w:rsid w:val="00645453"/>
    <w:rsid w:val="00645894"/>
    <w:rsid w:val="0064685E"/>
    <w:rsid w:val="00646B27"/>
    <w:rsid w:val="006471F9"/>
    <w:rsid w:val="0064738F"/>
    <w:rsid w:val="00652242"/>
    <w:rsid w:val="006525F5"/>
    <w:rsid w:val="00652FC6"/>
    <w:rsid w:val="006541E9"/>
    <w:rsid w:val="00656DB1"/>
    <w:rsid w:val="00657B89"/>
    <w:rsid w:val="00657C28"/>
    <w:rsid w:val="00657D0E"/>
    <w:rsid w:val="0066024C"/>
    <w:rsid w:val="0066090C"/>
    <w:rsid w:val="00660929"/>
    <w:rsid w:val="006611C1"/>
    <w:rsid w:val="006627CF"/>
    <w:rsid w:val="0066399C"/>
    <w:rsid w:val="00664096"/>
    <w:rsid w:val="006642F6"/>
    <w:rsid w:val="00665A20"/>
    <w:rsid w:val="00667086"/>
    <w:rsid w:val="00667851"/>
    <w:rsid w:val="00667880"/>
    <w:rsid w:val="0067040B"/>
    <w:rsid w:val="00671652"/>
    <w:rsid w:val="00671DF9"/>
    <w:rsid w:val="006724FF"/>
    <w:rsid w:val="006725C8"/>
    <w:rsid w:val="0067324E"/>
    <w:rsid w:val="00673576"/>
    <w:rsid w:val="006741BA"/>
    <w:rsid w:val="00674682"/>
    <w:rsid w:val="006749B2"/>
    <w:rsid w:val="00674A1B"/>
    <w:rsid w:val="00674F5A"/>
    <w:rsid w:val="0067504B"/>
    <w:rsid w:val="006750A7"/>
    <w:rsid w:val="0067560C"/>
    <w:rsid w:val="00676EF9"/>
    <w:rsid w:val="0067704D"/>
    <w:rsid w:val="00677763"/>
    <w:rsid w:val="00677BC2"/>
    <w:rsid w:val="0068057D"/>
    <w:rsid w:val="00680A8A"/>
    <w:rsid w:val="006837B5"/>
    <w:rsid w:val="006857D9"/>
    <w:rsid w:val="0069076C"/>
    <w:rsid w:val="00690C99"/>
    <w:rsid w:val="0069151C"/>
    <w:rsid w:val="0069183C"/>
    <w:rsid w:val="00692F0A"/>
    <w:rsid w:val="0069457E"/>
    <w:rsid w:val="006949CD"/>
    <w:rsid w:val="00695C16"/>
    <w:rsid w:val="006972E7"/>
    <w:rsid w:val="00697BA6"/>
    <w:rsid w:val="006A017B"/>
    <w:rsid w:val="006A1D6A"/>
    <w:rsid w:val="006A1EC8"/>
    <w:rsid w:val="006A2074"/>
    <w:rsid w:val="006A291D"/>
    <w:rsid w:val="006A38B4"/>
    <w:rsid w:val="006A52F9"/>
    <w:rsid w:val="006A57E7"/>
    <w:rsid w:val="006A5B00"/>
    <w:rsid w:val="006A5EA2"/>
    <w:rsid w:val="006A6207"/>
    <w:rsid w:val="006A62A6"/>
    <w:rsid w:val="006A67BB"/>
    <w:rsid w:val="006A6BE3"/>
    <w:rsid w:val="006A7585"/>
    <w:rsid w:val="006A7642"/>
    <w:rsid w:val="006A7E42"/>
    <w:rsid w:val="006B0679"/>
    <w:rsid w:val="006B07E9"/>
    <w:rsid w:val="006B2041"/>
    <w:rsid w:val="006B2432"/>
    <w:rsid w:val="006B351B"/>
    <w:rsid w:val="006B35A8"/>
    <w:rsid w:val="006B3B33"/>
    <w:rsid w:val="006B59CD"/>
    <w:rsid w:val="006C0092"/>
    <w:rsid w:val="006C00D3"/>
    <w:rsid w:val="006C06F4"/>
    <w:rsid w:val="006C13D0"/>
    <w:rsid w:val="006C1466"/>
    <w:rsid w:val="006C22B8"/>
    <w:rsid w:val="006C3AD0"/>
    <w:rsid w:val="006C4D2E"/>
    <w:rsid w:val="006C4FE6"/>
    <w:rsid w:val="006C5370"/>
    <w:rsid w:val="006C5703"/>
    <w:rsid w:val="006C6013"/>
    <w:rsid w:val="006C6151"/>
    <w:rsid w:val="006C65F0"/>
    <w:rsid w:val="006C74B4"/>
    <w:rsid w:val="006C7D87"/>
    <w:rsid w:val="006D0B71"/>
    <w:rsid w:val="006D3458"/>
    <w:rsid w:val="006D41A7"/>
    <w:rsid w:val="006D4C75"/>
    <w:rsid w:val="006D4D2A"/>
    <w:rsid w:val="006D715B"/>
    <w:rsid w:val="006E07FB"/>
    <w:rsid w:val="006E0A44"/>
    <w:rsid w:val="006E2A38"/>
    <w:rsid w:val="006E324E"/>
    <w:rsid w:val="006F01FB"/>
    <w:rsid w:val="006F0A28"/>
    <w:rsid w:val="006F0B38"/>
    <w:rsid w:val="006F1E01"/>
    <w:rsid w:val="006F2297"/>
    <w:rsid w:val="006F281E"/>
    <w:rsid w:val="006F2ABE"/>
    <w:rsid w:val="006F2D6B"/>
    <w:rsid w:val="006F324D"/>
    <w:rsid w:val="006F3851"/>
    <w:rsid w:val="006F4139"/>
    <w:rsid w:val="006F42FD"/>
    <w:rsid w:val="006F4C59"/>
    <w:rsid w:val="006F5842"/>
    <w:rsid w:val="006F5C44"/>
    <w:rsid w:val="006F6997"/>
    <w:rsid w:val="006F6B8D"/>
    <w:rsid w:val="006F7FBB"/>
    <w:rsid w:val="0070042F"/>
    <w:rsid w:val="00702466"/>
    <w:rsid w:val="007027F9"/>
    <w:rsid w:val="00702ACD"/>
    <w:rsid w:val="007039EC"/>
    <w:rsid w:val="00703B8E"/>
    <w:rsid w:val="00704D87"/>
    <w:rsid w:val="00705D2C"/>
    <w:rsid w:val="00706128"/>
    <w:rsid w:val="00706733"/>
    <w:rsid w:val="00707453"/>
    <w:rsid w:val="0071008C"/>
    <w:rsid w:val="00710094"/>
    <w:rsid w:val="00710AF4"/>
    <w:rsid w:val="00710BBF"/>
    <w:rsid w:val="00711873"/>
    <w:rsid w:val="00711B1A"/>
    <w:rsid w:val="00713594"/>
    <w:rsid w:val="00713759"/>
    <w:rsid w:val="007137E6"/>
    <w:rsid w:val="00713E46"/>
    <w:rsid w:val="007148B6"/>
    <w:rsid w:val="00714996"/>
    <w:rsid w:val="00714AC2"/>
    <w:rsid w:val="00715B6B"/>
    <w:rsid w:val="00717744"/>
    <w:rsid w:val="00717EAB"/>
    <w:rsid w:val="007212D7"/>
    <w:rsid w:val="00721450"/>
    <w:rsid w:val="00721F84"/>
    <w:rsid w:val="007222D1"/>
    <w:rsid w:val="007222DC"/>
    <w:rsid w:val="00722ACD"/>
    <w:rsid w:val="00723C77"/>
    <w:rsid w:val="007245E0"/>
    <w:rsid w:val="00724DD0"/>
    <w:rsid w:val="007250AC"/>
    <w:rsid w:val="00725A17"/>
    <w:rsid w:val="00725E08"/>
    <w:rsid w:val="00726DBD"/>
    <w:rsid w:val="007271F7"/>
    <w:rsid w:val="00727C34"/>
    <w:rsid w:val="00730BB9"/>
    <w:rsid w:val="0073128A"/>
    <w:rsid w:val="00731436"/>
    <w:rsid w:val="007323F4"/>
    <w:rsid w:val="0073290A"/>
    <w:rsid w:val="00732DF1"/>
    <w:rsid w:val="007335E0"/>
    <w:rsid w:val="007338B8"/>
    <w:rsid w:val="00733E2D"/>
    <w:rsid w:val="007343E0"/>
    <w:rsid w:val="00734690"/>
    <w:rsid w:val="007350AA"/>
    <w:rsid w:val="00736444"/>
    <w:rsid w:val="00736B4C"/>
    <w:rsid w:val="00736DCC"/>
    <w:rsid w:val="00736F06"/>
    <w:rsid w:val="00737377"/>
    <w:rsid w:val="00741003"/>
    <w:rsid w:val="007411A7"/>
    <w:rsid w:val="007420D8"/>
    <w:rsid w:val="00742921"/>
    <w:rsid w:val="00742A62"/>
    <w:rsid w:val="00743053"/>
    <w:rsid w:val="00743FA7"/>
    <w:rsid w:val="007449FC"/>
    <w:rsid w:val="00745290"/>
    <w:rsid w:val="00746198"/>
    <w:rsid w:val="00746821"/>
    <w:rsid w:val="00746AB8"/>
    <w:rsid w:val="0074767E"/>
    <w:rsid w:val="007502B8"/>
    <w:rsid w:val="00750434"/>
    <w:rsid w:val="007504F8"/>
    <w:rsid w:val="00751087"/>
    <w:rsid w:val="00751526"/>
    <w:rsid w:val="00751AD6"/>
    <w:rsid w:val="00751D52"/>
    <w:rsid w:val="0075338C"/>
    <w:rsid w:val="0075355A"/>
    <w:rsid w:val="007549F4"/>
    <w:rsid w:val="00754EBB"/>
    <w:rsid w:val="00757813"/>
    <w:rsid w:val="007617DD"/>
    <w:rsid w:val="007627AA"/>
    <w:rsid w:val="00763BB0"/>
    <w:rsid w:val="0076439C"/>
    <w:rsid w:val="00764927"/>
    <w:rsid w:val="00764AC3"/>
    <w:rsid w:val="007651A9"/>
    <w:rsid w:val="00766109"/>
    <w:rsid w:val="00766113"/>
    <w:rsid w:val="00766A92"/>
    <w:rsid w:val="007704A0"/>
    <w:rsid w:val="007714A6"/>
    <w:rsid w:val="00772E86"/>
    <w:rsid w:val="00773639"/>
    <w:rsid w:val="007741DD"/>
    <w:rsid w:val="00774B62"/>
    <w:rsid w:val="007761AA"/>
    <w:rsid w:val="007773C2"/>
    <w:rsid w:val="00777BC2"/>
    <w:rsid w:val="007805B0"/>
    <w:rsid w:val="0078188F"/>
    <w:rsid w:val="00781917"/>
    <w:rsid w:val="00782FAB"/>
    <w:rsid w:val="00783153"/>
    <w:rsid w:val="00783911"/>
    <w:rsid w:val="00784BEE"/>
    <w:rsid w:val="007871FA"/>
    <w:rsid w:val="00787839"/>
    <w:rsid w:val="00787F09"/>
    <w:rsid w:val="00790ADD"/>
    <w:rsid w:val="00791A00"/>
    <w:rsid w:val="007922B4"/>
    <w:rsid w:val="00793ADC"/>
    <w:rsid w:val="007979B5"/>
    <w:rsid w:val="00797A84"/>
    <w:rsid w:val="007A2830"/>
    <w:rsid w:val="007A44C6"/>
    <w:rsid w:val="007A505D"/>
    <w:rsid w:val="007A5A01"/>
    <w:rsid w:val="007A6DBA"/>
    <w:rsid w:val="007A7333"/>
    <w:rsid w:val="007B28DD"/>
    <w:rsid w:val="007B3549"/>
    <w:rsid w:val="007B4A74"/>
    <w:rsid w:val="007B4ADF"/>
    <w:rsid w:val="007B7FD6"/>
    <w:rsid w:val="007C0395"/>
    <w:rsid w:val="007C0CAA"/>
    <w:rsid w:val="007C147C"/>
    <w:rsid w:val="007C167C"/>
    <w:rsid w:val="007C170A"/>
    <w:rsid w:val="007C2318"/>
    <w:rsid w:val="007C54A0"/>
    <w:rsid w:val="007C583C"/>
    <w:rsid w:val="007C65D0"/>
    <w:rsid w:val="007C68EC"/>
    <w:rsid w:val="007D074C"/>
    <w:rsid w:val="007D1D1C"/>
    <w:rsid w:val="007D2DB7"/>
    <w:rsid w:val="007D3FDB"/>
    <w:rsid w:val="007D59DA"/>
    <w:rsid w:val="007D5C3E"/>
    <w:rsid w:val="007D631D"/>
    <w:rsid w:val="007D6534"/>
    <w:rsid w:val="007D6BD3"/>
    <w:rsid w:val="007D6C56"/>
    <w:rsid w:val="007E0108"/>
    <w:rsid w:val="007E0750"/>
    <w:rsid w:val="007E0C44"/>
    <w:rsid w:val="007E3239"/>
    <w:rsid w:val="007E3905"/>
    <w:rsid w:val="007E50F6"/>
    <w:rsid w:val="007E51CF"/>
    <w:rsid w:val="007E51D5"/>
    <w:rsid w:val="007E5BA9"/>
    <w:rsid w:val="007E5BAD"/>
    <w:rsid w:val="007E6AF1"/>
    <w:rsid w:val="007E74F9"/>
    <w:rsid w:val="007F0FE3"/>
    <w:rsid w:val="007F2E81"/>
    <w:rsid w:val="007F3750"/>
    <w:rsid w:val="007F47D3"/>
    <w:rsid w:val="007F542B"/>
    <w:rsid w:val="007F69B8"/>
    <w:rsid w:val="007F6D30"/>
    <w:rsid w:val="007F71EF"/>
    <w:rsid w:val="007F7863"/>
    <w:rsid w:val="007F7F70"/>
    <w:rsid w:val="008006DB"/>
    <w:rsid w:val="00800B56"/>
    <w:rsid w:val="00802B78"/>
    <w:rsid w:val="00803186"/>
    <w:rsid w:val="00803420"/>
    <w:rsid w:val="00804538"/>
    <w:rsid w:val="008047B1"/>
    <w:rsid w:val="008048F1"/>
    <w:rsid w:val="00805CFF"/>
    <w:rsid w:val="0080616D"/>
    <w:rsid w:val="008064E1"/>
    <w:rsid w:val="00807BBF"/>
    <w:rsid w:val="0081026E"/>
    <w:rsid w:val="0081062A"/>
    <w:rsid w:val="00811183"/>
    <w:rsid w:val="008111E4"/>
    <w:rsid w:val="008126EB"/>
    <w:rsid w:val="00812ECC"/>
    <w:rsid w:val="00813038"/>
    <w:rsid w:val="008136D8"/>
    <w:rsid w:val="00813E13"/>
    <w:rsid w:val="00814127"/>
    <w:rsid w:val="0081485B"/>
    <w:rsid w:val="00814D1A"/>
    <w:rsid w:val="00815EA9"/>
    <w:rsid w:val="00816810"/>
    <w:rsid w:val="00816C23"/>
    <w:rsid w:val="00820AF3"/>
    <w:rsid w:val="00821335"/>
    <w:rsid w:val="008214CB"/>
    <w:rsid w:val="00821790"/>
    <w:rsid w:val="008223B6"/>
    <w:rsid w:val="00822D4E"/>
    <w:rsid w:val="00823256"/>
    <w:rsid w:val="00827EE3"/>
    <w:rsid w:val="00831369"/>
    <w:rsid w:val="0083229F"/>
    <w:rsid w:val="00833859"/>
    <w:rsid w:val="00833C89"/>
    <w:rsid w:val="00833D4C"/>
    <w:rsid w:val="0084054F"/>
    <w:rsid w:val="0084112D"/>
    <w:rsid w:val="0084261E"/>
    <w:rsid w:val="008447B0"/>
    <w:rsid w:val="00845DEA"/>
    <w:rsid w:val="00846EA8"/>
    <w:rsid w:val="00847138"/>
    <w:rsid w:val="00847389"/>
    <w:rsid w:val="00847DA8"/>
    <w:rsid w:val="00851F16"/>
    <w:rsid w:val="00852871"/>
    <w:rsid w:val="00855EED"/>
    <w:rsid w:val="00856E0B"/>
    <w:rsid w:val="00857A09"/>
    <w:rsid w:val="00860874"/>
    <w:rsid w:val="0086256F"/>
    <w:rsid w:val="008627F7"/>
    <w:rsid w:val="00862EC2"/>
    <w:rsid w:val="00863086"/>
    <w:rsid w:val="008635D9"/>
    <w:rsid w:val="0086468B"/>
    <w:rsid w:val="00865814"/>
    <w:rsid w:val="00865B61"/>
    <w:rsid w:val="008660A3"/>
    <w:rsid w:val="0086667E"/>
    <w:rsid w:val="00866A37"/>
    <w:rsid w:val="0087169B"/>
    <w:rsid w:val="00872A78"/>
    <w:rsid w:val="00872B27"/>
    <w:rsid w:val="00873EBC"/>
    <w:rsid w:val="00874CDA"/>
    <w:rsid w:val="0087526E"/>
    <w:rsid w:val="00876688"/>
    <w:rsid w:val="008804F3"/>
    <w:rsid w:val="00880C34"/>
    <w:rsid w:val="0088142E"/>
    <w:rsid w:val="008827D2"/>
    <w:rsid w:val="008855F5"/>
    <w:rsid w:val="00886218"/>
    <w:rsid w:val="00890100"/>
    <w:rsid w:val="008901BE"/>
    <w:rsid w:val="008915EA"/>
    <w:rsid w:val="00891E15"/>
    <w:rsid w:val="00891FB3"/>
    <w:rsid w:val="00892784"/>
    <w:rsid w:val="008927BF"/>
    <w:rsid w:val="008947F8"/>
    <w:rsid w:val="008A149F"/>
    <w:rsid w:val="008A2D3F"/>
    <w:rsid w:val="008A3F18"/>
    <w:rsid w:val="008A5483"/>
    <w:rsid w:val="008A76EF"/>
    <w:rsid w:val="008A7A38"/>
    <w:rsid w:val="008B0AC8"/>
    <w:rsid w:val="008B1C49"/>
    <w:rsid w:val="008B2CA9"/>
    <w:rsid w:val="008B357A"/>
    <w:rsid w:val="008B44AD"/>
    <w:rsid w:val="008B463E"/>
    <w:rsid w:val="008B4E80"/>
    <w:rsid w:val="008B594F"/>
    <w:rsid w:val="008B6B8C"/>
    <w:rsid w:val="008B7D42"/>
    <w:rsid w:val="008C19A6"/>
    <w:rsid w:val="008C1A7F"/>
    <w:rsid w:val="008C214E"/>
    <w:rsid w:val="008C2A26"/>
    <w:rsid w:val="008C3A28"/>
    <w:rsid w:val="008C4112"/>
    <w:rsid w:val="008C426E"/>
    <w:rsid w:val="008C4C04"/>
    <w:rsid w:val="008C5C53"/>
    <w:rsid w:val="008C7523"/>
    <w:rsid w:val="008D0A61"/>
    <w:rsid w:val="008D1F99"/>
    <w:rsid w:val="008D3346"/>
    <w:rsid w:val="008D3DDF"/>
    <w:rsid w:val="008D5EE5"/>
    <w:rsid w:val="008D74CF"/>
    <w:rsid w:val="008D7A59"/>
    <w:rsid w:val="008E0B81"/>
    <w:rsid w:val="008E19BD"/>
    <w:rsid w:val="008E1A37"/>
    <w:rsid w:val="008E1B11"/>
    <w:rsid w:val="008E2526"/>
    <w:rsid w:val="008E4A12"/>
    <w:rsid w:val="008E4BA7"/>
    <w:rsid w:val="008E599A"/>
    <w:rsid w:val="008E5BBE"/>
    <w:rsid w:val="008E653B"/>
    <w:rsid w:val="008E70C8"/>
    <w:rsid w:val="008E747C"/>
    <w:rsid w:val="008E79E6"/>
    <w:rsid w:val="008E7B40"/>
    <w:rsid w:val="008F106E"/>
    <w:rsid w:val="008F12E0"/>
    <w:rsid w:val="008F224A"/>
    <w:rsid w:val="008F22B2"/>
    <w:rsid w:val="008F54F1"/>
    <w:rsid w:val="008F55E2"/>
    <w:rsid w:val="008F7828"/>
    <w:rsid w:val="008F79A1"/>
    <w:rsid w:val="00900D4D"/>
    <w:rsid w:val="00900ED6"/>
    <w:rsid w:val="00900FAB"/>
    <w:rsid w:val="00901CA8"/>
    <w:rsid w:val="00901F3C"/>
    <w:rsid w:val="00901F84"/>
    <w:rsid w:val="0090388E"/>
    <w:rsid w:val="00904474"/>
    <w:rsid w:val="009048B8"/>
    <w:rsid w:val="00904D8A"/>
    <w:rsid w:val="00904EFB"/>
    <w:rsid w:val="0090606B"/>
    <w:rsid w:val="00906E20"/>
    <w:rsid w:val="009076DE"/>
    <w:rsid w:val="00910C08"/>
    <w:rsid w:val="00912BB0"/>
    <w:rsid w:val="00913AEB"/>
    <w:rsid w:val="00913DC3"/>
    <w:rsid w:val="00913EB2"/>
    <w:rsid w:val="00914220"/>
    <w:rsid w:val="00916186"/>
    <w:rsid w:val="0091675F"/>
    <w:rsid w:val="0091772E"/>
    <w:rsid w:val="00920439"/>
    <w:rsid w:val="0092060E"/>
    <w:rsid w:val="00920A3A"/>
    <w:rsid w:val="00920C4B"/>
    <w:rsid w:val="0092139C"/>
    <w:rsid w:val="0092141E"/>
    <w:rsid w:val="00921489"/>
    <w:rsid w:val="009219DE"/>
    <w:rsid w:val="00921C73"/>
    <w:rsid w:val="0092286A"/>
    <w:rsid w:val="0092287F"/>
    <w:rsid w:val="00922E85"/>
    <w:rsid w:val="009252DD"/>
    <w:rsid w:val="009253F1"/>
    <w:rsid w:val="009277BA"/>
    <w:rsid w:val="00927B26"/>
    <w:rsid w:val="00927B74"/>
    <w:rsid w:val="0093036B"/>
    <w:rsid w:val="00931901"/>
    <w:rsid w:val="00932DE9"/>
    <w:rsid w:val="0093380B"/>
    <w:rsid w:val="00933AAA"/>
    <w:rsid w:val="00933CE4"/>
    <w:rsid w:val="00933D86"/>
    <w:rsid w:val="0093496F"/>
    <w:rsid w:val="00935831"/>
    <w:rsid w:val="00935F19"/>
    <w:rsid w:val="00935F74"/>
    <w:rsid w:val="00936780"/>
    <w:rsid w:val="0093711D"/>
    <w:rsid w:val="00937890"/>
    <w:rsid w:val="00937F12"/>
    <w:rsid w:val="00937F6A"/>
    <w:rsid w:val="0094073D"/>
    <w:rsid w:val="00940AF6"/>
    <w:rsid w:val="009419E9"/>
    <w:rsid w:val="009425F8"/>
    <w:rsid w:val="00944CD3"/>
    <w:rsid w:val="009452B4"/>
    <w:rsid w:val="0094534F"/>
    <w:rsid w:val="0094564A"/>
    <w:rsid w:val="00945BD9"/>
    <w:rsid w:val="00946464"/>
    <w:rsid w:val="009472A1"/>
    <w:rsid w:val="00947E1B"/>
    <w:rsid w:val="00950FEA"/>
    <w:rsid w:val="0095282B"/>
    <w:rsid w:val="0095393B"/>
    <w:rsid w:val="009542E7"/>
    <w:rsid w:val="00954DC4"/>
    <w:rsid w:val="00955D9D"/>
    <w:rsid w:val="00955F43"/>
    <w:rsid w:val="00956F2B"/>
    <w:rsid w:val="00957C04"/>
    <w:rsid w:val="0096302F"/>
    <w:rsid w:val="0096303B"/>
    <w:rsid w:val="0096409E"/>
    <w:rsid w:val="00964AC2"/>
    <w:rsid w:val="0096516C"/>
    <w:rsid w:val="009652E8"/>
    <w:rsid w:val="00965B4D"/>
    <w:rsid w:val="00965B4F"/>
    <w:rsid w:val="0096670D"/>
    <w:rsid w:val="0096729F"/>
    <w:rsid w:val="0096789D"/>
    <w:rsid w:val="00967EA1"/>
    <w:rsid w:val="0097027E"/>
    <w:rsid w:val="00971481"/>
    <w:rsid w:val="00971A25"/>
    <w:rsid w:val="00971AA4"/>
    <w:rsid w:val="009728FD"/>
    <w:rsid w:val="00972C3E"/>
    <w:rsid w:val="00972FC9"/>
    <w:rsid w:val="00974151"/>
    <w:rsid w:val="00974B4E"/>
    <w:rsid w:val="00974C46"/>
    <w:rsid w:val="00977486"/>
    <w:rsid w:val="009779D8"/>
    <w:rsid w:val="00977CF2"/>
    <w:rsid w:val="00977D96"/>
    <w:rsid w:val="00980374"/>
    <w:rsid w:val="00980424"/>
    <w:rsid w:val="009805F0"/>
    <w:rsid w:val="00982339"/>
    <w:rsid w:val="0098367F"/>
    <w:rsid w:val="00983B6D"/>
    <w:rsid w:val="00985DD0"/>
    <w:rsid w:val="00986516"/>
    <w:rsid w:val="009865E3"/>
    <w:rsid w:val="00986695"/>
    <w:rsid w:val="009866C3"/>
    <w:rsid w:val="00986B9E"/>
    <w:rsid w:val="00986EBE"/>
    <w:rsid w:val="009904DA"/>
    <w:rsid w:val="00990EE5"/>
    <w:rsid w:val="009919A9"/>
    <w:rsid w:val="009931E0"/>
    <w:rsid w:val="00994DCC"/>
    <w:rsid w:val="00996534"/>
    <w:rsid w:val="009A06A1"/>
    <w:rsid w:val="009A2841"/>
    <w:rsid w:val="009A44E2"/>
    <w:rsid w:val="009A46EE"/>
    <w:rsid w:val="009A4BDB"/>
    <w:rsid w:val="009A530D"/>
    <w:rsid w:val="009A54FD"/>
    <w:rsid w:val="009A57BC"/>
    <w:rsid w:val="009A65D9"/>
    <w:rsid w:val="009A7000"/>
    <w:rsid w:val="009A7758"/>
    <w:rsid w:val="009A7D3A"/>
    <w:rsid w:val="009B0695"/>
    <w:rsid w:val="009B0841"/>
    <w:rsid w:val="009B0E6C"/>
    <w:rsid w:val="009B1ADA"/>
    <w:rsid w:val="009B20B6"/>
    <w:rsid w:val="009B2896"/>
    <w:rsid w:val="009B397A"/>
    <w:rsid w:val="009B3F5E"/>
    <w:rsid w:val="009B473E"/>
    <w:rsid w:val="009B5985"/>
    <w:rsid w:val="009B5F7C"/>
    <w:rsid w:val="009B6346"/>
    <w:rsid w:val="009B73E2"/>
    <w:rsid w:val="009C0A46"/>
    <w:rsid w:val="009C1C0D"/>
    <w:rsid w:val="009C207D"/>
    <w:rsid w:val="009C22AF"/>
    <w:rsid w:val="009C2CDC"/>
    <w:rsid w:val="009C382D"/>
    <w:rsid w:val="009C4269"/>
    <w:rsid w:val="009C4389"/>
    <w:rsid w:val="009C51FC"/>
    <w:rsid w:val="009C653D"/>
    <w:rsid w:val="009C70E7"/>
    <w:rsid w:val="009D060B"/>
    <w:rsid w:val="009D0EC8"/>
    <w:rsid w:val="009D1D48"/>
    <w:rsid w:val="009D2A4D"/>
    <w:rsid w:val="009D5AE4"/>
    <w:rsid w:val="009D5DE2"/>
    <w:rsid w:val="009D606F"/>
    <w:rsid w:val="009D72F7"/>
    <w:rsid w:val="009E2D47"/>
    <w:rsid w:val="009E30BA"/>
    <w:rsid w:val="009E3A06"/>
    <w:rsid w:val="009E4B12"/>
    <w:rsid w:val="009E50F1"/>
    <w:rsid w:val="009E66F4"/>
    <w:rsid w:val="009E688A"/>
    <w:rsid w:val="009E7D91"/>
    <w:rsid w:val="009F02FC"/>
    <w:rsid w:val="009F0FD6"/>
    <w:rsid w:val="009F107D"/>
    <w:rsid w:val="009F1147"/>
    <w:rsid w:val="009F12AB"/>
    <w:rsid w:val="009F4293"/>
    <w:rsid w:val="009F4524"/>
    <w:rsid w:val="009F4B81"/>
    <w:rsid w:val="009F71D3"/>
    <w:rsid w:val="00A0013D"/>
    <w:rsid w:val="00A002F3"/>
    <w:rsid w:val="00A00F95"/>
    <w:rsid w:val="00A032CD"/>
    <w:rsid w:val="00A03EAD"/>
    <w:rsid w:val="00A056F4"/>
    <w:rsid w:val="00A06865"/>
    <w:rsid w:val="00A06B87"/>
    <w:rsid w:val="00A06DC6"/>
    <w:rsid w:val="00A07EF9"/>
    <w:rsid w:val="00A101C4"/>
    <w:rsid w:val="00A10B3F"/>
    <w:rsid w:val="00A10C9F"/>
    <w:rsid w:val="00A120EC"/>
    <w:rsid w:val="00A12C95"/>
    <w:rsid w:val="00A12F93"/>
    <w:rsid w:val="00A13373"/>
    <w:rsid w:val="00A138EB"/>
    <w:rsid w:val="00A13B8A"/>
    <w:rsid w:val="00A14328"/>
    <w:rsid w:val="00A1728A"/>
    <w:rsid w:val="00A1734D"/>
    <w:rsid w:val="00A1747D"/>
    <w:rsid w:val="00A216C3"/>
    <w:rsid w:val="00A21A26"/>
    <w:rsid w:val="00A23827"/>
    <w:rsid w:val="00A23E61"/>
    <w:rsid w:val="00A2427A"/>
    <w:rsid w:val="00A260CC"/>
    <w:rsid w:val="00A26585"/>
    <w:rsid w:val="00A266BA"/>
    <w:rsid w:val="00A26F8C"/>
    <w:rsid w:val="00A3038F"/>
    <w:rsid w:val="00A306F1"/>
    <w:rsid w:val="00A309DD"/>
    <w:rsid w:val="00A3120A"/>
    <w:rsid w:val="00A31327"/>
    <w:rsid w:val="00A319D7"/>
    <w:rsid w:val="00A31F69"/>
    <w:rsid w:val="00A32F5D"/>
    <w:rsid w:val="00A3386B"/>
    <w:rsid w:val="00A33DDA"/>
    <w:rsid w:val="00A35457"/>
    <w:rsid w:val="00A3697E"/>
    <w:rsid w:val="00A36995"/>
    <w:rsid w:val="00A376AB"/>
    <w:rsid w:val="00A4085B"/>
    <w:rsid w:val="00A425E4"/>
    <w:rsid w:val="00A42B9D"/>
    <w:rsid w:val="00A42D25"/>
    <w:rsid w:val="00A42F62"/>
    <w:rsid w:val="00A44D64"/>
    <w:rsid w:val="00A457AC"/>
    <w:rsid w:val="00A461EC"/>
    <w:rsid w:val="00A47F13"/>
    <w:rsid w:val="00A50481"/>
    <w:rsid w:val="00A51E72"/>
    <w:rsid w:val="00A5231D"/>
    <w:rsid w:val="00A5431F"/>
    <w:rsid w:val="00A56421"/>
    <w:rsid w:val="00A5779E"/>
    <w:rsid w:val="00A57F8D"/>
    <w:rsid w:val="00A60EAB"/>
    <w:rsid w:val="00A616C9"/>
    <w:rsid w:val="00A617E6"/>
    <w:rsid w:val="00A61AB2"/>
    <w:rsid w:val="00A62C81"/>
    <w:rsid w:val="00A6348D"/>
    <w:rsid w:val="00A63A3C"/>
    <w:rsid w:val="00A6416E"/>
    <w:rsid w:val="00A64467"/>
    <w:rsid w:val="00A64EE9"/>
    <w:rsid w:val="00A654B3"/>
    <w:rsid w:val="00A66D15"/>
    <w:rsid w:val="00A67517"/>
    <w:rsid w:val="00A67709"/>
    <w:rsid w:val="00A67A4A"/>
    <w:rsid w:val="00A67F8A"/>
    <w:rsid w:val="00A70DE5"/>
    <w:rsid w:val="00A716C5"/>
    <w:rsid w:val="00A718EC"/>
    <w:rsid w:val="00A71B15"/>
    <w:rsid w:val="00A72BC8"/>
    <w:rsid w:val="00A73823"/>
    <w:rsid w:val="00A74FF7"/>
    <w:rsid w:val="00A764C8"/>
    <w:rsid w:val="00A76680"/>
    <w:rsid w:val="00A76DB0"/>
    <w:rsid w:val="00A76F8D"/>
    <w:rsid w:val="00A7753A"/>
    <w:rsid w:val="00A8002E"/>
    <w:rsid w:val="00A800A2"/>
    <w:rsid w:val="00A812A0"/>
    <w:rsid w:val="00A81F04"/>
    <w:rsid w:val="00A8231D"/>
    <w:rsid w:val="00A8259C"/>
    <w:rsid w:val="00A8453E"/>
    <w:rsid w:val="00A846C3"/>
    <w:rsid w:val="00A848B9"/>
    <w:rsid w:val="00A85451"/>
    <w:rsid w:val="00A860CC"/>
    <w:rsid w:val="00A8637F"/>
    <w:rsid w:val="00A878D2"/>
    <w:rsid w:val="00A87AED"/>
    <w:rsid w:val="00A9006C"/>
    <w:rsid w:val="00A90330"/>
    <w:rsid w:val="00A90571"/>
    <w:rsid w:val="00A90C51"/>
    <w:rsid w:val="00A91F64"/>
    <w:rsid w:val="00A92909"/>
    <w:rsid w:val="00A93786"/>
    <w:rsid w:val="00A948D5"/>
    <w:rsid w:val="00A95876"/>
    <w:rsid w:val="00A95955"/>
    <w:rsid w:val="00A95C4F"/>
    <w:rsid w:val="00A95DB5"/>
    <w:rsid w:val="00A97A67"/>
    <w:rsid w:val="00AA0DA5"/>
    <w:rsid w:val="00AA1508"/>
    <w:rsid w:val="00AA1766"/>
    <w:rsid w:val="00AA17EA"/>
    <w:rsid w:val="00AA1DC7"/>
    <w:rsid w:val="00AA3175"/>
    <w:rsid w:val="00AA33D0"/>
    <w:rsid w:val="00AA442B"/>
    <w:rsid w:val="00AA49FC"/>
    <w:rsid w:val="00AA58AB"/>
    <w:rsid w:val="00AA5A7E"/>
    <w:rsid w:val="00AA64B0"/>
    <w:rsid w:val="00AA6806"/>
    <w:rsid w:val="00AA6E50"/>
    <w:rsid w:val="00AB03B4"/>
    <w:rsid w:val="00AB09B2"/>
    <w:rsid w:val="00AB0C4C"/>
    <w:rsid w:val="00AB0E91"/>
    <w:rsid w:val="00AB199E"/>
    <w:rsid w:val="00AB1B90"/>
    <w:rsid w:val="00AB20D5"/>
    <w:rsid w:val="00AB2A63"/>
    <w:rsid w:val="00AB396F"/>
    <w:rsid w:val="00AB4383"/>
    <w:rsid w:val="00AB47A3"/>
    <w:rsid w:val="00AB48EA"/>
    <w:rsid w:val="00AB61DF"/>
    <w:rsid w:val="00AB64D9"/>
    <w:rsid w:val="00AB7A1E"/>
    <w:rsid w:val="00AC0DA4"/>
    <w:rsid w:val="00AC39BC"/>
    <w:rsid w:val="00AC4043"/>
    <w:rsid w:val="00AC5933"/>
    <w:rsid w:val="00AC6D06"/>
    <w:rsid w:val="00AC6DE9"/>
    <w:rsid w:val="00AC7002"/>
    <w:rsid w:val="00AD0B33"/>
    <w:rsid w:val="00AD12F1"/>
    <w:rsid w:val="00AD332A"/>
    <w:rsid w:val="00AD5896"/>
    <w:rsid w:val="00AD63BC"/>
    <w:rsid w:val="00AD6578"/>
    <w:rsid w:val="00AD70EC"/>
    <w:rsid w:val="00AE085A"/>
    <w:rsid w:val="00AE1E87"/>
    <w:rsid w:val="00AE21E0"/>
    <w:rsid w:val="00AE2BF4"/>
    <w:rsid w:val="00AE59E8"/>
    <w:rsid w:val="00AE76D5"/>
    <w:rsid w:val="00AE777B"/>
    <w:rsid w:val="00AE7B56"/>
    <w:rsid w:val="00AF1AEA"/>
    <w:rsid w:val="00AF1B8C"/>
    <w:rsid w:val="00AF32B8"/>
    <w:rsid w:val="00AF35B7"/>
    <w:rsid w:val="00AF572E"/>
    <w:rsid w:val="00AF619D"/>
    <w:rsid w:val="00AF686E"/>
    <w:rsid w:val="00AF6EAF"/>
    <w:rsid w:val="00AF6EDB"/>
    <w:rsid w:val="00AF76F7"/>
    <w:rsid w:val="00AF79E5"/>
    <w:rsid w:val="00B00142"/>
    <w:rsid w:val="00B0110A"/>
    <w:rsid w:val="00B0187C"/>
    <w:rsid w:val="00B02911"/>
    <w:rsid w:val="00B033E4"/>
    <w:rsid w:val="00B05391"/>
    <w:rsid w:val="00B059F5"/>
    <w:rsid w:val="00B05BD3"/>
    <w:rsid w:val="00B071D9"/>
    <w:rsid w:val="00B07389"/>
    <w:rsid w:val="00B07819"/>
    <w:rsid w:val="00B10C27"/>
    <w:rsid w:val="00B12861"/>
    <w:rsid w:val="00B12FFC"/>
    <w:rsid w:val="00B13A4C"/>
    <w:rsid w:val="00B13ABE"/>
    <w:rsid w:val="00B1510E"/>
    <w:rsid w:val="00B15122"/>
    <w:rsid w:val="00B167DA"/>
    <w:rsid w:val="00B17F9E"/>
    <w:rsid w:val="00B2012A"/>
    <w:rsid w:val="00B205AC"/>
    <w:rsid w:val="00B20919"/>
    <w:rsid w:val="00B20D07"/>
    <w:rsid w:val="00B20D27"/>
    <w:rsid w:val="00B2275D"/>
    <w:rsid w:val="00B22BAD"/>
    <w:rsid w:val="00B24053"/>
    <w:rsid w:val="00B2447E"/>
    <w:rsid w:val="00B25957"/>
    <w:rsid w:val="00B25AC5"/>
    <w:rsid w:val="00B25AC6"/>
    <w:rsid w:val="00B26817"/>
    <w:rsid w:val="00B26998"/>
    <w:rsid w:val="00B26EB3"/>
    <w:rsid w:val="00B28114"/>
    <w:rsid w:val="00B305F1"/>
    <w:rsid w:val="00B3060A"/>
    <w:rsid w:val="00B316E3"/>
    <w:rsid w:val="00B33A95"/>
    <w:rsid w:val="00B35880"/>
    <w:rsid w:val="00B361D8"/>
    <w:rsid w:val="00B3715A"/>
    <w:rsid w:val="00B3747D"/>
    <w:rsid w:val="00B3777B"/>
    <w:rsid w:val="00B4071E"/>
    <w:rsid w:val="00B4198E"/>
    <w:rsid w:val="00B4274A"/>
    <w:rsid w:val="00B43613"/>
    <w:rsid w:val="00B43716"/>
    <w:rsid w:val="00B43836"/>
    <w:rsid w:val="00B43E57"/>
    <w:rsid w:val="00B4629F"/>
    <w:rsid w:val="00B468C9"/>
    <w:rsid w:val="00B46DBA"/>
    <w:rsid w:val="00B476F6"/>
    <w:rsid w:val="00B47851"/>
    <w:rsid w:val="00B47DFC"/>
    <w:rsid w:val="00B5265E"/>
    <w:rsid w:val="00B52E3D"/>
    <w:rsid w:val="00B52F61"/>
    <w:rsid w:val="00B549B2"/>
    <w:rsid w:val="00B559B9"/>
    <w:rsid w:val="00B55AD0"/>
    <w:rsid w:val="00B55DEC"/>
    <w:rsid w:val="00B57418"/>
    <w:rsid w:val="00B6028E"/>
    <w:rsid w:val="00B61761"/>
    <w:rsid w:val="00B61A61"/>
    <w:rsid w:val="00B6227C"/>
    <w:rsid w:val="00B62DB1"/>
    <w:rsid w:val="00B6385F"/>
    <w:rsid w:val="00B63882"/>
    <w:rsid w:val="00B646EA"/>
    <w:rsid w:val="00B64B1C"/>
    <w:rsid w:val="00B64BC1"/>
    <w:rsid w:val="00B6583C"/>
    <w:rsid w:val="00B66EDF"/>
    <w:rsid w:val="00B67B4C"/>
    <w:rsid w:val="00B67BFD"/>
    <w:rsid w:val="00B70C41"/>
    <w:rsid w:val="00B72AC7"/>
    <w:rsid w:val="00B73B99"/>
    <w:rsid w:val="00B75DB7"/>
    <w:rsid w:val="00B77F92"/>
    <w:rsid w:val="00B806C4"/>
    <w:rsid w:val="00B81A9D"/>
    <w:rsid w:val="00B8240D"/>
    <w:rsid w:val="00B82905"/>
    <w:rsid w:val="00B82C4E"/>
    <w:rsid w:val="00B84249"/>
    <w:rsid w:val="00B84FBB"/>
    <w:rsid w:val="00B8751D"/>
    <w:rsid w:val="00B90104"/>
    <w:rsid w:val="00B90676"/>
    <w:rsid w:val="00B912AC"/>
    <w:rsid w:val="00B91983"/>
    <w:rsid w:val="00B9229E"/>
    <w:rsid w:val="00B92F28"/>
    <w:rsid w:val="00B93927"/>
    <w:rsid w:val="00B93E3C"/>
    <w:rsid w:val="00B95288"/>
    <w:rsid w:val="00B95377"/>
    <w:rsid w:val="00B96117"/>
    <w:rsid w:val="00B96ED8"/>
    <w:rsid w:val="00BA0259"/>
    <w:rsid w:val="00BA0CDB"/>
    <w:rsid w:val="00BA19E9"/>
    <w:rsid w:val="00BA208E"/>
    <w:rsid w:val="00BA34A6"/>
    <w:rsid w:val="00BA3574"/>
    <w:rsid w:val="00BA4B71"/>
    <w:rsid w:val="00BA6309"/>
    <w:rsid w:val="00BA64E8"/>
    <w:rsid w:val="00BA6B43"/>
    <w:rsid w:val="00BA748C"/>
    <w:rsid w:val="00BA7586"/>
    <w:rsid w:val="00BA776C"/>
    <w:rsid w:val="00BB00B6"/>
    <w:rsid w:val="00BB0363"/>
    <w:rsid w:val="00BB101B"/>
    <w:rsid w:val="00BB11FA"/>
    <w:rsid w:val="00BB1228"/>
    <w:rsid w:val="00BB278B"/>
    <w:rsid w:val="00BB2F3A"/>
    <w:rsid w:val="00BB3190"/>
    <w:rsid w:val="00BB3E50"/>
    <w:rsid w:val="00BB6044"/>
    <w:rsid w:val="00BB75FA"/>
    <w:rsid w:val="00BB79A4"/>
    <w:rsid w:val="00BC1FD9"/>
    <w:rsid w:val="00BC2092"/>
    <w:rsid w:val="00BC26CE"/>
    <w:rsid w:val="00BC34C5"/>
    <w:rsid w:val="00BC3526"/>
    <w:rsid w:val="00BC4C75"/>
    <w:rsid w:val="00BC4C98"/>
    <w:rsid w:val="00BC4EBB"/>
    <w:rsid w:val="00BC50F6"/>
    <w:rsid w:val="00BC52B1"/>
    <w:rsid w:val="00BC5A19"/>
    <w:rsid w:val="00BC6B42"/>
    <w:rsid w:val="00BC729C"/>
    <w:rsid w:val="00BC796C"/>
    <w:rsid w:val="00BD0FE7"/>
    <w:rsid w:val="00BD3290"/>
    <w:rsid w:val="00BD3EBF"/>
    <w:rsid w:val="00BD4D5A"/>
    <w:rsid w:val="00BD56CC"/>
    <w:rsid w:val="00BD5EA3"/>
    <w:rsid w:val="00BD5F82"/>
    <w:rsid w:val="00BD6C3D"/>
    <w:rsid w:val="00BE0452"/>
    <w:rsid w:val="00BE09EE"/>
    <w:rsid w:val="00BE0A62"/>
    <w:rsid w:val="00BE143B"/>
    <w:rsid w:val="00BE2BD1"/>
    <w:rsid w:val="00BE2F47"/>
    <w:rsid w:val="00BE31EB"/>
    <w:rsid w:val="00BE35DB"/>
    <w:rsid w:val="00BE3CB4"/>
    <w:rsid w:val="00BE52A0"/>
    <w:rsid w:val="00BE7A5D"/>
    <w:rsid w:val="00BF2D47"/>
    <w:rsid w:val="00BF3276"/>
    <w:rsid w:val="00BF3590"/>
    <w:rsid w:val="00BF3CE1"/>
    <w:rsid w:val="00BF4F2A"/>
    <w:rsid w:val="00BF755D"/>
    <w:rsid w:val="00C03ACC"/>
    <w:rsid w:val="00C04D8D"/>
    <w:rsid w:val="00C06834"/>
    <w:rsid w:val="00C07685"/>
    <w:rsid w:val="00C07C01"/>
    <w:rsid w:val="00C07C4E"/>
    <w:rsid w:val="00C1189D"/>
    <w:rsid w:val="00C13442"/>
    <w:rsid w:val="00C1350D"/>
    <w:rsid w:val="00C135FA"/>
    <w:rsid w:val="00C15441"/>
    <w:rsid w:val="00C15FDE"/>
    <w:rsid w:val="00C16E91"/>
    <w:rsid w:val="00C20FD7"/>
    <w:rsid w:val="00C2161A"/>
    <w:rsid w:val="00C21AA8"/>
    <w:rsid w:val="00C21F47"/>
    <w:rsid w:val="00C2327A"/>
    <w:rsid w:val="00C23848"/>
    <w:rsid w:val="00C23C2B"/>
    <w:rsid w:val="00C24897"/>
    <w:rsid w:val="00C2496B"/>
    <w:rsid w:val="00C2596A"/>
    <w:rsid w:val="00C27E5D"/>
    <w:rsid w:val="00C30336"/>
    <w:rsid w:val="00C31A74"/>
    <w:rsid w:val="00C31D91"/>
    <w:rsid w:val="00C324AF"/>
    <w:rsid w:val="00C32A86"/>
    <w:rsid w:val="00C32D71"/>
    <w:rsid w:val="00C332C0"/>
    <w:rsid w:val="00C33D5D"/>
    <w:rsid w:val="00C35AE1"/>
    <w:rsid w:val="00C35C86"/>
    <w:rsid w:val="00C367AD"/>
    <w:rsid w:val="00C37E04"/>
    <w:rsid w:val="00C41B27"/>
    <w:rsid w:val="00C43149"/>
    <w:rsid w:val="00C431BE"/>
    <w:rsid w:val="00C45508"/>
    <w:rsid w:val="00C45778"/>
    <w:rsid w:val="00C466E2"/>
    <w:rsid w:val="00C46FF4"/>
    <w:rsid w:val="00C47D28"/>
    <w:rsid w:val="00C52021"/>
    <w:rsid w:val="00C52595"/>
    <w:rsid w:val="00C52D45"/>
    <w:rsid w:val="00C52F49"/>
    <w:rsid w:val="00C53279"/>
    <w:rsid w:val="00C539CE"/>
    <w:rsid w:val="00C54530"/>
    <w:rsid w:val="00C5664A"/>
    <w:rsid w:val="00C5667B"/>
    <w:rsid w:val="00C56B25"/>
    <w:rsid w:val="00C57E3B"/>
    <w:rsid w:val="00C607DF"/>
    <w:rsid w:val="00C60C3D"/>
    <w:rsid w:val="00C61BE2"/>
    <w:rsid w:val="00C61CE6"/>
    <w:rsid w:val="00C61E5A"/>
    <w:rsid w:val="00C61F61"/>
    <w:rsid w:val="00C62A79"/>
    <w:rsid w:val="00C64564"/>
    <w:rsid w:val="00C64E70"/>
    <w:rsid w:val="00C656A9"/>
    <w:rsid w:val="00C66FEC"/>
    <w:rsid w:val="00C70D2B"/>
    <w:rsid w:val="00C7180F"/>
    <w:rsid w:val="00C71976"/>
    <w:rsid w:val="00C71ADD"/>
    <w:rsid w:val="00C72AC1"/>
    <w:rsid w:val="00C72EED"/>
    <w:rsid w:val="00C73409"/>
    <w:rsid w:val="00C73838"/>
    <w:rsid w:val="00C740F9"/>
    <w:rsid w:val="00C74511"/>
    <w:rsid w:val="00C76BA6"/>
    <w:rsid w:val="00C80666"/>
    <w:rsid w:val="00C809D8"/>
    <w:rsid w:val="00C81563"/>
    <w:rsid w:val="00C81B8E"/>
    <w:rsid w:val="00C82B10"/>
    <w:rsid w:val="00C83B8D"/>
    <w:rsid w:val="00C8599E"/>
    <w:rsid w:val="00C86852"/>
    <w:rsid w:val="00C87B78"/>
    <w:rsid w:val="00C90CDF"/>
    <w:rsid w:val="00C939B3"/>
    <w:rsid w:val="00C94691"/>
    <w:rsid w:val="00C949CF"/>
    <w:rsid w:val="00C973D7"/>
    <w:rsid w:val="00C97CB6"/>
    <w:rsid w:val="00C97EE6"/>
    <w:rsid w:val="00CA12AE"/>
    <w:rsid w:val="00CA30E1"/>
    <w:rsid w:val="00CA35DC"/>
    <w:rsid w:val="00CA365B"/>
    <w:rsid w:val="00CA3D3D"/>
    <w:rsid w:val="00CA416F"/>
    <w:rsid w:val="00CA4F92"/>
    <w:rsid w:val="00CA6EC7"/>
    <w:rsid w:val="00CB0D0D"/>
    <w:rsid w:val="00CB15EF"/>
    <w:rsid w:val="00CB1A49"/>
    <w:rsid w:val="00CB322F"/>
    <w:rsid w:val="00CB3256"/>
    <w:rsid w:val="00CB4257"/>
    <w:rsid w:val="00CB4B72"/>
    <w:rsid w:val="00CB5408"/>
    <w:rsid w:val="00CB54B7"/>
    <w:rsid w:val="00CB604B"/>
    <w:rsid w:val="00CC0058"/>
    <w:rsid w:val="00CC01CB"/>
    <w:rsid w:val="00CC087A"/>
    <w:rsid w:val="00CC0DA6"/>
    <w:rsid w:val="00CC1066"/>
    <w:rsid w:val="00CC1943"/>
    <w:rsid w:val="00CC2498"/>
    <w:rsid w:val="00CC3208"/>
    <w:rsid w:val="00CC345D"/>
    <w:rsid w:val="00CC3930"/>
    <w:rsid w:val="00CC4E72"/>
    <w:rsid w:val="00CC75C6"/>
    <w:rsid w:val="00CC7DDE"/>
    <w:rsid w:val="00CC7FB6"/>
    <w:rsid w:val="00CD0A90"/>
    <w:rsid w:val="00CD0E2E"/>
    <w:rsid w:val="00CD16C9"/>
    <w:rsid w:val="00CD218D"/>
    <w:rsid w:val="00CD5466"/>
    <w:rsid w:val="00CD5915"/>
    <w:rsid w:val="00CE0CF5"/>
    <w:rsid w:val="00CE1F10"/>
    <w:rsid w:val="00CE2F96"/>
    <w:rsid w:val="00CE4C6B"/>
    <w:rsid w:val="00CE505C"/>
    <w:rsid w:val="00CE6895"/>
    <w:rsid w:val="00CE7D4D"/>
    <w:rsid w:val="00CF0036"/>
    <w:rsid w:val="00CF0086"/>
    <w:rsid w:val="00CF03FD"/>
    <w:rsid w:val="00CF0BBE"/>
    <w:rsid w:val="00CF1111"/>
    <w:rsid w:val="00CF12C2"/>
    <w:rsid w:val="00CF1D58"/>
    <w:rsid w:val="00CF23AE"/>
    <w:rsid w:val="00CF3DE4"/>
    <w:rsid w:val="00CF45D6"/>
    <w:rsid w:val="00CF5B3B"/>
    <w:rsid w:val="00CF5FFC"/>
    <w:rsid w:val="00CF6051"/>
    <w:rsid w:val="00D00CB6"/>
    <w:rsid w:val="00D017C3"/>
    <w:rsid w:val="00D0217B"/>
    <w:rsid w:val="00D024EB"/>
    <w:rsid w:val="00D03395"/>
    <w:rsid w:val="00D03C25"/>
    <w:rsid w:val="00D04CEC"/>
    <w:rsid w:val="00D04D09"/>
    <w:rsid w:val="00D10774"/>
    <w:rsid w:val="00D13A8F"/>
    <w:rsid w:val="00D17BAF"/>
    <w:rsid w:val="00D20D08"/>
    <w:rsid w:val="00D2299B"/>
    <w:rsid w:val="00D2331A"/>
    <w:rsid w:val="00D23AB9"/>
    <w:rsid w:val="00D2465C"/>
    <w:rsid w:val="00D251BE"/>
    <w:rsid w:val="00D26708"/>
    <w:rsid w:val="00D276B4"/>
    <w:rsid w:val="00D276E2"/>
    <w:rsid w:val="00D27C4E"/>
    <w:rsid w:val="00D307C8"/>
    <w:rsid w:val="00D33181"/>
    <w:rsid w:val="00D33A7C"/>
    <w:rsid w:val="00D365F8"/>
    <w:rsid w:val="00D37B35"/>
    <w:rsid w:val="00D407C5"/>
    <w:rsid w:val="00D40FC1"/>
    <w:rsid w:val="00D4144F"/>
    <w:rsid w:val="00D421ED"/>
    <w:rsid w:val="00D4324F"/>
    <w:rsid w:val="00D4355E"/>
    <w:rsid w:val="00D445AF"/>
    <w:rsid w:val="00D45991"/>
    <w:rsid w:val="00D4657D"/>
    <w:rsid w:val="00D466D8"/>
    <w:rsid w:val="00D46DAC"/>
    <w:rsid w:val="00D47181"/>
    <w:rsid w:val="00D50422"/>
    <w:rsid w:val="00D50DAE"/>
    <w:rsid w:val="00D50F28"/>
    <w:rsid w:val="00D51B19"/>
    <w:rsid w:val="00D5372E"/>
    <w:rsid w:val="00D54AD7"/>
    <w:rsid w:val="00D56881"/>
    <w:rsid w:val="00D570DA"/>
    <w:rsid w:val="00D5769A"/>
    <w:rsid w:val="00D57AF8"/>
    <w:rsid w:val="00D6478F"/>
    <w:rsid w:val="00D65A00"/>
    <w:rsid w:val="00D6685C"/>
    <w:rsid w:val="00D66FCC"/>
    <w:rsid w:val="00D71606"/>
    <w:rsid w:val="00D72607"/>
    <w:rsid w:val="00D72B80"/>
    <w:rsid w:val="00D72EF0"/>
    <w:rsid w:val="00D72F06"/>
    <w:rsid w:val="00D738EA"/>
    <w:rsid w:val="00D75880"/>
    <w:rsid w:val="00D76AF3"/>
    <w:rsid w:val="00D8029D"/>
    <w:rsid w:val="00D809AC"/>
    <w:rsid w:val="00D81688"/>
    <w:rsid w:val="00D82704"/>
    <w:rsid w:val="00D832C2"/>
    <w:rsid w:val="00D841EB"/>
    <w:rsid w:val="00D865D8"/>
    <w:rsid w:val="00D86A63"/>
    <w:rsid w:val="00D86ACE"/>
    <w:rsid w:val="00D86FD1"/>
    <w:rsid w:val="00D87931"/>
    <w:rsid w:val="00D907E6"/>
    <w:rsid w:val="00D90844"/>
    <w:rsid w:val="00D9168A"/>
    <w:rsid w:val="00D917D2"/>
    <w:rsid w:val="00D91932"/>
    <w:rsid w:val="00D91F97"/>
    <w:rsid w:val="00D966FB"/>
    <w:rsid w:val="00D967B9"/>
    <w:rsid w:val="00D96A48"/>
    <w:rsid w:val="00D96AE5"/>
    <w:rsid w:val="00D96C20"/>
    <w:rsid w:val="00D96EF5"/>
    <w:rsid w:val="00D97121"/>
    <w:rsid w:val="00D979E5"/>
    <w:rsid w:val="00DA1BAC"/>
    <w:rsid w:val="00DA2020"/>
    <w:rsid w:val="00DA2630"/>
    <w:rsid w:val="00DA306E"/>
    <w:rsid w:val="00DA35CE"/>
    <w:rsid w:val="00DA3D9A"/>
    <w:rsid w:val="00DA46FB"/>
    <w:rsid w:val="00DA48AF"/>
    <w:rsid w:val="00DA5560"/>
    <w:rsid w:val="00DA677B"/>
    <w:rsid w:val="00DA7653"/>
    <w:rsid w:val="00DB1D25"/>
    <w:rsid w:val="00DB23E9"/>
    <w:rsid w:val="00DB391D"/>
    <w:rsid w:val="00DB43F3"/>
    <w:rsid w:val="00DB4E12"/>
    <w:rsid w:val="00DB5130"/>
    <w:rsid w:val="00DC0157"/>
    <w:rsid w:val="00DC06E1"/>
    <w:rsid w:val="00DC0B18"/>
    <w:rsid w:val="00DC0BCB"/>
    <w:rsid w:val="00DC0DDC"/>
    <w:rsid w:val="00DC1133"/>
    <w:rsid w:val="00DC2104"/>
    <w:rsid w:val="00DC2829"/>
    <w:rsid w:val="00DC3B0A"/>
    <w:rsid w:val="00DC588F"/>
    <w:rsid w:val="00DC62AB"/>
    <w:rsid w:val="00DC643A"/>
    <w:rsid w:val="00DC6DB5"/>
    <w:rsid w:val="00DC78A4"/>
    <w:rsid w:val="00DD0D29"/>
    <w:rsid w:val="00DD1458"/>
    <w:rsid w:val="00DD1A5C"/>
    <w:rsid w:val="00DD2031"/>
    <w:rsid w:val="00DD2895"/>
    <w:rsid w:val="00DD32EF"/>
    <w:rsid w:val="00DD3F89"/>
    <w:rsid w:val="00DD4D64"/>
    <w:rsid w:val="00DD57F9"/>
    <w:rsid w:val="00DD7777"/>
    <w:rsid w:val="00DE07CD"/>
    <w:rsid w:val="00DE0ACE"/>
    <w:rsid w:val="00DE1FFF"/>
    <w:rsid w:val="00DE324B"/>
    <w:rsid w:val="00DE36EE"/>
    <w:rsid w:val="00DE72C4"/>
    <w:rsid w:val="00DE7949"/>
    <w:rsid w:val="00DE7C56"/>
    <w:rsid w:val="00DE7D04"/>
    <w:rsid w:val="00DF3F29"/>
    <w:rsid w:val="00DF4DB6"/>
    <w:rsid w:val="00DF51D2"/>
    <w:rsid w:val="00DF6B7F"/>
    <w:rsid w:val="00E010EE"/>
    <w:rsid w:val="00E01EE8"/>
    <w:rsid w:val="00E0254D"/>
    <w:rsid w:val="00E031E4"/>
    <w:rsid w:val="00E033BF"/>
    <w:rsid w:val="00E03466"/>
    <w:rsid w:val="00E06082"/>
    <w:rsid w:val="00E06172"/>
    <w:rsid w:val="00E06596"/>
    <w:rsid w:val="00E0743A"/>
    <w:rsid w:val="00E075CB"/>
    <w:rsid w:val="00E076BB"/>
    <w:rsid w:val="00E07C9D"/>
    <w:rsid w:val="00E105E3"/>
    <w:rsid w:val="00E11D54"/>
    <w:rsid w:val="00E11E73"/>
    <w:rsid w:val="00E123EA"/>
    <w:rsid w:val="00E124A7"/>
    <w:rsid w:val="00E12D45"/>
    <w:rsid w:val="00E13D12"/>
    <w:rsid w:val="00E1485E"/>
    <w:rsid w:val="00E15BB1"/>
    <w:rsid w:val="00E179A5"/>
    <w:rsid w:val="00E21814"/>
    <w:rsid w:val="00E21C1A"/>
    <w:rsid w:val="00E21FC8"/>
    <w:rsid w:val="00E2362B"/>
    <w:rsid w:val="00E24835"/>
    <w:rsid w:val="00E255F7"/>
    <w:rsid w:val="00E26A69"/>
    <w:rsid w:val="00E26DDA"/>
    <w:rsid w:val="00E27AC1"/>
    <w:rsid w:val="00E27D11"/>
    <w:rsid w:val="00E30191"/>
    <w:rsid w:val="00E30592"/>
    <w:rsid w:val="00E32110"/>
    <w:rsid w:val="00E32DF4"/>
    <w:rsid w:val="00E33118"/>
    <w:rsid w:val="00E41E24"/>
    <w:rsid w:val="00E427C7"/>
    <w:rsid w:val="00E43290"/>
    <w:rsid w:val="00E443C0"/>
    <w:rsid w:val="00E446E8"/>
    <w:rsid w:val="00E4520A"/>
    <w:rsid w:val="00E452D9"/>
    <w:rsid w:val="00E45545"/>
    <w:rsid w:val="00E455FC"/>
    <w:rsid w:val="00E477C6"/>
    <w:rsid w:val="00E478B6"/>
    <w:rsid w:val="00E478D6"/>
    <w:rsid w:val="00E541BB"/>
    <w:rsid w:val="00E56753"/>
    <w:rsid w:val="00E56F99"/>
    <w:rsid w:val="00E60C3D"/>
    <w:rsid w:val="00E60DAC"/>
    <w:rsid w:val="00E60F7F"/>
    <w:rsid w:val="00E610A5"/>
    <w:rsid w:val="00E6132F"/>
    <w:rsid w:val="00E62AE7"/>
    <w:rsid w:val="00E632B9"/>
    <w:rsid w:val="00E63847"/>
    <w:rsid w:val="00E64357"/>
    <w:rsid w:val="00E65356"/>
    <w:rsid w:val="00E6545F"/>
    <w:rsid w:val="00E66381"/>
    <w:rsid w:val="00E66A79"/>
    <w:rsid w:val="00E66FA7"/>
    <w:rsid w:val="00E67BE3"/>
    <w:rsid w:val="00E67F06"/>
    <w:rsid w:val="00E713DD"/>
    <w:rsid w:val="00E74933"/>
    <w:rsid w:val="00E752DC"/>
    <w:rsid w:val="00E7673B"/>
    <w:rsid w:val="00E772D2"/>
    <w:rsid w:val="00E77A00"/>
    <w:rsid w:val="00E805EA"/>
    <w:rsid w:val="00E81AE4"/>
    <w:rsid w:val="00E853EE"/>
    <w:rsid w:val="00E86422"/>
    <w:rsid w:val="00E8677E"/>
    <w:rsid w:val="00E87891"/>
    <w:rsid w:val="00E902F9"/>
    <w:rsid w:val="00E9381D"/>
    <w:rsid w:val="00E96171"/>
    <w:rsid w:val="00EA0A42"/>
    <w:rsid w:val="00EA0D72"/>
    <w:rsid w:val="00EA21A8"/>
    <w:rsid w:val="00EA232B"/>
    <w:rsid w:val="00EA2992"/>
    <w:rsid w:val="00EA2E48"/>
    <w:rsid w:val="00EA3074"/>
    <w:rsid w:val="00EA3A48"/>
    <w:rsid w:val="00EA5304"/>
    <w:rsid w:val="00EA6425"/>
    <w:rsid w:val="00EA7093"/>
    <w:rsid w:val="00EA7D54"/>
    <w:rsid w:val="00EB11A4"/>
    <w:rsid w:val="00EB1246"/>
    <w:rsid w:val="00EB244B"/>
    <w:rsid w:val="00EB2A02"/>
    <w:rsid w:val="00EB3B3A"/>
    <w:rsid w:val="00EB508E"/>
    <w:rsid w:val="00EB675C"/>
    <w:rsid w:val="00EB6CCD"/>
    <w:rsid w:val="00EC010C"/>
    <w:rsid w:val="00EC0536"/>
    <w:rsid w:val="00EC0700"/>
    <w:rsid w:val="00EC0E1D"/>
    <w:rsid w:val="00EC3B27"/>
    <w:rsid w:val="00EC45ED"/>
    <w:rsid w:val="00EC56E1"/>
    <w:rsid w:val="00EC7B13"/>
    <w:rsid w:val="00ED0499"/>
    <w:rsid w:val="00ED0908"/>
    <w:rsid w:val="00ED0A78"/>
    <w:rsid w:val="00ED0FFF"/>
    <w:rsid w:val="00ED1BEE"/>
    <w:rsid w:val="00ED23C3"/>
    <w:rsid w:val="00ED2562"/>
    <w:rsid w:val="00ED2574"/>
    <w:rsid w:val="00ED307E"/>
    <w:rsid w:val="00ED30E3"/>
    <w:rsid w:val="00ED3AD3"/>
    <w:rsid w:val="00ED6672"/>
    <w:rsid w:val="00ED6685"/>
    <w:rsid w:val="00EE0527"/>
    <w:rsid w:val="00EE05C7"/>
    <w:rsid w:val="00EE0811"/>
    <w:rsid w:val="00EE0E44"/>
    <w:rsid w:val="00EE27E5"/>
    <w:rsid w:val="00EE532D"/>
    <w:rsid w:val="00EE54C1"/>
    <w:rsid w:val="00EE5896"/>
    <w:rsid w:val="00EE6114"/>
    <w:rsid w:val="00EE7AB0"/>
    <w:rsid w:val="00EF0668"/>
    <w:rsid w:val="00EF12AF"/>
    <w:rsid w:val="00EF153E"/>
    <w:rsid w:val="00EF2347"/>
    <w:rsid w:val="00EF2F0A"/>
    <w:rsid w:val="00EF2FBA"/>
    <w:rsid w:val="00EF31BA"/>
    <w:rsid w:val="00EF3240"/>
    <w:rsid w:val="00EF3B47"/>
    <w:rsid w:val="00EF465E"/>
    <w:rsid w:val="00EF479D"/>
    <w:rsid w:val="00EF5A8C"/>
    <w:rsid w:val="00EF5E56"/>
    <w:rsid w:val="00EF7047"/>
    <w:rsid w:val="00F002AD"/>
    <w:rsid w:val="00F01160"/>
    <w:rsid w:val="00F014EC"/>
    <w:rsid w:val="00F01835"/>
    <w:rsid w:val="00F019EF"/>
    <w:rsid w:val="00F0290A"/>
    <w:rsid w:val="00F0298C"/>
    <w:rsid w:val="00F04262"/>
    <w:rsid w:val="00F045E2"/>
    <w:rsid w:val="00F0506B"/>
    <w:rsid w:val="00F05504"/>
    <w:rsid w:val="00F05574"/>
    <w:rsid w:val="00F058F2"/>
    <w:rsid w:val="00F06D15"/>
    <w:rsid w:val="00F110FB"/>
    <w:rsid w:val="00F1178B"/>
    <w:rsid w:val="00F12BE8"/>
    <w:rsid w:val="00F12C15"/>
    <w:rsid w:val="00F13717"/>
    <w:rsid w:val="00F13B79"/>
    <w:rsid w:val="00F13F7C"/>
    <w:rsid w:val="00F13FDD"/>
    <w:rsid w:val="00F141A9"/>
    <w:rsid w:val="00F15237"/>
    <w:rsid w:val="00F15247"/>
    <w:rsid w:val="00F16379"/>
    <w:rsid w:val="00F163BE"/>
    <w:rsid w:val="00F17581"/>
    <w:rsid w:val="00F17D62"/>
    <w:rsid w:val="00F205A8"/>
    <w:rsid w:val="00F2193C"/>
    <w:rsid w:val="00F227DB"/>
    <w:rsid w:val="00F23447"/>
    <w:rsid w:val="00F24561"/>
    <w:rsid w:val="00F25D44"/>
    <w:rsid w:val="00F2629F"/>
    <w:rsid w:val="00F26955"/>
    <w:rsid w:val="00F26CD8"/>
    <w:rsid w:val="00F27B7C"/>
    <w:rsid w:val="00F30269"/>
    <w:rsid w:val="00F30DF7"/>
    <w:rsid w:val="00F322AA"/>
    <w:rsid w:val="00F3231C"/>
    <w:rsid w:val="00F32C95"/>
    <w:rsid w:val="00F339B9"/>
    <w:rsid w:val="00F34690"/>
    <w:rsid w:val="00F36B9C"/>
    <w:rsid w:val="00F37399"/>
    <w:rsid w:val="00F37587"/>
    <w:rsid w:val="00F407A7"/>
    <w:rsid w:val="00F411A9"/>
    <w:rsid w:val="00F41C4E"/>
    <w:rsid w:val="00F4240D"/>
    <w:rsid w:val="00F42B91"/>
    <w:rsid w:val="00F45184"/>
    <w:rsid w:val="00F45480"/>
    <w:rsid w:val="00F45751"/>
    <w:rsid w:val="00F45C39"/>
    <w:rsid w:val="00F460DE"/>
    <w:rsid w:val="00F4642B"/>
    <w:rsid w:val="00F46837"/>
    <w:rsid w:val="00F46FCC"/>
    <w:rsid w:val="00F47179"/>
    <w:rsid w:val="00F47D90"/>
    <w:rsid w:val="00F5090A"/>
    <w:rsid w:val="00F51120"/>
    <w:rsid w:val="00F51363"/>
    <w:rsid w:val="00F52606"/>
    <w:rsid w:val="00F54658"/>
    <w:rsid w:val="00F57EB1"/>
    <w:rsid w:val="00F57EB5"/>
    <w:rsid w:val="00F607C8"/>
    <w:rsid w:val="00F608AD"/>
    <w:rsid w:val="00F61264"/>
    <w:rsid w:val="00F61C48"/>
    <w:rsid w:val="00F64F47"/>
    <w:rsid w:val="00F64FD8"/>
    <w:rsid w:val="00F668CD"/>
    <w:rsid w:val="00F66E3D"/>
    <w:rsid w:val="00F66ED9"/>
    <w:rsid w:val="00F67E1D"/>
    <w:rsid w:val="00F71534"/>
    <w:rsid w:val="00F71B09"/>
    <w:rsid w:val="00F729E3"/>
    <w:rsid w:val="00F735BD"/>
    <w:rsid w:val="00F74394"/>
    <w:rsid w:val="00F7484A"/>
    <w:rsid w:val="00F74854"/>
    <w:rsid w:val="00F74C83"/>
    <w:rsid w:val="00F756D9"/>
    <w:rsid w:val="00F75893"/>
    <w:rsid w:val="00F77B9D"/>
    <w:rsid w:val="00F803E3"/>
    <w:rsid w:val="00F83F6C"/>
    <w:rsid w:val="00F842CC"/>
    <w:rsid w:val="00F8520D"/>
    <w:rsid w:val="00F8554B"/>
    <w:rsid w:val="00F858C9"/>
    <w:rsid w:val="00F8677A"/>
    <w:rsid w:val="00F90199"/>
    <w:rsid w:val="00F90408"/>
    <w:rsid w:val="00F91008"/>
    <w:rsid w:val="00F92321"/>
    <w:rsid w:val="00F94413"/>
    <w:rsid w:val="00F944C8"/>
    <w:rsid w:val="00F957BC"/>
    <w:rsid w:val="00F962FB"/>
    <w:rsid w:val="00F96412"/>
    <w:rsid w:val="00F973E3"/>
    <w:rsid w:val="00F9751A"/>
    <w:rsid w:val="00F97793"/>
    <w:rsid w:val="00FA05D8"/>
    <w:rsid w:val="00FA06E2"/>
    <w:rsid w:val="00FA12F1"/>
    <w:rsid w:val="00FA2A2F"/>
    <w:rsid w:val="00FA3588"/>
    <w:rsid w:val="00FA3FE8"/>
    <w:rsid w:val="00FA5527"/>
    <w:rsid w:val="00FA6482"/>
    <w:rsid w:val="00FB0EE3"/>
    <w:rsid w:val="00FB1364"/>
    <w:rsid w:val="00FB1889"/>
    <w:rsid w:val="00FB1A24"/>
    <w:rsid w:val="00FB1C5B"/>
    <w:rsid w:val="00FB259D"/>
    <w:rsid w:val="00FB2903"/>
    <w:rsid w:val="00FB3F63"/>
    <w:rsid w:val="00FB45B3"/>
    <w:rsid w:val="00FB4AE3"/>
    <w:rsid w:val="00FB5ECB"/>
    <w:rsid w:val="00FB6118"/>
    <w:rsid w:val="00FB674D"/>
    <w:rsid w:val="00FB78A6"/>
    <w:rsid w:val="00FB7BE7"/>
    <w:rsid w:val="00FC03F1"/>
    <w:rsid w:val="00FC0530"/>
    <w:rsid w:val="00FC0A25"/>
    <w:rsid w:val="00FC1D5C"/>
    <w:rsid w:val="00FC2141"/>
    <w:rsid w:val="00FC2169"/>
    <w:rsid w:val="00FC38E4"/>
    <w:rsid w:val="00FC3A4D"/>
    <w:rsid w:val="00FC3E99"/>
    <w:rsid w:val="00FC577F"/>
    <w:rsid w:val="00FC63C2"/>
    <w:rsid w:val="00FC63EB"/>
    <w:rsid w:val="00FD032B"/>
    <w:rsid w:val="00FD1806"/>
    <w:rsid w:val="00FD18B4"/>
    <w:rsid w:val="00FD21B2"/>
    <w:rsid w:val="00FD248D"/>
    <w:rsid w:val="00FD4366"/>
    <w:rsid w:val="00FD4C56"/>
    <w:rsid w:val="00FD5B10"/>
    <w:rsid w:val="00FE009B"/>
    <w:rsid w:val="00FE106B"/>
    <w:rsid w:val="00FE29CB"/>
    <w:rsid w:val="00FE3952"/>
    <w:rsid w:val="00FE4E46"/>
    <w:rsid w:val="00FE5CB2"/>
    <w:rsid w:val="00FE5E74"/>
    <w:rsid w:val="00FE606B"/>
    <w:rsid w:val="00FE658C"/>
    <w:rsid w:val="00FE6B4B"/>
    <w:rsid w:val="00FE743A"/>
    <w:rsid w:val="00FF0D75"/>
    <w:rsid w:val="00FF2001"/>
    <w:rsid w:val="00FF2856"/>
    <w:rsid w:val="00FF33A0"/>
    <w:rsid w:val="00FF3899"/>
    <w:rsid w:val="00FF38D8"/>
    <w:rsid w:val="00FF4A55"/>
    <w:rsid w:val="00FF4E14"/>
    <w:rsid w:val="00FF50B5"/>
    <w:rsid w:val="00FF5434"/>
    <w:rsid w:val="00FF6539"/>
    <w:rsid w:val="00FF6696"/>
    <w:rsid w:val="00FF6BC0"/>
    <w:rsid w:val="00FF6EE2"/>
    <w:rsid w:val="00FF7009"/>
    <w:rsid w:val="0160E871"/>
    <w:rsid w:val="01E6A48B"/>
    <w:rsid w:val="02015C0F"/>
    <w:rsid w:val="0223113E"/>
    <w:rsid w:val="027C7B03"/>
    <w:rsid w:val="02CAC322"/>
    <w:rsid w:val="02CCF1C3"/>
    <w:rsid w:val="03469A73"/>
    <w:rsid w:val="03789023"/>
    <w:rsid w:val="03B4A051"/>
    <w:rsid w:val="03B54D2B"/>
    <w:rsid w:val="03B73AD1"/>
    <w:rsid w:val="042137ED"/>
    <w:rsid w:val="042F15E1"/>
    <w:rsid w:val="057D2D1F"/>
    <w:rsid w:val="063028CB"/>
    <w:rsid w:val="065A63C6"/>
    <w:rsid w:val="065AA2C3"/>
    <w:rsid w:val="0782A187"/>
    <w:rsid w:val="08383D8B"/>
    <w:rsid w:val="0896C664"/>
    <w:rsid w:val="08D74FEA"/>
    <w:rsid w:val="096DA809"/>
    <w:rsid w:val="09AD8927"/>
    <w:rsid w:val="0AA7111D"/>
    <w:rsid w:val="0AF3C2C1"/>
    <w:rsid w:val="0B1155A3"/>
    <w:rsid w:val="0B27ADCB"/>
    <w:rsid w:val="0B560D0E"/>
    <w:rsid w:val="0BDA6E2A"/>
    <w:rsid w:val="0BFB8DAA"/>
    <w:rsid w:val="0C491C26"/>
    <w:rsid w:val="0C831835"/>
    <w:rsid w:val="0D29BCD4"/>
    <w:rsid w:val="0DBA4E8B"/>
    <w:rsid w:val="0E2251D7"/>
    <w:rsid w:val="0ED93D37"/>
    <w:rsid w:val="0F1A060F"/>
    <w:rsid w:val="0F24BBFB"/>
    <w:rsid w:val="0F534208"/>
    <w:rsid w:val="0FA34EF9"/>
    <w:rsid w:val="0FAA96DA"/>
    <w:rsid w:val="1066BA6B"/>
    <w:rsid w:val="108DF671"/>
    <w:rsid w:val="10F57A59"/>
    <w:rsid w:val="110320C4"/>
    <w:rsid w:val="11745547"/>
    <w:rsid w:val="11ACBDAD"/>
    <w:rsid w:val="11AD1920"/>
    <w:rsid w:val="11DA2564"/>
    <w:rsid w:val="126DF65C"/>
    <w:rsid w:val="12B285C0"/>
    <w:rsid w:val="12B77DEE"/>
    <w:rsid w:val="130701F6"/>
    <w:rsid w:val="13082D8A"/>
    <w:rsid w:val="1310BEB8"/>
    <w:rsid w:val="139E5E11"/>
    <w:rsid w:val="13E8242C"/>
    <w:rsid w:val="13E91398"/>
    <w:rsid w:val="14126C85"/>
    <w:rsid w:val="14BEB8E4"/>
    <w:rsid w:val="156F187F"/>
    <w:rsid w:val="158FD358"/>
    <w:rsid w:val="15D1D521"/>
    <w:rsid w:val="15F55281"/>
    <w:rsid w:val="15FDA028"/>
    <w:rsid w:val="1748EF63"/>
    <w:rsid w:val="179AFDDC"/>
    <w:rsid w:val="17B1E299"/>
    <w:rsid w:val="17EE5F9F"/>
    <w:rsid w:val="1897F17A"/>
    <w:rsid w:val="18C6536E"/>
    <w:rsid w:val="18E9B50E"/>
    <w:rsid w:val="18F26EC6"/>
    <w:rsid w:val="19510720"/>
    <w:rsid w:val="1A3A9A33"/>
    <w:rsid w:val="1A6FB9F5"/>
    <w:rsid w:val="1AA1D33F"/>
    <w:rsid w:val="1ACCAA51"/>
    <w:rsid w:val="1BD1A8A4"/>
    <w:rsid w:val="1D160A4A"/>
    <w:rsid w:val="1D3C6CDD"/>
    <w:rsid w:val="1D50A6DB"/>
    <w:rsid w:val="1D89AA66"/>
    <w:rsid w:val="1E1B12AC"/>
    <w:rsid w:val="1E5129C7"/>
    <w:rsid w:val="1E576ADB"/>
    <w:rsid w:val="1E5B03CF"/>
    <w:rsid w:val="1E6B27EC"/>
    <w:rsid w:val="1EC9174B"/>
    <w:rsid w:val="1F482D15"/>
    <w:rsid w:val="20CABF24"/>
    <w:rsid w:val="21043E46"/>
    <w:rsid w:val="21941D8D"/>
    <w:rsid w:val="21C05DD5"/>
    <w:rsid w:val="222DB58F"/>
    <w:rsid w:val="229C10AF"/>
    <w:rsid w:val="22CA873D"/>
    <w:rsid w:val="2323541A"/>
    <w:rsid w:val="233A0967"/>
    <w:rsid w:val="23CE1693"/>
    <w:rsid w:val="2594BC4B"/>
    <w:rsid w:val="25A758E3"/>
    <w:rsid w:val="25ADE4A8"/>
    <w:rsid w:val="25D4AAE8"/>
    <w:rsid w:val="2660A128"/>
    <w:rsid w:val="266795FC"/>
    <w:rsid w:val="267744CD"/>
    <w:rsid w:val="2678CA82"/>
    <w:rsid w:val="26B4898B"/>
    <w:rsid w:val="26B81FB4"/>
    <w:rsid w:val="26FF5E61"/>
    <w:rsid w:val="2708470B"/>
    <w:rsid w:val="277C04C8"/>
    <w:rsid w:val="27A018A5"/>
    <w:rsid w:val="27BA6D0E"/>
    <w:rsid w:val="27DBC148"/>
    <w:rsid w:val="28BB7C45"/>
    <w:rsid w:val="28CC5D0D"/>
    <w:rsid w:val="28DEF9A5"/>
    <w:rsid w:val="29186CA1"/>
    <w:rsid w:val="292A169A"/>
    <w:rsid w:val="2962F23B"/>
    <w:rsid w:val="29E4CCAE"/>
    <w:rsid w:val="2A15155A"/>
    <w:rsid w:val="2A571AC7"/>
    <w:rsid w:val="2A682D6E"/>
    <w:rsid w:val="2A6BCC9F"/>
    <w:rsid w:val="2A8980E8"/>
    <w:rsid w:val="2B116D4B"/>
    <w:rsid w:val="2B399F0D"/>
    <w:rsid w:val="2BBCCE55"/>
    <w:rsid w:val="2BC35CFE"/>
    <w:rsid w:val="2BC5BADE"/>
    <w:rsid w:val="2BE40A5B"/>
    <w:rsid w:val="2C4A5509"/>
    <w:rsid w:val="2C9954D8"/>
    <w:rsid w:val="2CEE97CB"/>
    <w:rsid w:val="2CF3C2DA"/>
    <w:rsid w:val="2D4A99D2"/>
    <w:rsid w:val="2DDAD4C3"/>
    <w:rsid w:val="2DF632C7"/>
    <w:rsid w:val="2EA2FBF8"/>
    <w:rsid w:val="2F19C7C0"/>
    <w:rsid w:val="2F9FBBF9"/>
    <w:rsid w:val="2FBD5C4B"/>
    <w:rsid w:val="301EE27F"/>
    <w:rsid w:val="306278A8"/>
    <w:rsid w:val="31130A19"/>
    <w:rsid w:val="31A9ACC3"/>
    <w:rsid w:val="31B20988"/>
    <w:rsid w:val="31C732F2"/>
    <w:rsid w:val="31DF2C5F"/>
    <w:rsid w:val="31E3F1BC"/>
    <w:rsid w:val="31EF0670"/>
    <w:rsid w:val="32902372"/>
    <w:rsid w:val="332DB688"/>
    <w:rsid w:val="334DD9E9"/>
    <w:rsid w:val="3399E699"/>
    <w:rsid w:val="33A484B9"/>
    <w:rsid w:val="344C453A"/>
    <w:rsid w:val="345AE993"/>
    <w:rsid w:val="34D960FA"/>
    <w:rsid w:val="353E8391"/>
    <w:rsid w:val="355C0394"/>
    <w:rsid w:val="35A74707"/>
    <w:rsid w:val="35AFCDAB"/>
    <w:rsid w:val="366AF45D"/>
    <w:rsid w:val="370BFDAD"/>
    <w:rsid w:val="3710EEA4"/>
    <w:rsid w:val="3788AB44"/>
    <w:rsid w:val="37969EAA"/>
    <w:rsid w:val="37C8EF32"/>
    <w:rsid w:val="37DBB20D"/>
    <w:rsid w:val="37EA3527"/>
    <w:rsid w:val="385BF6C7"/>
    <w:rsid w:val="385D1904"/>
    <w:rsid w:val="38625B4E"/>
    <w:rsid w:val="38EA6E5D"/>
    <w:rsid w:val="39354B22"/>
    <w:rsid w:val="3948967D"/>
    <w:rsid w:val="39495665"/>
    <w:rsid w:val="397593FF"/>
    <w:rsid w:val="39BD1B6D"/>
    <w:rsid w:val="39FB8796"/>
    <w:rsid w:val="3A353633"/>
    <w:rsid w:val="3A709F52"/>
    <w:rsid w:val="3AB0DE60"/>
    <w:rsid w:val="3B6B8866"/>
    <w:rsid w:val="3B7C4127"/>
    <w:rsid w:val="3BC97EB0"/>
    <w:rsid w:val="3BDCBE21"/>
    <w:rsid w:val="3BF7AB22"/>
    <w:rsid w:val="3C4E9E77"/>
    <w:rsid w:val="3D048BA8"/>
    <w:rsid w:val="3DCF88CD"/>
    <w:rsid w:val="3DE87F22"/>
    <w:rsid w:val="3DF863CB"/>
    <w:rsid w:val="3E7B1658"/>
    <w:rsid w:val="3EA8C028"/>
    <w:rsid w:val="3EB5900B"/>
    <w:rsid w:val="3EC5A3A9"/>
    <w:rsid w:val="3F8A4E60"/>
    <w:rsid w:val="3F9BA6E0"/>
    <w:rsid w:val="3FA6DA93"/>
    <w:rsid w:val="40051653"/>
    <w:rsid w:val="40344A77"/>
    <w:rsid w:val="40AA410B"/>
    <w:rsid w:val="421996D7"/>
    <w:rsid w:val="426B7563"/>
    <w:rsid w:val="429150A3"/>
    <w:rsid w:val="42B3B8D5"/>
    <w:rsid w:val="42CB2846"/>
    <w:rsid w:val="42F03659"/>
    <w:rsid w:val="433E48C3"/>
    <w:rsid w:val="436BEB39"/>
    <w:rsid w:val="436E5CC2"/>
    <w:rsid w:val="44063151"/>
    <w:rsid w:val="444E187D"/>
    <w:rsid w:val="455362A8"/>
    <w:rsid w:val="45CA8218"/>
    <w:rsid w:val="46027FC4"/>
    <w:rsid w:val="471BFEB5"/>
    <w:rsid w:val="47269405"/>
    <w:rsid w:val="4764C1C6"/>
    <w:rsid w:val="4764D62D"/>
    <w:rsid w:val="479C6B76"/>
    <w:rsid w:val="47C78805"/>
    <w:rsid w:val="47FD3BF5"/>
    <w:rsid w:val="481E46AB"/>
    <w:rsid w:val="4993727E"/>
    <w:rsid w:val="49C5CE99"/>
    <w:rsid w:val="4A61E7DA"/>
    <w:rsid w:val="4A6D7760"/>
    <w:rsid w:val="4A98E14B"/>
    <w:rsid w:val="4AF35D9C"/>
    <w:rsid w:val="4B0DE707"/>
    <w:rsid w:val="4B3D6752"/>
    <w:rsid w:val="4B5DB1CC"/>
    <w:rsid w:val="4BB5F7A6"/>
    <w:rsid w:val="4BCEF451"/>
    <w:rsid w:val="4BEF3FEB"/>
    <w:rsid w:val="4BFE4FB3"/>
    <w:rsid w:val="4C57E32C"/>
    <w:rsid w:val="4D03E211"/>
    <w:rsid w:val="4D1094F4"/>
    <w:rsid w:val="4D16E455"/>
    <w:rsid w:val="4D7AFDD3"/>
    <w:rsid w:val="4DBDA283"/>
    <w:rsid w:val="4DFC126D"/>
    <w:rsid w:val="4E855F04"/>
    <w:rsid w:val="4FBE17EB"/>
    <w:rsid w:val="4FD64429"/>
    <w:rsid w:val="50212F65"/>
    <w:rsid w:val="503301B4"/>
    <w:rsid w:val="504A6E41"/>
    <w:rsid w:val="50B95FDE"/>
    <w:rsid w:val="5158731B"/>
    <w:rsid w:val="51C10BC4"/>
    <w:rsid w:val="51C6E1AB"/>
    <w:rsid w:val="51CF7E66"/>
    <w:rsid w:val="52DF82C4"/>
    <w:rsid w:val="53DA8B7B"/>
    <w:rsid w:val="545548F3"/>
    <w:rsid w:val="5471F54D"/>
    <w:rsid w:val="54754516"/>
    <w:rsid w:val="5482E8B7"/>
    <w:rsid w:val="54AA0E8B"/>
    <w:rsid w:val="54DCB0EA"/>
    <w:rsid w:val="55E86280"/>
    <w:rsid w:val="5673AF3B"/>
    <w:rsid w:val="56885B5C"/>
    <w:rsid w:val="5771F907"/>
    <w:rsid w:val="57A8665A"/>
    <w:rsid w:val="57CEF676"/>
    <w:rsid w:val="58A40106"/>
    <w:rsid w:val="598A47C8"/>
    <w:rsid w:val="59DCA3DF"/>
    <w:rsid w:val="5A051B14"/>
    <w:rsid w:val="5A14BF70"/>
    <w:rsid w:val="5A62EAE9"/>
    <w:rsid w:val="5AF85A13"/>
    <w:rsid w:val="5B2EF420"/>
    <w:rsid w:val="5B97CD16"/>
    <w:rsid w:val="5C325E53"/>
    <w:rsid w:val="5D02257D"/>
    <w:rsid w:val="5D70A9C4"/>
    <w:rsid w:val="5D87E3B2"/>
    <w:rsid w:val="5DD29C1D"/>
    <w:rsid w:val="5E442F9C"/>
    <w:rsid w:val="5EDF7CA3"/>
    <w:rsid w:val="60A78B07"/>
    <w:rsid w:val="6127390F"/>
    <w:rsid w:val="613C35B0"/>
    <w:rsid w:val="61CE3DAD"/>
    <w:rsid w:val="61FC626C"/>
    <w:rsid w:val="62502280"/>
    <w:rsid w:val="626C2136"/>
    <w:rsid w:val="6282E8CF"/>
    <w:rsid w:val="62FC007D"/>
    <w:rsid w:val="633E699F"/>
    <w:rsid w:val="639E73B6"/>
    <w:rsid w:val="643B4529"/>
    <w:rsid w:val="64C6DFAD"/>
    <w:rsid w:val="65271D7A"/>
    <w:rsid w:val="6534032E"/>
    <w:rsid w:val="65469ECB"/>
    <w:rsid w:val="657E4C5A"/>
    <w:rsid w:val="65A22D0B"/>
    <w:rsid w:val="665F0B2A"/>
    <w:rsid w:val="669F09EB"/>
    <w:rsid w:val="66EA6009"/>
    <w:rsid w:val="670FCF6C"/>
    <w:rsid w:val="673E3098"/>
    <w:rsid w:val="67E4DD40"/>
    <w:rsid w:val="6836E8D5"/>
    <w:rsid w:val="6883E495"/>
    <w:rsid w:val="691A2FA7"/>
    <w:rsid w:val="699087B2"/>
    <w:rsid w:val="69A0C66A"/>
    <w:rsid w:val="69F937A6"/>
    <w:rsid w:val="6B2663C6"/>
    <w:rsid w:val="6CB12B26"/>
    <w:rsid w:val="6CD5BA07"/>
    <w:rsid w:val="6D2676B2"/>
    <w:rsid w:val="6D803FE0"/>
    <w:rsid w:val="6D85D16F"/>
    <w:rsid w:val="6DEF84C7"/>
    <w:rsid w:val="6E16269F"/>
    <w:rsid w:val="6E19AFA9"/>
    <w:rsid w:val="6E239121"/>
    <w:rsid w:val="6E2D457C"/>
    <w:rsid w:val="6ED522FD"/>
    <w:rsid w:val="6EF4A44E"/>
    <w:rsid w:val="6F1B4A53"/>
    <w:rsid w:val="6F212FAD"/>
    <w:rsid w:val="6F7DB736"/>
    <w:rsid w:val="7006CFCD"/>
    <w:rsid w:val="7061BF13"/>
    <w:rsid w:val="71045F75"/>
    <w:rsid w:val="7122B4BA"/>
    <w:rsid w:val="71D6A7DE"/>
    <w:rsid w:val="721F43B1"/>
    <w:rsid w:val="732F9C38"/>
    <w:rsid w:val="734248F7"/>
    <w:rsid w:val="73E692CB"/>
    <w:rsid w:val="73F689E4"/>
    <w:rsid w:val="74AD5D30"/>
    <w:rsid w:val="753DDFC4"/>
    <w:rsid w:val="7543FFDA"/>
    <w:rsid w:val="756E3AD5"/>
    <w:rsid w:val="7574FB73"/>
    <w:rsid w:val="760307B2"/>
    <w:rsid w:val="76049B49"/>
    <w:rsid w:val="7607B284"/>
    <w:rsid w:val="7624C18E"/>
    <w:rsid w:val="7649DD1D"/>
    <w:rsid w:val="76535E3A"/>
    <w:rsid w:val="7685AD30"/>
    <w:rsid w:val="769D661E"/>
    <w:rsid w:val="773D6D3F"/>
    <w:rsid w:val="775F4BA7"/>
    <w:rsid w:val="776C4AEB"/>
    <w:rsid w:val="78AAC92D"/>
    <w:rsid w:val="79514304"/>
    <w:rsid w:val="79A01CD3"/>
    <w:rsid w:val="7AE72C9F"/>
    <w:rsid w:val="7B2A5A69"/>
    <w:rsid w:val="7B8D0C41"/>
    <w:rsid w:val="7B9553A4"/>
    <w:rsid w:val="7BB44847"/>
    <w:rsid w:val="7BD2CD47"/>
    <w:rsid w:val="7BDA15D9"/>
    <w:rsid w:val="7CC72677"/>
    <w:rsid w:val="7D4D7B44"/>
    <w:rsid w:val="7D705978"/>
    <w:rsid w:val="7E7294BB"/>
    <w:rsid w:val="7E8CDC2E"/>
    <w:rsid w:val="7F0A6E09"/>
    <w:rsid w:val="7F1CFD25"/>
    <w:rsid w:val="7F71DAA6"/>
    <w:rsid w:val="7F8C31F3"/>
    <w:rsid w:val="7FC51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67C3"/>
  <w15:docId w15:val="{0E46C267-7ADA-4BB6-8D58-BC2FAB9E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77"/>
    <w:pPr>
      <w:spacing w:after="113" w:line="260" w:lineRule="atLeast"/>
      <w:jc w:val="both"/>
    </w:pPr>
    <w:rPr>
      <w:color w:val="000000"/>
      <w:sz w:val="18"/>
      <w:lang w:val="en-GB"/>
    </w:rPr>
  </w:style>
  <w:style w:type="paragraph" w:styleId="Heading1">
    <w:name w:val="heading 1"/>
    <w:basedOn w:val="Normal"/>
    <w:next w:val="Normal"/>
    <w:link w:val="Heading1Char"/>
    <w:uiPriority w:val="9"/>
    <w:qFormat/>
    <w:rsid w:val="00737377"/>
    <w:pPr>
      <w:keepNext/>
      <w:keepLines/>
      <w:spacing w:after="284" w:line="240" w:lineRule="auto"/>
      <w:jc w:val="left"/>
      <w:outlineLvl w:val="0"/>
    </w:pPr>
    <w:rPr>
      <w:rFonts w:asciiTheme="majorHAnsi" w:eastAsiaTheme="majorEastAsia" w:hAnsiTheme="majorHAnsi" w:cstheme="majorBidi"/>
      <w:color w:val="B870A3" w:themeColor="accent1"/>
      <w:sz w:val="36"/>
      <w:szCs w:val="32"/>
    </w:rPr>
  </w:style>
  <w:style w:type="paragraph" w:styleId="Heading2">
    <w:name w:val="heading 2"/>
    <w:basedOn w:val="ListParagraph"/>
    <w:next w:val="Normal"/>
    <w:link w:val="Heading2Char"/>
    <w:uiPriority w:val="9"/>
    <w:unhideWhenUsed/>
    <w:qFormat/>
    <w:rsid w:val="00CF23AE"/>
    <w:pPr>
      <w:numPr>
        <w:numId w:val="1"/>
      </w:numPr>
      <w:spacing w:before="510" w:after="227" w:line="240" w:lineRule="auto"/>
      <w:jc w:val="left"/>
      <w:outlineLvl w:val="1"/>
    </w:pPr>
    <w:rPr>
      <w:b/>
      <w:bCs/>
      <w:color w:val="1494B2" w:themeColor="text2"/>
      <w:sz w:val="32"/>
      <w:szCs w:val="32"/>
    </w:rPr>
  </w:style>
  <w:style w:type="paragraph" w:styleId="Heading3">
    <w:name w:val="heading 3"/>
    <w:basedOn w:val="Normal"/>
    <w:next w:val="Normal"/>
    <w:link w:val="Heading3Char"/>
    <w:uiPriority w:val="9"/>
    <w:unhideWhenUsed/>
    <w:qFormat/>
    <w:rsid w:val="00367767"/>
    <w:pPr>
      <w:spacing w:before="284" w:line="240" w:lineRule="auto"/>
      <w:jc w:val="left"/>
      <w:outlineLvl w:val="2"/>
    </w:pPr>
    <w:rPr>
      <w:b/>
      <w:bCs/>
      <w:color w:val="8C1A6B" w:themeColor="accent3"/>
      <w:sz w:val="26"/>
      <w:szCs w:val="26"/>
    </w:rPr>
  </w:style>
  <w:style w:type="paragraph" w:styleId="Heading4">
    <w:name w:val="heading 4"/>
    <w:basedOn w:val="Normal"/>
    <w:next w:val="Normal"/>
    <w:link w:val="Heading4Char"/>
    <w:uiPriority w:val="9"/>
    <w:unhideWhenUsed/>
    <w:qFormat/>
    <w:rsid w:val="00EF465E"/>
    <w:pPr>
      <w:keepNext/>
      <w:keepLines/>
      <w:spacing w:before="40" w:after="0"/>
      <w:outlineLvl w:val="3"/>
    </w:pPr>
    <w:rPr>
      <w:rFonts w:asciiTheme="majorHAnsi" w:eastAsiaTheme="majorEastAsia" w:hAnsiTheme="majorHAnsi" w:cstheme="majorBidi"/>
      <w:i/>
      <w:iCs/>
      <w:color w:val="944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377"/>
    <w:pPr>
      <w:tabs>
        <w:tab w:val="center" w:pos="4513"/>
        <w:tab w:val="right" w:pos="9639"/>
      </w:tabs>
      <w:spacing w:after="0" w:line="240" w:lineRule="auto"/>
      <w:ind w:right="-569"/>
      <w:jc w:val="right"/>
    </w:pPr>
    <w:rPr>
      <w:sz w:val="20"/>
      <w:szCs w:val="20"/>
    </w:rPr>
  </w:style>
  <w:style w:type="character" w:customStyle="1" w:styleId="HeaderChar">
    <w:name w:val="Header Char"/>
    <w:basedOn w:val="DefaultParagraphFont"/>
    <w:link w:val="Header"/>
    <w:uiPriority w:val="99"/>
    <w:rsid w:val="00737377"/>
    <w:rPr>
      <w:color w:val="000000"/>
      <w:sz w:val="20"/>
      <w:szCs w:val="20"/>
      <w:lang w:val="en-GB"/>
    </w:rPr>
  </w:style>
  <w:style w:type="paragraph" w:styleId="Footer">
    <w:name w:val="footer"/>
    <w:basedOn w:val="Normal"/>
    <w:link w:val="FooterChar"/>
    <w:uiPriority w:val="99"/>
    <w:unhideWhenUsed/>
    <w:rsid w:val="00510511"/>
    <w:pPr>
      <w:tabs>
        <w:tab w:val="center" w:pos="4513"/>
        <w:tab w:val="right" w:pos="9026"/>
      </w:tabs>
      <w:spacing w:after="0"/>
      <w:ind w:left="-284"/>
    </w:pPr>
    <w:rPr>
      <w:b/>
      <w:color w:val="1494B2" w:themeColor="text2"/>
      <w:sz w:val="20"/>
    </w:rPr>
  </w:style>
  <w:style w:type="character" w:customStyle="1" w:styleId="FooterChar">
    <w:name w:val="Footer Char"/>
    <w:basedOn w:val="DefaultParagraphFont"/>
    <w:link w:val="Footer"/>
    <w:uiPriority w:val="99"/>
    <w:rsid w:val="00510511"/>
    <w:rPr>
      <w:b/>
      <w:color w:val="1494B2" w:themeColor="text2"/>
      <w:sz w:val="20"/>
      <w:lang w:val="en-GB"/>
    </w:rPr>
  </w:style>
  <w:style w:type="paragraph" w:customStyle="1" w:styleId="KindofDOC">
    <w:name w:val="Kind of DOC"/>
    <w:basedOn w:val="Normal"/>
    <w:qFormat/>
    <w:rsid w:val="001A7434"/>
    <w:rPr>
      <w:rFonts w:ascii="Arial" w:hAnsi="Arial"/>
      <w:b/>
      <w:color w:val="FFFFFF" w:themeColor="background1"/>
      <w:sz w:val="36"/>
    </w:rPr>
  </w:style>
  <w:style w:type="character" w:customStyle="1" w:styleId="Heading1Char">
    <w:name w:val="Heading 1 Char"/>
    <w:basedOn w:val="DefaultParagraphFont"/>
    <w:link w:val="Heading1"/>
    <w:uiPriority w:val="9"/>
    <w:rsid w:val="00737377"/>
    <w:rPr>
      <w:rFonts w:asciiTheme="majorHAnsi" w:eastAsiaTheme="majorEastAsia" w:hAnsiTheme="majorHAnsi" w:cstheme="majorBidi"/>
      <w:color w:val="B870A3" w:themeColor="accent1"/>
      <w:sz w:val="36"/>
      <w:szCs w:val="32"/>
      <w:lang w:val="en-GB"/>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rsid w:val="00305D88"/>
    <w:pPr>
      <w:numPr>
        <w:numId w:val="2"/>
      </w:numPr>
    </w:pPr>
  </w:style>
  <w:style w:type="character" w:customStyle="1" w:styleId="Heading2Char">
    <w:name w:val="Heading 2 Char"/>
    <w:basedOn w:val="DefaultParagraphFont"/>
    <w:link w:val="Heading2"/>
    <w:uiPriority w:val="9"/>
    <w:rsid w:val="00CF23AE"/>
    <w:rPr>
      <w:b/>
      <w:bCs/>
      <w:color w:val="1494B2" w:themeColor="text2"/>
      <w:sz w:val="32"/>
      <w:szCs w:val="32"/>
      <w:lang w:val="en-GB"/>
    </w:rPr>
  </w:style>
  <w:style w:type="character" w:customStyle="1" w:styleId="Heading3Char">
    <w:name w:val="Heading 3 Char"/>
    <w:basedOn w:val="DefaultParagraphFont"/>
    <w:link w:val="Heading3"/>
    <w:uiPriority w:val="9"/>
    <w:rsid w:val="00367767"/>
    <w:rPr>
      <w:b/>
      <w:bCs/>
      <w:color w:val="8C1A6B" w:themeColor="accent3"/>
      <w:sz w:val="26"/>
      <w:szCs w:val="26"/>
      <w:lang w:val="en-GB"/>
    </w:rPr>
  </w:style>
  <w:style w:type="paragraph" w:styleId="FootnoteText">
    <w:name w:val="footnote text"/>
    <w:basedOn w:val="Normal"/>
    <w:link w:val="FootnoteTextChar"/>
    <w:uiPriority w:val="99"/>
    <w:semiHidden/>
    <w:unhideWhenUsed/>
    <w:qFormat/>
    <w:rsid w:val="00CD0A90"/>
    <w:pPr>
      <w:spacing w:after="0" w:line="240" w:lineRule="auto"/>
      <w:jc w:val="left"/>
    </w:pPr>
    <w:rPr>
      <w:sz w:val="14"/>
      <w:szCs w:val="20"/>
    </w:rPr>
  </w:style>
  <w:style w:type="character" w:customStyle="1" w:styleId="FootnoteTextChar">
    <w:name w:val="Footnote Text Char"/>
    <w:basedOn w:val="DefaultParagraphFont"/>
    <w:link w:val="FootnoteText"/>
    <w:uiPriority w:val="99"/>
    <w:semiHidden/>
    <w:rsid w:val="00CD0A90"/>
    <w:rPr>
      <w:color w:val="000000"/>
      <w:sz w:val="14"/>
      <w:szCs w:val="20"/>
      <w:lang w:val="en-GB"/>
    </w:rPr>
  </w:style>
  <w:style w:type="character" w:styleId="FootnoteReference">
    <w:name w:val="footnote reference"/>
    <w:basedOn w:val="DefaultParagraphFont"/>
    <w:uiPriority w:val="99"/>
    <w:unhideWhenUsed/>
    <w:qFormat/>
    <w:rsid w:val="00AF6EDB"/>
    <w:rPr>
      <w:rFonts w:ascii="Arial" w:hAnsi="Arial"/>
      <w:color w:val="B870A3" w:themeColor="accent1"/>
      <w:vertAlign w:val="superscript"/>
    </w:rPr>
  </w:style>
  <w:style w:type="character" w:styleId="Hyperlink">
    <w:name w:val="Hyperlink"/>
    <w:basedOn w:val="DefaultParagraphFont"/>
    <w:uiPriority w:val="99"/>
    <w:unhideWhenUsed/>
    <w:rsid w:val="00510511"/>
    <w:rPr>
      <w:color w:val="1494B2" w:themeColor="hyperlink"/>
      <w:u w:val="single"/>
    </w:rPr>
  </w:style>
  <w:style w:type="character" w:styleId="UnresolvedMention">
    <w:name w:val="Unresolved Mention"/>
    <w:basedOn w:val="DefaultParagraphFont"/>
    <w:uiPriority w:val="99"/>
    <w:semiHidden/>
    <w:unhideWhenUsed/>
    <w:rsid w:val="00510511"/>
    <w:rPr>
      <w:color w:val="605E5C"/>
      <w:shd w:val="clear" w:color="auto" w:fill="E1DFDD"/>
    </w:rPr>
  </w:style>
  <w:style w:type="paragraph" w:customStyle="1" w:styleId="Whitetext">
    <w:name w:val="White text"/>
    <w:basedOn w:val="Normal"/>
    <w:qFormat/>
    <w:rsid w:val="008E1A37"/>
    <w:rPr>
      <w:color w:val="FFFFFF" w:themeColor="background1"/>
      <w:sz w:val="21"/>
      <w:szCs w:val="21"/>
    </w:rPr>
  </w:style>
  <w:style w:type="paragraph" w:customStyle="1" w:styleId="Contactname">
    <w:name w:val="Contact name"/>
    <w:basedOn w:val="Normal"/>
    <w:qFormat/>
    <w:rsid w:val="008E1A37"/>
    <w:pPr>
      <w:spacing w:after="0"/>
    </w:pPr>
    <w:rPr>
      <w:b/>
      <w:bCs/>
      <w:color w:val="000000" w:themeColor="text1"/>
    </w:rPr>
  </w:style>
  <w:style w:type="paragraph" w:customStyle="1" w:styleId="Contactinfos">
    <w:name w:val="Contact infos"/>
    <w:basedOn w:val="Normal"/>
    <w:qFormat/>
    <w:rsid w:val="008E1A37"/>
    <w:pPr>
      <w:spacing w:after="0"/>
    </w:pPr>
  </w:style>
  <w:style w:type="paragraph" w:styleId="Subtitle">
    <w:name w:val="Subtitle"/>
    <w:basedOn w:val="Normal"/>
    <w:next w:val="Normal"/>
    <w:link w:val="SubtitleChar"/>
    <w:uiPriority w:val="11"/>
    <w:qFormat/>
    <w:rsid w:val="008E1A37"/>
    <w:pPr>
      <w:spacing w:before="284"/>
    </w:pPr>
    <w:rPr>
      <w:b/>
      <w:bCs/>
      <w:color w:val="8C1A6B" w:themeColor="accent3"/>
    </w:rPr>
  </w:style>
  <w:style w:type="character" w:customStyle="1" w:styleId="SubtitleChar">
    <w:name w:val="Subtitle Char"/>
    <w:basedOn w:val="DefaultParagraphFont"/>
    <w:link w:val="Subtitle"/>
    <w:uiPriority w:val="11"/>
    <w:rsid w:val="008E1A37"/>
    <w:rPr>
      <w:b/>
      <w:bCs/>
      <w:color w:val="8C1A6B" w:themeColor="accent3"/>
      <w:sz w:val="18"/>
      <w:lang w:val="en-GB"/>
    </w:rPr>
  </w:style>
  <w:style w:type="paragraph" w:styleId="CommentText">
    <w:name w:val="annotation text"/>
    <w:basedOn w:val="Normal"/>
    <w:link w:val="CommentTextChar"/>
    <w:uiPriority w:val="99"/>
    <w:unhideWhenUsed/>
    <w:rsid w:val="004803E4"/>
    <w:pPr>
      <w:spacing w:after="160" w:line="240" w:lineRule="auto"/>
      <w:jc w:val="left"/>
    </w:pPr>
    <w:rPr>
      <w:color w:val="auto"/>
      <w:sz w:val="20"/>
      <w:szCs w:val="20"/>
      <w:lang w:val="en-US"/>
    </w:rPr>
  </w:style>
  <w:style w:type="character" w:customStyle="1" w:styleId="CommentTextChar">
    <w:name w:val="Comment Text Char"/>
    <w:basedOn w:val="DefaultParagraphFont"/>
    <w:link w:val="CommentText"/>
    <w:uiPriority w:val="99"/>
    <w:rsid w:val="004803E4"/>
    <w:rPr>
      <w:sz w:val="20"/>
      <w:szCs w:val="20"/>
      <w:lang w:val="en-US"/>
    </w:rPr>
  </w:style>
  <w:style w:type="paragraph" w:customStyle="1" w:styleId="Default">
    <w:name w:val="Default"/>
    <w:rsid w:val="004803E4"/>
    <w:pPr>
      <w:autoSpaceDE w:val="0"/>
      <w:autoSpaceDN w:val="0"/>
      <w:adjustRightInd w:val="0"/>
      <w:spacing w:after="0" w:line="240" w:lineRule="auto"/>
    </w:pPr>
    <w:rPr>
      <w:rFonts w:ascii="Arial" w:hAnsi="Arial" w:cs="Arial"/>
      <w:color w:val="000000"/>
      <w:sz w:val="24"/>
      <w:szCs w:val="24"/>
      <w:lang w:val="fr-BE"/>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qFormat/>
    <w:locked/>
    <w:rsid w:val="004803E4"/>
    <w:rPr>
      <w:color w:val="000000"/>
      <w:sz w:val="18"/>
      <w:lang w:val="en-GB"/>
    </w:rPr>
  </w:style>
  <w:style w:type="character" w:styleId="CommentReference">
    <w:name w:val="annotation reference"/>
    <w:basedOn w:val="DefaultParagraphFont"/>
    <w:uiPriority w:val="99"/>
    <w:semiHidden/>
    <w:unhideWhenUsed/>
    <w:rsid w:val="00713594"/>
    <w:rPr>
      <w:sz w:val="16"/>
      <w:szCs w:val="16"/>
    </w:rPr>
  </w:style>
  <w:style w:type="paragraph" w:styleId="CommentSubject">
    <w:name w:val="annotation subject"/>
    <w:basedOn w:val="CommentText"/>
    <w:next w:val="CommentText"/>
    <w:link w:val="CommentSubjectChar"/>
    <w:uiPriority w:val="99"/>
    <w:semiHidden/>
    <w:unhideWhenUsed/>
    <w:rsid w:val="00713594"/>
    <w:pPr>
      <w:spacing w:after="113"/>
      <w:jc w:val="both"/>
    </w:pPr>
    <w:rPr>
      <w:b/>
      <w:bCs/>
      <w:color w:val="000000"/>
      <w:lang w:val="en-GB"/>
    </w:rPr>
  </w:style>
  <w:style w:type="character" w:customStyle="1" w:styleId="CommentSubjectChar">
    <w:name w:val="Comment Subject Char"/>
    <w:basedOn w:val="CommentTextChar"/>
    <w:link w:val="CommentSubject"/>
    <w:uiPriority w:val="99"/>
    <w:semiHidden/>
    <w:rsid w:val="00713594"/>
    <w:rPr>
      <w:b/>
      <w:bCs/>
      <w:color w:val="000000"/>
      <w:sz w:val="20"/>
      <w:szCs w:val="20"/>
      <w:lang w:val="en-GB"/>
    </w:rPr>
  </w:style>
  <w:style w:type="table" w:styleId="TableGrid">
    <w:name w:val="Table Grid"/>
    <w:basedOn w:val="TableNormal"/>
    <w:uiPriority w:val="39"/>
    <w:rsid w:val="00DD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F0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5A612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styleId="NoSpacing">
    <w:name w:val="No Spacing"/>
    <w:link w:val="NoSpacingChar"/>
    <w:uiPriority w:val="1"/>
    <w:qFormat/>
    <w:rsid w:val="000D26B3"/>
    <w:pPr>
      <w:spacing w:after="0" w:line="240" w:lineRule="auto"/>
    </w:pPr>
    <w:rPr>
      <w:rFonts w:eastAsiaTheme="minorEastAsia"/>
    </w:rPr>
  </w:style>
  <w:style w:type="character" w:customStyle="1" w:styleId="NoSpacingChar">
    <w:name w:val="No Spacing Char"/>
    <w:basedOn w:val="DefaultParagraphFont"/>
    <w:link w:val="NoSpacing"/>
    <w:uiPriority w:val="1"/>
    <w:rsid w:val="000D26B3"/>
    <w:rPr>
      <w:rFonts w:eastAsiaTheme="minorEastAsia"/>
    </w:rPr>
  </w:style>
  <w:style w:type="paragraph" w:styleId="Revision">
    <w:name w:val="Revision"/>
    <w:hidden/>
    <w:uiPriority w:val="99"/>
    <w:semiHidden/>
    <w:rsid w:val="005C7D6D"/>
    <w:pPr>
      <w:spacing w:after="0" w:line="240" w:lineRule="auto"/>
    </w:pPr>
    <w:rPr>
      <w:color w:val="000000"/>
      <w:sz w:val="18"/>
      <w:lang w:val="en-GB"/>
    </w:rPr>
  </w:style>
  <w:style w:type="paragraph" w:styleId="TOCHeading">
    <w:name w:val="TOC Heading"/>
    <w:basedOn w:val="Heading1"/>
    <w:next w:val="Normal"/>
    <w:uiPriority w:val="39"/>
    <w:unhideWhenUsed/>
    <w:qFormat/>
    <w:rsid w:val="002631B5"/>
    <w:pPr>
      <w:spacing w:before="240" w:after="0" w:line="259" w:lineRule="auto"/>
      <w:outlineLvl w:val="9"/>
    </w:pPr>
    <w:rPr>
      <w:color w:val="94497E" w:themeColor="accent1" w:themeShade="BF"/>
      <w:sz w:val="32"/>
      <w:lang w:val="en-US"/>
    </w:rPr>
  </w:style>
  <w:style w:type="paragraph" w:styleId="TOC1">
    <w:name w:val="toc 1"/>
    <w:basedOn w:val="Normal"/>
    <w:next w:val="Normal"/>
    <w:autoRedefine/>
    <w:uiPriority w:val="39"/>
    <w:unhideWhenUsed/>
    <w:rsid w:val="002631B5"/>
    <w:pPr>
      <w:spacing w:after="100"/>
    </w:pPr>
  </w:style>
  <w:style w:type="paragraph" w:styleId="TOC2">
    <w:name w:val="toc 2"/>
    <w:basedOn w:val="Normal"/>
    <w:next w:val="Normal"/>
    <w:autoRedefine/>
    <w:uiPriority w:val="39"/>
    <w:unhideWhenUsed/>
    <w:rsid w:val="00EF5E56"/>
    <w:pPr>
      <w:tabs>
        <w:tab w:val="right" w:leader="dot" w:pos="9060"/>
      </w:tabs>
      <w:spacing w:after="100"/>
      <w:ind w:left="180"/>
    </w:pPr>
    <w:rPr>
      <w:b/>
      <w:bCs/>
      <w:noProof/>
      <w:szCs w:val="18"/>
    </w:rPr>
  </w:style>
  <w:style w:type="character" w:styleId="FollowedHyperlink">
    <w:name w:val="FollowedHyperlink"/>
    <w:basedOn w:val="DefaultParagraphFont"/>
    <w:uiPriority w:val="99"/>
    <w:semiHidden/>
    <w:unhideWhenUsed/>
    <w:rsid w:val="004A7B69"/>
    <w:rPr>
      <w:color w:val="B870A3" w:themeColor="followedHyperlink"/>
      <w:u w:val="single"/>
    </w:rPr>
  </w:style>
  <w:style w:type="paragraph" w:styleId="TOC3">
    <w:name w:val="toc 3"/>
    <w:basedOn w:val="Normal"/>
    <w:next w:val="Normal"/>
    <w:autoRedefine/>
    <w:uiPriority w:val="39"/>
    <w:unhideWhenUsed/>
    <w:rsid w:val="003C032B"/>
    <w:pPr>
      <w:tabs>
        <w:tab w:val="left" w:pos="880"/>
        <w:tab w:val="right" w:leader="dot" w:pos="9060"/>
      </w:tabs>
      <w:spacing w:after="100" w:line="259" w:lineRule="auto"/>
      <w:jc w:val="left"/>
    </w:pPr>
    <w:rPr>
      <w:rFonts w:eastAsiaTheme="minorEastAsia" w:cs="Times New Roman"/>
      <w:color w:val="auto"/>
      <w:sz w:val="22"/>
      <w:lang w:val="en-US"/>
    </w:rPr>
  </w:style>
  <w:style w:type="character" w:customStyle="1" w:styleId="Heading4Char">
    <w:name w:val="Heading 4 Char"/>
    <w:basedOn w:val="DefaultParagraphFont"/>
    <w:link w:val="Heading4"/>
    <w:uiPriority w:val="9"/>
    <w:rsid w:val="00EF465E"/>
    <w:rPr>
      <w:rFonts w:asciiTheme="majorHAnsi" w:eastAsiaTheme="majorEastAsia" w:hAnsiTheme="majorHAnsi" w:cstheme="majorBidi"/>
      <w:i/>
      <w:iCs/>
      <w:color w:val="94497E"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531">
      <w:bodyDiv w:val="1"/>
      <w:marLeft w:val="0"/>
      <w:marRight w:val="0"/>
      <w:marTop w:val="0"/>
      <w:marBottom w:val="0"/>
      <w:divBdr>
        <w:top w:val="none" w:sz="0" w:space="0" w:color="auto"/>
        <w:left w:val="none" w:sz="0" w:space="0" w:color="auto"/>
        <w:bottom w:val="none" w:sz="0" w:space="0" w:color="auto"/>
        <w:right w:val="none" w:sz="0" w:space="0" w:color="auto"/>
      </w:divBdr>
    </w:div>
    <w:div w:id="64422984">
      <w:bodyDiv w:val="1"/>
      <w:marLeft w:val="0"/>
      <w:marRight w:val="0"/>
      <w:marTop w:val="0"/>
      <w:marBottom w:val="0"/>
      <w:divBdr>
        <w:top w:val="none" w:sz="0" w:space="0" w:color="auto"/>
        <w:left w:val="none" w:sz="0" w:space="0" w:color="auto"/>
        <w:bottom w:val="none" w:sz="0" w:space="0" w:color="auto"/>
        <w:right w:val="none" w:sz="0" w:space="0" w:color="auto"/>
      </w:divBdr>
    </w:div>
    <w:div w:id="139884737">
      <w:bodyDiv w:val="1"/>
      <w:marLeft w:val="0"/>
      <w:marRight w:val="0"/>
      <w:marTop w:val="0"/>
      <w:marBottom w:val="0"/>
      <w:divBdr>
        <w:top w:val="none" w:sz="0" w:space="0" w:color="auto"/>
        <w:left w:val="none" w:sz="0" w:space="0" w:color="auto"/>
        <w:bottom w:val="none" w:sz="0" w:space="0" w:color="auto"/>
        <w:right w:val="none" w:sz="0" w:space="0" w:color="auto"/>
      </w:divBdr>
    </w:div>
    <w:div w:id="198393109">
      <w:bodyDiv w:val="1"/>
      <w:marLeft w:val="0"/>
      <w:marRight w:val="0"/>
      <w:marTop w:val="0"/>
      <w:marBottom w:val="0"/>
      <w:divBdr>
        <w:top w:val="none" w:sz="0" w:space="0" w:color="auto"/>
        <w:left w:val="none" w:sz="0" w:space="0" w:color="auto"/>
        <w:bottom w:val="none" w:sz="0" w:space="0" w:color="auto"/>
        <w:right w:val="none" w:sz="0" w:space="0" w:color="auto"/>
      </w:divBdr>
    </w:div>
    <w:div w:id="286086850">
      <w:bodyDiv w:val="1"/>
      <w:marLeft w:val="0"/>
      <w:marRight w:val="0"/>
      <w:marTop w:val="0"/>
      <w:marBottom w:val="0"/>
      <w:divBdr>
        <w:top w:val="none" w:sz="0" w:space="0" w:color="auto"/>
        <w:left w:val="none" w:sz="0" w:space="0" w:color="auto"/>
        <w:bottom w:val="none" w:sz="0" w:space="0" w:color="auto"/>
        <w:right w:val="none" w:sz="0" w:space="0" w:color="auto"/>
      </w:divBdr>
    </w:div>
    <w:div w:id="320812149">
      <w:bodyDiv w:val="1"/>
      <w:marLeft w:val="0"/>
      <w:marRight w:val="0"/>
      <w:marTop w:val="0"/>
      <w:marBottom w:val="0"/>
      <w:divBdr>
        <w:top w:val="none" w:sz="0" w:space="0" w:color="auto"/>
        <w:left w:val="none" w:sz="0" w:space="0" w:color="auto"/>
        <w:bottom w:val="none" w:sz="0" w:space="0" w:color="auto"/>
        <w:right w:val="none" w:sz="0" w:space="0" w:color="auto"/>
      </w:divBdr>
    </w:div>
    <w:div w:id="552037338">
      <w:bodyDiv w:val="1"/>
      <w:marLeft w:val="0"/>
      <w:marRight w:val="0"/>
      <w:marTop w:val="0"/>
      <w:marBottom w:val="0"/>
      <w:divBdr>
        <w:top w:val="none" w:sz="0" w:space="0" w:color="auto"/>
        <w:left w:val="none" w:sz="0" w:space="0" w:color="auto"/>
        <w:bottom w:val="none" w:sz="0" w:space="0" w:color="auto"/>
        <w:right w:val="none" w:sz="0" w:space="0" w:color="auto"/>
      </w:divBdr>
    </w:div>
    <w:div w:id="594901419">
      <w:bodyDiv w:val="1"/>
      <w:marLeft w:val="0"/>
      <w:marRight w:val="0"/>
      <w:marTop w:val="0"/>
      <w:marBottom w:val="0"/>
      <w:divBdr>
        <w:top w:val="none" w:sz="0" w:space="0" w:color="auto"/>
        <w:left w:val="none" w:sz="0" w:space="0" w:color="auto"/>
        <w:bottom w:val="none" w:sz="0" w:space="0" w:color="auto"/>
        <w:right w:val="none" w:sz="0" w:space="0" w:color="auto"/>
      </w:divBdr>
    </w:div>
    <w:div w:id="669718551">
      <w:bodyDiv w:val="1"/>
      <w:marLeft w:val="0"/>
      <w:marRight w:val="0"/>
      <w:marTop w:val="0"/>
      <w:marBottom w:val="0"/>
      <w:divBdr>
        <w:top w:val="none" w:sz="0" w:space="0" w:color="auto"/>
        <w:left w:val="none" w:sz="0" w:space="0" w:color="auto"/>
        <w:bottom w:val="none" w:sz="0" w:space="0" w:color="auto"/>
        <w:right w:val="none" w:sz="0" w:space="0" w:color="auto"/>
      </w:divBdr>
    </w:div>
    <w:div w:id="712923008">
      <w:bodyDiv w:val="1"/>
      <w:marLeft w:val="0"/>
      <w:marRight w:val="0"/>
      <w:marTop w:val="0"/>
      <w:marBottom w:val="0"/>
      <w:divBdr>
        <w:top w:val="none" w:sz="0" w:space="0" w:color="auto"/>
        <w:left w:val="none" w:sz="0" w:space="0" w:color="auto"/>
        <w:bottom w:val="none" w:sz="0" w:space="0" w:color="auto"/>
        <w:right w:val="none" w:sz="0" w:space="0" w:color="auto"/>
      </w:divBdr>
    </w:div>
    <w:div w:id="842864643">
      <w:bodyDiv w:val="1"/>
      <w:marLeft w:val="0"/>
      <w:marRight w:val="0"/>
      <w:marTop w:val="0"/>
      <w:marBottom w:val="0"/>
      <w:divBdr>
        <w:top w:val="none" w:sz="0" w:space="0" w:color="auto"/>
        <w:left w:val="none" w:sz="0" w:space="0" w:color="auto"/>
        <w:bottom w:val="none" w:sz="0" w:space="0" w:color="auto"/>
        <w:right w:val="none" w:sz="0" w:space="0" w:color="auto"/>
      </w:divBdr>
    </w:div>
    <w:div w:id="868103702">
      <w:bodyDiv w:val="1"/>
      <w:marLeft w:val="0"/>
      <w:marRight w:val="0"/>
      <w:marTop w:val="0"/>
      <w:marBottom w:val="0"/>
      <w:divBdr>
        <w:top w:val="none" w:sz="0" w:space="0" w:color="auto"/>
        <w:left w:val="none" w:sz="0" w:space="0" w:color="auto"/>
        <w:bottom w:val="none" w:sz="0" w:space="0" w:color="auto"/>
        <w:right w:val="none" w:sz="0" w:space="0" w:color="auto"/>
      </w:divBdr>
    </w:div>
    <w:div w:id="1018968881">
      <w:bodyDiv w:val="1"/>
      <w:marLeft w:val="0"/>
      <w:marRight w:val="0"/>
      <w:marTop w:val="0"/>
      <w:marBottom w:val="0"/>
      <w:divBdr>
        <w:top w:val="none" w:sz="0" w:space="0" w:color="auto"/>
        <w:left w:val="none" w:sz="0" w:space="0" w:color="auto"/>
        <w:bottom w:val="none" w:sz="0" w:space="0" w:color="auto"/>
        <w:right w:val="none" w:sz="0" w:space="0" w:color="auto"/>
      </w:divBdr>
      <w:divsChild>
        <w:div w:id="230123982">
          <w:marLeft w:val="1166"/>
          <w:marRight w:val="0"/>
          <w:marTop w:val="0"/>
          <w:marBottom w:val="113"/>
          <w:divBdr>
            <w:top w:val="none" w:sz="0" w:space="0" w:color="auto"/>
            <w:left w:val="none" w:sz="0" w:space="0" w:color="auto"/>
            <w:bottom w:val="none" w:sz="0" w:space="0" w:color="auto"/>
            <w:right w:val="none" w:sz="0" w:space="0" w:color="auto"/>
          </w:divBdr>
        </w:div>
        <w:div w:id="829558244">
          <w:marLeft w:val="1166"/>
          <w:marRight w:val="0"/>
          <w:marTop w:val="0"/>
          <w:marBottom w:val="113"/>
          <w:divBdr>
            <w:top w:val="none" w:sz="0" w:space="0" w:color="auto"/>
            <w:left w:val="none" w:sz="0" w:space="0" w:color="auto"/>
            <w:bottom w:val="none" w:sz="0" w:space="0" w:color="auto"/>
            <w:right w:val="none" w:sz="0" w:space="0" w:color="auto"/>
          </w:divBdr>
        </w:div>
        <w:div w:id="1216233493">
          <w:marLeft w:val="1166"/>
          <w:marRight w:val="0"/>
          <w:marTop w:val="0"/>
          <w:marBottom w:val="113"/>
          <w:divBdr>
            <w:top w:val="none" w:sz="0" w:space="0" w:color="auto"/>
            <w:left w:val="none" w:sz="0" w:space="0" w:color="auto"/>
            <w:bottom w:val="none" w:sz="0" w:space="0" w:color="auto"/>
            <w:right w:val="none" w:sz="0" w:space="0" w:color="auto"/>
          </w:divBdr>
        </w:div>
        <w:div w:id="1258292913">
          <w:marLeft w:val="547"/>
          <w:marRight w:val="0"/>
          <w:marTop w:val="0"/>
          <w:marBottom w:val="113"/>
          <w:divBdr>
            <w:top w:val="none" w:sz="0" w:space="0" w:color="auto"/>
            <w:left w:val="none" w:sz="0" w:space="0" w:color="auto"/>
            <w:bottom w:val="none" w:sz="0" w:space="0" w:color="auto"/>
            <w:right w:val="none" w:sz="0" w:space="0" w:color="auto"/>
          </w:divBdr>
        </w:div>
        <w:div w:id="1738239802">
          <w:marLeft w:val="1166"/>
          <w:marRight w:val="0"/>
          <w:marTop w:val="0"/>
          <w:marBottom w:val="170"/>
          <w:divBdr>
            <w:top w:val="none" w:sz="0" w:space="0" w:color="auto"/>
            <w:left w:val="none" w:sz="0" w:space="0" w:color="auto"/>
            <w:bottom w:val="none" w:sz="0" w:space="0" w:color="auto"/>
            <w:right w:val="none" w:sz="0" w:space="0" w:color="auto"/>
          </w:divBdr>
        </w:div>
      </w:divsChild>
    </w:div>
    <w:div w:id="1035619691">
      <w:bodyDiv w:val="1"/>
      <w:marLeft w:val="0"/>
      <w:marRight w:val="0"/>
      <w:marTop w:val="0"/>
      <w:marBottom w:val="0"/>
      <w:divBdr>
        <w:top w:val="none" w:sz="0" w:space="0" w:color="auto"/>
        <w:left w:val="none" w:sz="0" w:space="0" w:color="auto"/>
        <w:bottom w:val="none" w:sz="0" w:space="0" w:color="auto"/>
        <w:right w:val="none" w:sz="0" w:space="0" w:color="auto"/>
      </w:divBdr>
    </w:div>
    <w:div w:id="1042094783">
      <w:bodyDiv w:val="1"/>
      <w:marLeft w:val="0"/>
      <w:marRight w:val="0"/>
      <w:marTop w:val="0"/>
      <w:marBottom w:val="0"/>
      <w:divBdr>
        <w:top w:val="none" w:sz="0" w:space="0" w:color="auto"/>
        <w:left w:val="none" w:sz="0" w:space="0" w:color="auto"/>
        <w:bottom w:val="none" w:sz="0" w:space="0" w:color="auto"/>
        <w:right w:val="none" w:sz="0" w:space="0" w:color="auto"/>
      </w:divBdr>
    </w:div>
    <w:div w:id="1138761271">
      <w:bodyDiv w:val="1"/>
      <w:marLeft w:val="0"/>
      <w:marRight w:val="0"/>
      <w:marTop w:val="0"/>
      <w:marBottom w:val="0"/>
      <w:divBdr>
        <w:top w:val="none" w:sz="0" w:space="0" w:color="auto"/>
        <w:left w:val="none" w:sz="0" w:space="0" w:color="auto"/>
        <w:bottom w:val="none" w:sz="0" w:space="0" w:color="auto"/>
        <w:right w:val="none" w:sz="0" w:space="0" w:color="auto"/>
      </w:divBdr>
    </w:div>
    <w:div w:id="1395273340">
      <w:bodyDiv w:val="1"/>
      <w:marLeft w:val="0"/>
      <w:marRight w:val="0"/>
      <w:marTop w:val="0"/>
      <w:marBottom w:val="0"/>
      <w:divBdr>
        <w:top w:val="none" w:sz="0" w:space="0" w:color="auto"/>
        <w:left w:val="none" w:sz="0" w:space="0" w:color="auto"/>
        <w:bottom w:val="none" w:sz="0" w:space="0" w:color="auto"/>
        <w:right w:val="none" w:sz="0" w:space="0" w:color="auto"/>
      </w:divBdr>
    </w:div>
    <w:div w:id="1466894008">
      <w:bodyDiv w:val="1"/>
      <w:marLeft w:val="0"/>
      <w:marRight w:val="0"/>
      <w:marTop w:val="0"/>
      <w:marBottom w:val="0"/>
      <w:divBdr>
        <w:top w:val="none" w:sz="0" w:space="0" w:color="auto"/>
        <w:left w:val="none" w:sz="0" w:space="0" w:color="auto"/>
        <w:bottom w:val="none" w:sz="0" w:space="0" w:color="auto"/>
        <w:right w:val="none" w:sz="0" w:space="0" w:color="auto"/>
      </w:divBdr>
    </w:div>
    <w:div w:id="1606310102">
      <w:bodyDiv w:val="1"/>
      <w:marLeft w:val="0"/>
      <w:marRight w:val="0"/>
      <w:marTop w:val="0"/>
      <w:marBottom w:val="0"/>
      <w:divBdr>
        <w:top w:val="none" w:sz="0" w:space="0" w:color="auto"/>
        <w:left w:val="none" w:sz="0" w:space="0" w:color="auto"/>
        <w:bottom w:val="none" w:sz="0" w:space="0" w:color="auto"/>
        <w:right w:val="none" w:sz="0" w:space="0" w:color="auto"/>
      </w:divBdr>
    </w:div>
    <w:div w:id="1820076514">
      <w:bodyDiv w:val="1"/>
      <w:marLeft w:val="0"/>
      <w:marRight w:val="0"/>
      <w:marTop w:val="0"/>
      <w:marBottom w:val="0"/>
      <w:divBdr>
        <w:top w:val="none" w:sz="0" w:space="0" w:color="auto"/>
        <w:left w:val="none" w:sz="0" w:space="0" w:color="auto"/>
        <w:bottom w:val="none" w:sz="0" w:space="0" w:color="auto"/>
        <w:right w:val="none" w:sz="0" w:space="0" w:color="auto"/>
      </w:divBdr>
    </w:div>
    <w:div w:id="1944651673">
      <w:bodyDiv w:val="1"/>
      <w:marLeft w:val="0"/>
      <w:marRight w:val="0"/>
      <w:marTop w:val="0"/>
      <w:marBottom w:val="0"/>
      <w:divBdr>
        <w:top w:val="none" w:sz="0" w:space="0" w:color="auto"/>
        <w:left w:val="none" w:sz="0" w:space="0" w:color="auto"/>
        <w:bottom w:val="none" w:sz="0" w:space="0" w:color="auto"/>
        <w:right w:val="none" w:sz="0" w:space="0" w:color="auto"/>
      </w:divBdr>
    </w:div>
    <w:div w:id="2016154062">
      <w:bodyDiv w:val="1"/>
      <w:marLeft w:val="0"/>
      <w:marRight w:val="0"/>
      <w:marTop w:val="0"/>
      <w:marBottom w:val="0"/>
      <w:divBdr>
        <w:top w:val="none" w:sz="0" w:space="0" w:color="auto"/>
        <w:left w:val="none" w:sz="0" w:space="0" w:color="auto"/>
        <w:bottom w:val="none" w:sz="0" w:space="0" w:color="auto"/>
        <w:right w:val="none" w:sz="0" w:space="0" w:color="auto"/>
      </w:divBdr>
    </w:div>
    <w:div w:id="2039114514">
      <w:bodyDiv w:val="1"/>
      <w:marLeft w:val="0"/>
      <w:marRight w:val="0"/>
      <w:marTop w:val="0"/>
      <w:marBottom w:val="0"/>
      <w:divBdr>
        <w:top w:val="none" w:sz="0" w:space="0" w:color="auto"/>
        <w:left w:val="none" w:sz="0" w:space="0" w:color="auto"/>
        <w:bottom w:val="none" w:sz="0" w:space="0" w:color="auto"/>
        <w:right w:val="none" w:sz="0" w:space="0" w:color="auto"/>
      </w:divBdr>
    </w:div>
    <w:div w:id="206845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EUROPEN">
      <a:dk1>
        <a:srgbClr val="000000"/>
      </a:dk1>
      <a:lt1>
        <a:srgbClr val="FFFFFF"/>
      </a:lt1>
      <a:dk2>
        <a:srgbClr val="1494B2"/>
      </a:dk2>
      <a:lt2>
        <a:srgbClr val="CCCCCC"/>
      </a:lt2>
      <a:accent1>
        <a:srgbClr val="B870A3"/>
      </a:accent1>
      <a:accent2>
        <a:srgbClr val="036178"/>
      </a:accent2>
      <a:accent3>
        <a:srgbClr val="8C1A6B"/>
      </a:accent3>
      <a:accent4>
        <a:srgbClr val="1CC4ED"/>
      </a:accent4>
      <a:accent5>
        <a:srgbClr val="B870A3"/>
      </a:accent5>
      <a:accent6>
        <a:srgbClr val="666666"/>
      </a:accent6>
      <a:hlink>
        <a:srgbClr val="1494B2"/>
      </a:hlink>
      <a:folHlink>
        <a:srgbClr val="B870A3"/>
      </a:folHlink>
    </a:clrScheme>
    <a:fontScheme name="EUROPEN">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EDF97293AB4C43A1219130AC404E71" ma:contentTypeVersion="13" ma:contentTypeDescription="Create a new document." ma:contentTypeScope="" ma:versionID="f87fe196a322657f2f2334a0595446bb">
  <xsd:schema xmlns:xsd="http://www.w3.org/2001/XMLSchema" xmlns:xs="http://www.w3.org/2001/XMLSchema" xmlns:p="http://schemas.microsoft.com/office/2006/metadata/properties" xmlns:ns2="71ed56f1-3bd0-4974-8334-91f0c311a451" xmlns:ns3="38ec7c3e-2d3b-4369-aaaf-651c64678f84" targetNamespace="http://schemas.microsoft.com/office/2006/metadata/properties" ma:root="true" ma:fieldsID="2ba3d8e25e89b2c6c13462b217c4384c" ns2:_="" ns3:_="">
    <xsd:import namespace="71ed56f1-3bd0-4974-8334-91f0c311a451"/>
    <xsd:import namespace="38ec7c3e-2d3b-4369-aaaf-651c64678f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d56f1-3bd0-4974-8334-91f0c311a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c7c3e-2d3b-4369-aaaf-651c64678f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59BEE-29F3-4F9B-B51F-BD733BD1C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6079C-7B4A-4EC0-AD48-EF4181777282}">
  <ds:schemaRefs>
    <ds:schemaRef ds:uri="http://schemas.microsoft.com/sharepoint/v3/contenttype/forms"/>
  </ds:schemaRefs>
</ds:datastoreItem>
</file>

<file path=customXml/itemProps3.xml><?xml version="1.0" encoding="utf-8"?>
<ds:datastoreItem xmlns:ds="http://schemas.openxmlformats.org/officeDocument/2006/customXml" ds:itemID="{0A01AF9B-97D6-4913-A89E-746F6D1E512D}">
  <ds:schemaRefs>
    <ds:schemaRef ds:uri="http://schemas.openxmlformats.org/officeDocument/2006/bibliography"/>
  </ds:schemaRefs>
</ds:datastoreItem>
</file>

<file path=customXml/itemProps4.xml><?xml version="1.0" encoding="utf-8"?>
<ds:datastoreItem xmlns:ds="http://schemas.openxmlformats.org/officeDocument/2006/customXml" ds:itemID="{B0D1ADA3-7191-42FE-BBC9-E2BFB3B9F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d56f1-3bd0-4974-8334-91f0c311a451"/>
    <ds:schemaRef ds:uri="38ec7c3e-2d3b-4369-aaaf-651c64678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3007</Words>
  <Characters>16269</Characters>
  <Application>Microsoft Office Word</Application>
  <DocSecurity>0</DocSecurity>
  <Lines>677</Lines>
  <Paragraphs>344</Paragraphs>
  <ScaleCrop>false</ScaleCrop>
  <Company/>
  <LinksUpToDate>false</LinksUpToDate>
  <CharactersWithSpaces>18932</CharactersWithSpaces>
  <SharedDoc>false</SharedDoc>
  <HLinks>
    <vt:vector size="60" baseType="variant">
      <vt:variant>
        <vt:i4>1966133</vt:i4>
      </vt:variant>
      <vt:variant>
        <vt:i4>56</vt:i4>
      </vt:variant>
      <vt:variant>
        <vt:i4>0</vt:i4>
      </vt:variant>
      <vt:variant>
        <vt:i4>5</vt:i4>
      </vt:variant>
      <vt:variant>
        <vt:lpwstr/>
      </vt:variant>
      <vt:variant>
        <vt:lpwstr>_Toc105081986</vt:lpwstr>
      </vt:variant>
      <vt:variant>
        <vt:i4>1966133</vt:i4>
      </vt:variant>
      <vt:variant>
        <vt:i4>50</vt:i4>
      </vt:variant>
      <vt:variant>
        <vt:i4>0</vt:i4>
      </vt:variant>
      <vt:variant>
        <vt:i4>5</vt:i4>
      </vt:variant>
      <vt:variant>
        <vt:lpwstr/>
      </vt:variant>
      <vt:variant>
        <vt:lpwstr>_Toc105081985</vt:lpwstr>
      </vt:variant>
      <vt:variant>
        <vt:i4>1966133</vt:i4>
      </vt:variant>
      <vt:variant>
        <vt:i4>44</vt:i4>
      </vt:variant>
      <vt:variant>
        <vt:i4>0</vt:i4>
      </vt:variant>
      <vt:variant>
        <vt:i4>5</vt:i4>
      </vt:variant>
      <vt:variant>
        <vt:lpwstr/>
      </vt:variant>
      <vt:variant>
        <vt:lpwstr>_Toc105081984</vt:lpwstr>
      </vt:variant>
      <vt:variant>
        <vt:i4>1966133</vt:i4>
      </vt:variant>
      <vt:variant>
        <vt:i4>38</vt:i4>
      </vt:variant>
      <vt:variant>
        <vt:i4>0</vt:i4>
      </vt:variant>
      <vt:variant>
        <vt:i4>5</vt:i4>
      </vt:variant>
      <vt:variant>
        <vt:lpwstr/>
      </vt:variant>
      <vt:variant>
        <vt:lpwstr>_Toc105081983</vt:lpwstr>
      </vt:variant>
      <vt:variant>
        <vt:i4>1966133</vt:i4>
      </vt:variant>
      <vt:variant>
        <vt:i4>32</vt:i4>
      </vt:variant>
      <vt:variant>
        <vt:i4>0</vt:i4>
      </vt:variant>
      <vt:variant>
        <vt:i4>5</vt:i4>
      </vt:variant>
      <vt:variant>
        <vt:lpwstr/>
      </vt:variant>
      <vt:variant>
        <vt:lpwstr>_Toc105081982</vt:lpwstr>
      </vt:variant>
      <vt:variant>
        <vt:i4>1966133</vt:i4>
      </vt:variant>
      <vt:variant>
        <vt:i4>26</vt:i4>
      </vt:variant>
      <vt:variant>
        <vt:i4>0</vt:i4>
      </vt:variant>
      <vt:variant>
        <vt:i4>5</vt:i4>
      </vt:variant>
      <vt:variant>
        <vt:lpwstr/>
      </vt:variant>
      <vt:variant>
        <vt:lpwstr>_Toc105081981</vt:lpwstr>
      </vt:variant>
      <vt:variant>
        <vt:i4>1966133</vt:i4>
      </vt:variant>
      <vt:variant>
        <vt:i4>20</vt:i4>
      </vt:variant>
      <vt:variant>
        <vt:i4>0</vt:i4>
      </vt:variant>
      <vt:variant>
        <vt:i4>5</vt:i4>
      </vt:variant>
      <vt:variant>
        <vt:lpwstr/>
      </vt:variant>
      <vt:variant>
        <vt:lpwstr>_Toc105081980</vt:lpwstr>
      </vt:variant>
      <vt:variant>
        <vt:i4>1114165</vt:i4>
      </vt:variant>
      <vt:variant>
        <vt:i4>14</vt:i4>
      </vt:variant>
      <vt:variant>
        <vt:i4>0</vt:i4>
      </vt:variant>
      <vt:variant>
        <vt:i4>5</vt:i4>
      </vt:variant>
      <vt:variant>
        <vt:lpwstr/>
      </vt:variant>
      <vt:variant>
        <vt:lpwstr>_Toc105081979</vt:lpwstr>
      </vt:variant>
      <vt:variant>
        <vt:i4>1114165</vt:i4>
      </vt:variant>
      <vt:variant>
        <vt:i4>8</vt:i4>
      </vt:variant>
      <vt:variant>
        <vt:i4>0</vt:i4>
      </vt:variant>
      <vt:variant>
        <vt:i4>5</vt:i4>
      </vt:variant>
      <vt:variant>
        <vt:lpwstr/>
      </vt:variant>
      <vt:variant>
        <vt:lpwstr>_Toc105081978</vt:lpwstr>
      </vt:variant>
      <vt:variant>
        <vt:i4>1114165</vt:i4>
      </vt:variant>
      <vt:variant>
        <vt:i4>2</vt:i4>
      </vt:variant>
      <vt:variant>
        <vt:i4>0</vt:i4>
      </vt:variant>
      <vt:variant>
        <vt:i4>5</vt:i4>
      </vt:variant>
      <vt:variant>
        <vt:lpwstr/>
      </vt:variant>
      <vt:variant>
        <vt:lpwstr>_Toc105081977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Zeipen</dc:creator>
  <cp:keywords/>
  <dc:description/>
  <cp:lastModifiedBy>AdminO365</cp:lastModifiedBy>
  <cp:revision>2</cp:revision>
  <cp:lastPrinted>2021-07-10T03:30:00Z</cp:lastPrinted>
  <dcterms:created xsi:type="dcterms:W3CDTF">2022-06-09T14:01:00Z</dcterms:created>
  <dcterms:modified xsi:type="dcterms:W3CDTF">2022-06-09T14:01:00Z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0x01010045EDF97293AB4C43A1219130AC404E71</vt:lpwstr>
  </property>
</Properties>
</file>