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9017B" w14:textId="77777777" w:rsidR="007A1745" w:rsidRPr="000F5DDC" w:rsidRDefault="00D63432" w:rsidP="00EC2C25">
      <w:pPr>
        <w:jc w:val="right"/>
        <w:rPr>
          <w:rFonts w:ascii="Tahoma" w:hAnsi="Tahoma" w:cs="Tahoma"/>
          <w:color w:val="0D1957"/>
          <w:sz w:val="36"/>
          <w:szCs w:val="36"/>
          <w:lang w:val="en-US"/>
        </w:rPr>
      </w:pPr>
      <w:r w:rsidRPr="000F5DDC">
        <w:rPr>
          <w:rFonts w:ascii="Tahoma" w:hAnsi="Tahoma" w:cs="Tahoma"/>
          <w:color w:val="0D1957"/>
          <w:sz w:val="36"/>
          <w:szCs w:val="36"/>
          <w:lang w:val="en-US"/>
        </w:rPr>
        <w:t xml:space="preserve">FOR </w:t>
      </w:r>
      <w:r w:rsidR="00242C81" w:rsidRPr="000F5DDC">
        <w:rPr>
          <w:rFonts w:ascii="Tahoma" w:hAnsi="Tahoma" w:cs="Tahoma"/>
          <w:color w:val="0D1957"/>
          <w:sz w:val="36"/>
          <w:szCs w:val="36"/>
          <w:lang w:val="en-US"/>
        </w:rPr>
        <w:t>IN</w:t>
      </w:r>
      <w:r w:rsidR="00D2692A" w:rsidRPr="000F5DDC">
        <w:rPr>
          <w:rFonts w:ascii="Tahoma" w:hAnsi="Tahoma" w:cs="Tahoma"/>
          <w:color w:val="0D1957"/>
          <w:sz w:val="36"/>
          <w:szCs w:val="36"/>
          <w:lang w:val="en-US"/>
        </w:rPr>
        <w:t>PUT</w:t>
      </w:r>
      <w:r w:rsidR="00242C81" w:rsidRPr="000F5DDC">
        <w:rPr>
          <w:rFonts w:ascii="Tahoma" w:hAnsi="Tahoma" w:cs="Tahoma"/>
          <w:color w:val="0D1957"/>
          <w:sz w:val="36"/>
          <w:szCs w:val="36"/>
          <w:lang w:val="en-US"/>
        </w:rPr>
        <w:t xml:space="preserve"> </w:t>
      </w:r>
    </w:p>
    <w:p w14:paraId="68AFE4E2" w14:textId="77777777" w:rsidR="001C6F0C" w:rsidRDefault="001C6F0C" w:rsidP="00E7365A">
      <w:pPr>
        <w:tabs>
          <w:tab w:val="left" w:pos="7088"/>
        </w:tabs>
        <w:jc w:val="right"/>
        <w:rPr>
          <w:rFonts w:cs="Arial"/>
          <w:szCs w:val="22"/>
          <w:lang w:val="en-US"/>
        </w:rPr>
      </w:pPr>
    </w:p>
    <w:p w14:paraId="125A908C" w14:textId="2A49B4F5" w:rsidR="00E7365A" w:rsidRPr="000F5DDC" w:rsidRDefault="005A13C3" w:rsidP="00E7365A">
      <w:pPr>
        <w:tabs>
          <w:tab w:val="left" w:pos="7088"/>
        </w:tabs>
        <w:jc w:val="right"/>
        <w:rPr>
          <w:rFonts w:cs="Arial"/>
          <w:szCs w:val="22"/>
          <w:lang w:val="en-US"/>
        </w:rPr>
      </w:pPr>
      <w:r>
        <w:rPr>
          <w:rFonts w:cs="Arial"/>
          <w:szCs w:val="22"/>
          <w:lang w:val="en-US"/>
        </w:rPr>
        <w:t>18 May 2022</w:t>
      </w:r>
    </w:p>
    <w:p w14:paraId="145127C2" w14:textId="77777777" w:rsidR="001C6F0C" w:rsidRDefault="001C6F0C" w:rsidP="000F5DDC">
      <w:pPr>
        <w:jc w:val="both"/>
        <w:rPr>
          <w:rFonts w:cs="Arial"/>
          <w:lang w:val="en-US"/>
        </w:rPr>
      </w:pPr>
    </w:p>
    <w:p w14:paraId="74D4CD51" w14:textId="3EEC8FB0" w:rsidR="000F5DDC" w:rsidRPr="000F5DDC" w:rsidRDefault="000F5DDC" w:rsidP="000F5DDC">
      <w:pPr>
        <w:jc w:val="both"/>
        <w:rPr>
          <w:rFonts w:cs="Arial"/>
          <w:lang w:val="en-US"/>
        </w:rPr>
      </w:pPr>
      <w:r w:rsidRPr="000F5DDC">
        <w:rPr>
          <w:rFonts w:cs="Arial"/>
          <w:lang w:val="en-US"/>
        </w:rPr>
        <w:t xml:space="preserve">Dear member, </w:t>
      </w:r>
    </w:p>
    <w:p w14:paraId="22D590B7" w14:textId="77777777" w:rsidR="000F5DDC" w:rsidRPr="000F5DDC" w:rsidRDefault="000F5DDC" w:rsidP="000F5DDC">
      <w:pPr>
        <w:jc w:val="both"/>
        <w:rPr>
          <w:rFonts w:cs="Arial"/>
          <w:lang w:val="en-US"/>
        </w:rPr>
      </w:pPr>
      <w:r w:rsidRPr="000F5DDC">
        <w:rPr>
          <w:rFonts w:cs="Arial"/>
          <w:lang w:val="en-US"/>
        </w:rPr>
        <w:t xml:space="preserve"> </w:t>
      </w:r>
    </w:p>
    <w:p w14:paraId="761D92B8" w14:textId="77777777" w:rsidR="000F5DDC" w:rsidRPr="000F5DDC" w:rsidRDefault="000F5DDC" w:rsidP="000F5DDC">
      <w:pPr>
        <w:jc w:val="both"/>
        <w:rPr>
          <w:rFonts w:cs="Arial"/>
          <w:lang w:val="en-US"/>
        </w:rPr>
      </w:pPr>
      <w:r w:rsidRPr="000F5DDC">
        <w:rPr>
          <w:rFonts w:cs="Arial"/>
          <w:lang w:val="en-US"/>
        </w:rPr>
        <w:t xml:space="preserve">In March, the FoodDrinkEurope Board approved the secretariat’s proposal to develop an industry ‘action plan’ for sustainable food systems. The action plan forms part of our commitment to the Code of Conduct, but will also be used for advocacy, stakeholder relations and reputation building.   </w:t>
      </w:r>
    </w:p>
    <w:p w14:paraId="67929FAB" w14:textId="77777777" w:rsidR="000F5DDC" w:rsidRPr="000F5DDC" w:rsidRDefault="000F5DDC" w:rsidP="000F5DDC">
      <w:pPr>
        <w:jc w:val="both"/>
        <w:rPr>
          <w:rFonts w:cs="Arial"/>
          <w:lang w:val="en-US"/>
        </w:rPr>
      </w:pPr>
    </w:p>
    <w:p w14:paraId="7F0442A7" w14:textId="77777777" w:rsidR="000F5DDC" w:rsidRDefault="000F5DDC" w:rsidP="000F5DDC">
      <w:pPr>
        <w:jc w:val="both"/>
        <w:rPr>
          <w:rFonts w:cs="Arial"/>
        </w:rPr>
      </w:pPr>
      <w:r>
        <w:rPr>
          <w:rFonts w:cs="Arial"/>
        </w:rPr>
        <w:t xml:space="preserve">Below you will find: </w:t>
      </w:r>
    </w:p>
    <w:p w14:paraId="617DF135" w14:textId="77777777" w:rsidR="000F5DDC" w:rsidRDefault="000F5DDC" w:rsidP="000F5DDC">
      <w:pPr>
        <w:jc w:val="both"/>
        <w:rPr>
          <w:rFonts w:cs="Arial"/>
        </w:rPr>
      </w:pPr>
    </w:p>
    <w:p w14:paraId="379B77DD" w14:textId="77777777" w:rsidR="000F5DDC" w:rsidRDefault="000F5DDC" w:rsidP="000F5DDC">
      <w:pPr>
        <w:pStyle w:val="ListParagraph"/>
        <w:numPr>
          <w:ilvl w:val="0"/>
          <w:numId w:val="2"/>
        </w:numPr>
        <w:spacing w:line="240" w:lineRule="auto"/>
        <w:jc w:val="both"/>
        <w:rPr>
          <w:rFonts w:ascii="Arial" w:eastAsia="Calibri" w:hAnsi="Arial" w:cs="Arial"/>
          <w:sz w:val="22"/>
          <w:lang w:eastAsia="fr-BE"/>
        </w:rPr>
      </w:pPr>
      <w:r>
        <w:rPr>
          <w:rFonts w:ascii="Arial" w:eastAsia="Calibri" w:hAnsi="Arial" w:cs="Arial"/>
          <w:sz w:val="22"/>
          <w:lang w:eastAsia="fr-BE"/>
        </w:rPr>
        <w:t>Background information to explain the action plan</w:t>
      </w:r>
    </w:p>
    <w:p w14:paraId="62522B8E" w14:textId="77777777" w:rsidR="000F5DDC" w:rsidRDefault="000F5DDC" w:rsidP="000F5DDC">
      <w:pPr>
        <w:pStyle w:val="ListParagraph"/>
        <w:numPr>
          <w:ilvl w:val="0"/>
          <w:numId w:val="2"/>
        </w:numPr>
        <w:spacing w:line="240" w:lineRule="auto"/>
        <w:jc w:val="both"/>
        <w:rPr>
          <w:rFonts w:ascii="Arial" w:eastAsia="Calibri" w:hAnsi="Arial" w:cs="Arial"/>
          <w:sz w:val="22"/>
          <w:lang w:eastAsia="fr-BE"/>
        </w:rPr>
      </w:pPr>
      <w:r>
        <w:rPr>
          <w:rFonts w:ascii="Arial" w:eastAsia="Calibri" w:hAnsi="Arial" w:cs="Arial"/>
          <w:sz w:val="22"/>
          <w:lang w:eastAsia="fr-BE"/>
        </w:rPr>
        <w:t xml:space="preserve">Annex 1: an overview of the action plan </w:t>
      </w:r>
    </w:p>
    <w:p w14:paraId="055DD15D" w14:textId="77777777" w:rsidR="000F5DDC" w:rsidRDefault="000F5DDC" w:rsidP="000F5DDC">
      <w:pPr>
        <w:pStyle w:val="ListParagraph"/>
        <w:numPr>
          <w:ilvl w:val="0"/>
          <w:numId w:val="2"/>
        </w:numPr>
        <w:spacing w:line="240" w:lineRule="auto"/>
        <w:jc w:val="both"/>
        <w:rPr>
          <w:rFonts w:ascii="Arial" w:eastAsia="Calibri" w:hAnsi="Arial" w:cs="Arial"/>
          <w:sz w:val="22"/>
          <w:lang w:eastAsia="fr-BE"/>
        </w:rPr>
      </w:pPr>
      <w:r>
        <w:rPr>
          <w:rFonts w:ascii="Arial" w:eastAsia="Calibri" w:hAnsi="Arial" w:cs="Arial"/>
          <w:sz w:val="22"/>
          <w:lang w:eastAsia="fr-BE"/>
        </w:rPr>
        <w:t xml:space="preserve">Annex 2: the main body text of the action plan </w:t>
      </w:r>
    </w:p>
    <w:p w14:paraId="7B358A0A" w14:textId="77777777" w:rsidR="000F5DDC" w:rsidRPr="000F5DDC" w:rsidRDefault="000F5DDC" w:rsidP="000F5DDC">
      <w:pPr>
        <w:jc w:val="both"/>
        <w:rPr>
          <w:rFonts w:cs="Arial"/>
          <w:lang w:val="en-US"/>
        </w:rPr>
      </w:pPr>
    </w:p>
    <w:p w14:paraId="4FFD96BF" w14:textId="77777777" w:rsidR="000F5DDC" w:rsidRPr="000F5DDC" w:rsidRDefault="000F5DDC" w:rsidP="000F5DDC">
      <w:pPr>
        <w:jc w:val="both"/>
        <w:rPr>
          <w:rFonts w:cs="Arial"/>
          <w:lang w:val="en-US"/>
        </w:rPr>
      </w:pPr>
      <w:r w:rsidRPr="000F5DDC">
        <w:rPr>
          <w:rFonts w:cs="Arial"/>
          <w:lang w:val="en-US"/>
        </w:rPr>
        <w:t xml:space="preserve">You are kindly asked to provide your feedback on annex 1 and 2 below, by Tuesday May 24. A final round of comments will close on June 7. Please let me know if you have any questions. </w:t>
      </w:r>
    </w:p>
    <w:p w14:paraId="4E8CF3A1" w14:textId="77777777" w:rsidR="000F5DDC" w:rsidRPr="000F5DDC" w:rsidRDefault="000F5DDC" w:rsidP="000F5DDC">
      <w:pPr>
        <w:jc w:val="both"/>
        <w:rPr>
          <w:rFonts w:cs="Arial"/>
          <w:lang w:val="en-US"/>
        </w:rPr>
      </w:pPr>
    </w:p>
    <w:p w14:paraId="106B43F4" w14:textId="77777777" w:rsidR="000F5DDC" w:rsidRPr="000F5DDC" w:rsidRDefault="000F5DDC" w:rsidP="000F5DDC">
      <w:pPr>
        <w:jc w:val="both"/>
        <w:rPr>
          <w:rFonts w:cs="Arial"/>
          <w:lang w:val="en-US"/>
        </w:rPr>
      </w:pPr>
      <w:r w:rsidRPr="000F5DDC">
        <w:rPr>
          <w:rFonts w:cs="Arial"/>
          <w:lang w:val="en-US"/>
        </w:rPr>
        <w:t xml:space="preserve">Kind Regards, </w:t>
      </w:r>
    </w:p>
    <w:p w14:paraId="7E1AA0A8" w14:textId="77777777" w:rsidR="000F5DDC" w:rsidRPr="000F5DDC" w:rsidRDefault="000F5DDC" w:rsidP="000F5DDC">
      <w:pPr>
        <w:jc w:val="both"/>
        <w:rPr>
          <w:rFonts w:cs="Arial"/>
          <w:lang w:val="en-US"/>
        </w:rPr>
      </w:pPr>
    </w:p>
    <w:p w14:paraId="5E925600" w14:textId="77777777" w:rsidR="000F5DDC" w:rsidRPr="000F5DDC" w:rsidRDefault="000F5DDC" w:rsidP="000F5DDC">
      <w:pPr>
        <w:jc w:val="both"/>
        <w:rPr>
          <w:rFonts w:cs="Arial"/>
          <w:lang w:val="en-US"/>
        </w:rPr>
      </w:pPr>
      <w:r w:rsidRPr="000F5DDC">
        <w:rPr>
          <w:rFonts w:cs="Arial"/>
          <w:lang w:val="en-US"/>
        </w:rPr>
        <w:t xml:space="preserve">Will </w:t>
      </w:r>
    </w:p>
    <w:p w14:paraId="2EFA1957" w14:textId="77777777" w:rsidR="000F5DDC" w:rsidRPr="000F5DDC" w:rsidRDefault="000F5DDC" w:rsidP="000F5DDC">
      <w:pPr>
        <w:jc w:val="both"/>
        <w:rPr>
          <w:rFonts w:cs="Arial"/>
          <w:lang w:val="en-US"/>
        </w:rPr>
      </w:pPr>
    </w:p>
    <w:p w14:paraId="4BAAE231" w14:textId="77777777" w:rsidR="000F5DDC" w:rsidRPr="000F5DDC" w:rsidRDefault="000F5DDC" w:rsidP="000F5DDC">
      <w:pPr>
        <w:jc w:val="both"/>
        <w:rPr>
          <w:rFonts w:cs="Arial"/>
          <w:lang w:val="en-US"/>
        </w:rPr>
      </w:pPr>
    </w:p>
    <w:p w14:paraId="75B4457E" w14:textId="77777777" w:rsidR="000F5DDC" w:rsidRPr="000F5DDC" w:rsidRDefault="000F5DDC" w:rsidP="000F5DDC">
      <w:pPr>
        <w:rPr>
          <w:rFonts w:cs="Arial"/>
          <w:b/>
          <w:bCs/>
          <w:u w:val="single"/>
          <w:lang w:val="en-US"/>
        </w:rPr>
      </w:pPr>
      <w:r w:rsidRPr="000F5DDC">
        <w:rPr>
          <w:rFonts w:cs="Arial"/>
          <w:b/>
          <w:bCs/>
          <w:u w:val="single"/>
          <w:lang w:val="en-US"/>
        </w:rPr>
        <w:t>Action plan for sustainable food systems</w:t>
      </w:r>
    </w:p>
    <w:p w14:paraId="1FDAEEDB" w14:textId="77777777" w:rsidR="000F5DDC" w:rsidRPr="000F5DDC" w:rsidRDefault="000F5DDC" w:rsidP="000F5DDC">
      <w:pPr>
        <w:jc w:val="both"/>
        <w:rPr>
          <w:rFonts w:cs="Arial"/>
          <w:b/>
          <w:bCs/>
          <w:lang w:val="en-US"/>
        </w:rPr>
      </w:pPr>
    </w:p>
    <w:p w14:paraId="2D0A199B" w14:textId="77777777" w:rsidR="000F5DDC" w:rsidRPr="000F5DDC" w:rsidRDefault="000F5DDC" w:rsidP="000F5DDC">
      <w:pPr>
        <w:jc w:val="both"/>
        <w:rPr>
          <w:rFonts w:cs="Arial"/>
          <w:b/>
          <w:bCs/>
          <w:lang w:val="en-US"/>
        </w:rPr>
      </w:pPr>
      <w:r w:rsidRPr="000F5DDC">
        <w:rPr>
          <w:rFonts w:cs="Arial"/>
          <w:b/>
          <w:bCs/>
          <w:lang w:val="en-US"/>
        </w:rPr>
        <w:t xml:space="preserve">Background </w:t>
      </w:r>
    </w:p>
    <w:p w14:paraId="7785252C" w14:textId="77777777" w:rsidR="000F5DDC" w:rsidRPr="000F5DDC" w:rsidRDefault="000F5DDC" w:rsidP="000F5DDC">
      <w:pPr>
        <w:jc w:val="both"/>
        <w:rPr>
          <w:rFonts w:cs="Arial"/>
          <w:lang w:val="en-US"/>
        </w:rPr>
      </w:pPr>
    </w:p>
    <w:p w14:paraId="3774FE78" w14:textId="2EE39F12" w:rsidR="000F5DDC" w:rsidRPr="000F5DDC" w:rsidRDefault="000F5DDC" w:rsidP="000F5DDC">
      <w:pPr>
        <w:jc w:val="both"/>
        <w:rPr>
          <w:rFonts w:cs="Arial"/>
          <w:lang w:val="en-US"/>
        </w:rPr>
      </w:pPr>
      <w:r w:rsidRPr="000F5DDC">
        <w:rPr>
          <w:rFonts w:cs="Arial"/>
          <w:lang w:val="en-US"/>
        </w:rPr>
        <w:t xml:space="preserve">The action plan is in direct response to FoodDrinkEurope’s commitment to deliver on the objectives set out in the Code of Conduct on Responsible Food Business and Marketing Practices. It will also be used strategically, to engage proactively with policymakers in the context of the EU Green Deal and related policy proposals. Finally, it will build FoodDrinkEurope’s reputation and provide opportunities for positive engagement with influential stakeholders. </w:t>
      </w:r>
    </w:p>
    <w:p w14:paraId="1E53040F" w14:textId="77777777" w:rsidR="000F5DDC" w:rsidRDefault="000F5DDC" w:rsidP="000F5DDC">
      <w:pPr>
        <w:jc w:val="both"/>
        <w:rPr>
          <w:rFonts w:asciiTheme="majorHAnsi" w:eastAsiaTheme="majorEastAsia" w:hAnsiTheme="majorHAnsi" w:cstheme="majorBidi"/>
          <w:b/>
          <w:lang w:eastAsia="en-US"/>
        </w:rPr>
      </w:pPr>
      <w:bookmarkStart w:id="0" w:name="_Hlk95381506"/>
      <w:r>
        <w:rPr>
          <w:rFonts w:asciiTheme="majorHAnsi" w:eastAsiaTheme="majorEastAsia" w:hAnsiTheme="majorHAnsi" w:cstheme="majorBidi"/>
          <w:b/>
        </w:rPr>
        <w:t xml:space="preserve">Content outline </w:t>
      </w:r>
    </w:p>
    <w:bookmarkEnd w:id="0"/>
    <w:p w14:paraId="71CF6B58" w14:textId="77777777" w:rsidR="000F5DDC" w:rsidRDefault="000F5DDC" w:rsidP="000F5DDC">
      <w:pPr>
        <w:jc w:val="both"/>
        <w:rPr>
          <w:rFonts w:eastAsiaTheme="minorHAnsi" w:cs="Arial"/>
        </w:rPr>
      </w:pPr>
    </w:p>
    <w:p w14:paraId="3D55FC24" w14:textId="77777777" w:rsidR="000F5DDC" w:rsidRDefault="000F5DDC" w:rsidP="000F5DDC">
      <w:pPr>
        <w:numPr>
          <w:ilvl w:val="0"/>
          <w:numId w:val="3"/>
        </w:numPr>
        <w:spacing w:line="256" w:lineRule="auto"/>
        <w:contextualSpacing/>
        <w:jc w:val="both"/>
        <w:rPr>
          <w:rFonts w:cs="Arial"/>
        </w:rPr>
      </w:pPr>
      <w:r>
        <w:rPr>
          <w:rFonts w:cs="Arial"/>
          <w:u w:val="single"/>
        </w:rPr>
        <w:t xml:space="preserve">What are the topics? </w:t>
      </w:r>
    </w:p>
    <w:p w14:paraId="26B6BD95" w14:textId="77777777" w:rsidR="000F5DDC" w:rsidRDefault="000F5DDC" w:rsidP="000F5DDC">
      <w:pPr>
        <w:ind w:left="720"/>
        <w:contextualSpacing/>
        <w:jc w:val="both"/>
        <w:rPr>
          <w:rFonts w:cs="Arial"/>
        </w:rPr>
      </w:pPr>
    </w:p>
    <w:p w14:paraId="4B93C210" w14:textId="77777777" w:rsidR="000F5DDC" w:rsidRPr="000F5DDC" w:rsidRDefault="000F5DDC" w:rsidP="000F5DDC">
      <w:pPr>
        <w:jc w:val="both"/>
        <w:rPr>
          <w:rFonts w:cs="Arial"/>
          <w:lang w:val="en-US"/>
        </w:rPr>
      </w:pPr>
      <w:r w:rsidRPr="000F5DDC">
        <w:rPr>
          <w:rFonts w:cs="Arial"/>
          <w:lang w:val="en-US"/>
        </w:rPr>
        <w:t xml:space="preserve">The action plan is built around three core topics, as approved by the Board: 1: Climate change and the path to net zero, 2: Packaging and the circular economy, 3: Nutrition and healthier living. </w:t>
      </w:r>
    </w:p>
    <w:p w14:paraId="7E88BDD8" w14:textId="77777777" w:rsidR="000F5DDC" w:rsidRPr="000F5DDC" w:rsidRDefault="000F5DDC" w:rsidP="000F5DDC">
      <w:pPr>
        <w:jc w:val="both"/>
        <w:rPr>
          <w:rFonts w:cs="Arial"/>
          <w:lang w:val="en-US"/>
        </w:rPr>
      </w:pPr>
    </w:p>
    <w:p w14:paraId="5EE80619" w14:textId="77777777" w:rsidR="000F5DDC" w:rsidRPr="000F5DDC" w:rsidRDefault="000F5DDC" w:rsidP="000F5DDC">
      <w:pPr>
        <w:jc w:val="both"/>
        <w:rPr>
          <w:rFonts w:cs="Arial"/>
          <w:lang w:val="en-US"/>
        </w:rPr>
      </w:pPr>
      <w:r w:rsidRPr="000F5DDC">
        <w:rPr>
          <w:rFonts w:cs="Arial"/>
          <w:lang w:val="en-US"/>
        </w:rPr>
        <w:lastRenderedPageBreak/>
        <w:t xml:space="preserve">These three topics are underpinned by three essential drivers: 1: Investment and economic sustainability, 2: Partnerships that are able to bring solutions at scale, 3: Innovation to speed the transition towards sustainable food systems. </w:t>
      </w:r>
    </w:p>
    <w:p w14:paraId="063EC607" w14:textId="77777777" w:rsidR="000F5DDC" w:rsidRPr="000F5DDC" w:rsidRDefault="000F5DDC" w:rsidP="000F5DDC">
      <w:pPr>
        <w:jc w:val="both"/>
        <w:rPr>
          <w:rFonts w:cs="Arial"/>
          <w:lang w:val="en-US"/>
        </w:rPr>
      </w:pPr>
    </w:p>
    <w:p w14:paraId="313F9EF6" w14:textId="77777777" w:rsidR="000F5DDC" w:rsidRPr="000F5DDC" w:rsidRDefault="000F5DDC" w:rsidP="000F5DDC">
      <w:pPr>
        <w:jc w:val="both"/>
        <w:rPr>
          <w:rFonts w:cs="Arial"/>
          <w:lang w:val="en-US"/>
        </w:rPr>
      </w:pPr>
      <w:r w:rsidRPr="000F5DDC">
        <w:rPr>
          <w:rFonts w:cs="Arial"/>
          <w:lang w:val="en-US"/>
        </w:rPr>
        <w:t xml:space="preserve">A final chapter of the action plan is FoodDrinkEurope’s </w:t>
      </w:r>
      <w:r w:rsidRPr="000F5DDC">
        <w:rPr>
          <w:rFonts w:cs="Arial"/>
          <w:i/>
          <w:iCs/>
          <w:lang w:val="en-US"/>
        </w:rPr>
        <w:t>More than Food</w:t>
      </w:r>
      <w:r w:rsidRPr="000F5DDC">
        <w:rPr>
          <w:rFonts w:cs="Arial"/>
          <w:lang w:val="en-US"/>
        </w:rPr>
        <w:t xml:space="preserve"> project with commitments for our Brussels office to cut carbon emissions and work in the local community.  </w:t>
      </w:r>
    </w:p>
    <w:p w14:paraId="70C2017B" w14:textId="77777777" w:rsidR="000F5DDC" w:rsidRPr="000F5DDC" w:rsidRDefault="000F5DDC" w:rsidP="000F5DDC">
      <w:pPr>
        <w:jc w:val="both"/>
        <w:rPr>
          <w:rFonts w:cs="Arial"/>
          <w:lang w:val="en-US"/>
        </w:rPr>
      </w:pPr>
    </w:p>
    <w:p w14:paraId="5DBFBBC6" w14:textId="77777777" w:rsidR="000F5DDC" w:rsidRDefault="000F5DDC" w:rsidP="000F5DDC">
      <w:pPr>
        <w:numPr>
          <w:ilvl w:val="0"/>
          <w:numId w:val="3"/>
        </w:numPr>
        <w:spacing w:line="256" w:lineRule="auto"/>
        <w:contextualSpacing/>
        <w:jc w:val="both"/>
        <w:rPr>
          <w:rFonts w:cs="Arial"/>
          <w:u w:val="single"/>
        </w:rPr>
      </w:pPr>
      <w:r>
        <w:rPr>
          <w:rFonts w:cs="Arial"/>
          <w:u w:val="single"/>
        </w:rPr>
        <w:t>What are the targets?</w:t>
      </w:r>
    </w:p>
    <w:p w14:paraId="1F9390F2" w14:textId="77777777" w:rsidR="000F5DDC" w:rsidRDefault="000F5DDC" w:rsidP="000F5DDC">
      <w:pPr>
        <w:jc w:val="both"/>
        <w:rPr>
          <w:rFonts w:cs="Arial"/>
        </w:rPr>
      </w:pPr>
    </w:p>
    <w:p w14:paraId="7B2C4A9C" w14:textId="77777777" w:rsidR="000F5DDC" w:rsidRPr="000F5DDC" w:rsidRDefault="000F5DDC" w:rsidP="000F5DDC">
      <w:pPr>
        <w:jc w:val="both"/>
        <w:rPr>
          <w:rFonts w:cs="Arial"/>
          <w:lang w:val="en-US"/>
        </w:rPr>
      </w:pPr>
      <w:r w:rsidRPr="000F5DDC">
        <w:rPr>
          <w:rFonts w:cs="Arial"/>
          <w:lang w:val="en-US"/>
        </w:rPr>
        <w:t xml:space="preserve">For each of the three core topics (climate, packaging and nutrition) we have added targets that either reflect the objectives from the Code, are existing EU targets or are existing FoodDrinkEurope targets. The targets are aspirational in nature and reliant on multiple stakeholders and industry sectors to succeed (i.e., we cannot achieve them alone and do not say that we can). </w:t>
      </w:r>
    </w:p>
    <w:p w14:paraId="6D373370" w14:textId="77777777" w:rsidR="000F5DDC" w:rsidRPr="000F5DDC" w:rsidRDefault="000F5DDC" w:rsidP="000F5DDC">
      <w:pPr>
        <w:jc w:val="both"/>
        <w:rPr>
          <w:rFonts w:cs="Arial"/>
          <w:lang w:val="en-US"/>
        </w:rPr>
      </w:pPr>
    </w:p>
    <w:p w14:paraId="79BD37C2" w14:textId="77777777" w:rsidR="000F5DDC" w:rsidRDefault="000F5DDC" w:rsidP="000F5DDC">
      <w:pPr>
        <w:numPr>
          <w:ilvl w:val="0"/>
          <w:numId w:val="3"/>
        </w:numPr>
        <w:spacing w:line="256" w:lineRule="auto"/>
        <w:contextualSpacing/>
        <w:jc w:val="both"/>
        <w:rPr>
          <w:rFonts w:cs="Arial"/>
          <w:u w:val="single"/>
        </w:rPr>
      </w:pPr>
      <w:r>
        <w:rPr>
          <w:rFonts w:cs="Arial"/>
          <w:u w:val="single"/>
        </w:rPr>
        <w:t>What are the commitments?</w:t>
      </w:r>
    </w:p>
    <w:p w14:paraId="6B111937" w14:textId="77777777" w:rsidR="000F5DDC" w:rsidRDefault="000F5DDC" w:rsidP="000F5DDC">
      <w:pPr>
        <w:jc w:val="both"/>
        <w:rPr>
          <w:rFonts w:cs="Arial"/>
          <w:u w:val="single"/>
        </w:rPr>
      </w:pPr>
    </w:p>
    <w:p w14:paraId="0A014A0C" w14:textId="77777777" w:rsidR="000F5DDC" w:rsidRPr="000F5DDC" w:rsidRDefault="000F5DDC" w:rsidP="000F5DDC">
      <w:pPr>
        <w:jc w:val="both"/>
        <w:rPr>
          <w:rFonts w:cs="Arial"/>
          <w:lang w:val="en-US"/>
        </w:rPr>
      </w:pPr>
      <w:r w:rsidRPr="000F5DDC">
        <w:rPr>
          <w:rFonts w:cs="Arial"/>
          <w:lang w:val="en-US"/>
        </w:rPr>
        <w:t xml:space="preserve">The action plan outlines 15 commitments that will be undertaken by FoodDrinkEurope (there are no commitments for members). </w:t>
      </w:r>
    </w:p>
    <w:p w14:paraId="6E825399" w14:textId="77777777" w:rsidR="000F5DDC" w:rsidRPr="000F5DDC" w:rsidRDefault="000F5DDC" w:rsidP="000F5DDC">
      <w:pPr>
        <w:jc w:val="both"/>
        <w:rPr>
          <w:rFonts w:cs="Arial"/>
          <w:lang w:val="en-US"/>
        </w:rPr>
      </w:pPr>
    </w:p>
    <w:p w14:paraId="18CDF8FD" w14:textId="77777777" w:rsidR="000F5DDC" w:rsidRPr="000F5DDC" w:rsidRDefault="000F5DDC" w:rsidP="000F5DDC">
      <w:pPr>
        <w:jc w:val="both"/>
        <w:rPr>
          <w:rFonts w:cs="Arial"/>
          <w:lang w:val="en-US"/>
        </w:rPr>
      </w:pPr>
      <w:r w:rsidRPr="000F5DDC">
        <w:rPr>
          <w:rFonts w:cs="Arial"/>
          <w:lang w:val="en-US"/>
        </w:rPr>
        <w:t xml:space="preserve">For each core topic – climate, packaging and nutrition – we commit to launch an ‘action project’ which is essentially a FoodDrinkEurope workstream to develop guidelines and webinars to help members move towards the targets set. The commitments also include a focus on developing new partnerships around sustainable food systems.   </w:t>
      </w:r>
    </w:p>
    <w:p w14:paraId="30D5C4AC" w14:textId="77777777" w:rsidR="000F5DDC" w:rsidRPr="000F5DDC" w:rsidRDefault="000F5DDC" w:rsidP="000F5DDC">
      <w:pPr>
        <w:jc w:val="both"/>
        <w:rPr>
          <w:rFonts w:cs="Arial"/>
          <w:u w:val="single"/>
          <w:lang w:val="en-US"/>
        </w:rPr>
      </w:pPr>
    </w:p>
    <w:p w14:paraId="13E6CE42" w14:textId="77777777" w:rsidR="000F5DDC" w:rsidRDefault="000F5DDC" w:rsidP="000F5DDC">
      <w:pPr>
        <w:numPr>
          <w:ilvl w:val="0"/>
          <w:numId w:val="3"/>
        </w:numPr>
        <w:spacing w:line="256" w:lineRule="auto"/>
        <w:contextualSpacing/>
        <w:jc w:val="both"/>
        <w:rPr>
          <w:rFonts w:cs="Arial"/>
          <w:u w:val="single"/>
        </w:rPr>
      </w:pPr>
      <w:r>
        <w:rPr>
          <w:rFonts w:cs="Arial"/>
          <w:u w:val="single"/>
        </w:rPr>
        <w:t xml:space="preserve">What are the asks?  </w:t>
      </w:r>
    </w:p>
    <w:p w14:paraId="1883704D" w14:textId="77777777" w:rsidR="000F5DDC" w:rsidRDefault="000F5DDC" w:rsidP="000F5DDC">
      <w:pPr>
        <w:ind w:left="360"/>
        <w:jc w:val="both"/>
        <w:rPr>
          <w:rFonts w:cs="Arial"/>
        </w:rPr>
      </w:pPr>
    </w:p>
    <w:p w14:paraId="057807E7" w14:textId="77777777" w:rsidR="000F5DDC" w:rsidRPr="000F5DDC" w:rsidRDefault="000F5DDC" w:rsidP="000F5DDC">
      <w:pPr>
        <w:jc w:val="both"/>
        <w:rPr>
          <w:rFonts w:cs="Arial"/>
          <w:lang w:val="en-US"/>
        </w:rPr>
      </w:pPr>
      <w:r w:rsidRPr="000F5DDC">
        <w:rPr>
          <w:rFonts w:cs="Arial"/>
          <w:lang w:val="en-US"/>
        </w:rPr>
        <w:t xml:space="preserve">For each core topic FoodDrinkEurope has outlined high-level policy asks. Please note that detailed and technical advocacy on climate, packaging and nutrition topics will be </w:t>
      </w:r>
      <w:r w:rsidRPr="000F5DDC">
        <w:rPr>
          <w:rFonts w:cs="Arial"/>
          <w:i/>
          <w:iCs/>
          <w:lang w:val="en-US"/>
        </w:rPr>
        <w:t>in addition to</w:t>
      </w:r>
      <w:r w:rsidRPr="000F5DDC">
        <w:rPr>
          <w:rFonts w:cs="Arial"/>
          <w:lang w:val="en-US"/>
        </w:rPr>
        <w:t xml:space="preserve"> the action plan. It is hoped that the action plan will prepare the ground for the more technical discussions.  </w:t>
      </w:r>
    </w:p>
    <w:p w14:paraId="68D3D8CC" w14:textId="77777777" w:rsidR="000F5DDC" w:rsidRPr="000F5DDC" w:rsidRDefault="000F5DDC" w:rsidP="000F5DDC">
      <w:pPr>
        <w:jc w:val="both"/>
        <w:rPr>
          <w:rFonts w:cs="Arial"/>
          <w:lang w:val="en-US"/>
        </w:rPr>
      </w:pPr>
    </w:p>
    <w:p w14:paraId="2230E693" w14:textId="77777777" w:rsidR="000F5DDC" w:rsidRPr="000F5DDC" w:rsidRDefault="000F5DDC" w:rsidP="000F5DDC">
      <w:pPr>
        <w:rPr>
          <w:rFonts w:asciiTheme="minorHAnsi" w:hAnsiTheme="minorHAnsi" w:cstheme="minorBidi"/>
          <w:lang w:val="en-US"/>
        </w:rPr>
      </w:pPr>
    </w:p>
    <w:p w14:paraId="3767FB90" w14:textId="77777777" w:rsidR="00E7365A" w:rsidRPr="000F5DDC" w:rsidRDefault="00E7365A" w:rsidP="00E7365A">
      <w:pPr>
        <w:tabs>
          <w:tab w:val="left" w:pos="7088"/>
        </w:tabs>
        <w:rPr>
          <w:rFonts w:cs="Arial"/>
          <w:szCs w:val="22"/>
          <w:lang w:val="en-US"/>
        </w:rPr>
      </w:pPr>
    </w:p>
    <w:sectPr w:rsidR="00E7365A" w:rsidRPr="000F5DDC" w:rsidSect="00C4692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A2A09" w14:textId="77777777" w:rsidR="002055C3" w:rsidRDefault="002055C3" w:rsidP="000E63AB">
      <w:r>
        <w:separator/>
      </w:r>
    </w:p>
  </w:endnote>
  <w:endnote w:type="continuationSeparator" w:id="0">
    <w:p w14:paraId="14FC5D7A" w14:textId="77777777" w:rsidR="002055C3" w:rsidRDefault="002055C3" w:rsidP="000E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A67D8" w14:textId="77777777" w:rsidR="00C4692A" w:rsidRDefault="00C469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8E896" w14:textId="7C1B12E0" w:rsidR="000E63AB" w:rsidRPr="00C4692A" w:rsidRDefault="00C4692A" w:rsidP="00C4692A">
    <w:pPr>
      <w:pStyle w:val="Footer"/>
      <w:jc w:val="right"/>
      <w:rPr>
        <w:rFonts w:cs="Arial"/>
        <w:color w:val="333399"/>
        <w:sz w:val="18"/>
      </w:rPr>
    </w:pPr>
    <w:r w:rsidRPr="00C4692A">
      <w:rPr>
        <w:rFonts w:cs="Arial"/>
        <w:color w:val="333399"/>
        <w:sz w:val="18"/>
      </w:rPr>
      <w:fldChar w:fldCharType="begin"/>
    </w:r>
    <w:r w:rsidRPr="00C4692A">
      <w:rPr>
        <w:rFonts w:cs="Arial"/>
        <w:color w:val="333399"/>
        <w:sz w:val="18"/>
      </w:rPr>
      <w:instrText xml:space="preserve"> PAGE \* MERGEFORMAT </w:instrText>
    </w:r>
    <w:r w:rsidRPr="00C4692A">
      <w:rPr>
        <w:rFonts w:cs="Arial"/>
        <w:color w:val="333399"/>
        <w:sz w:val="18"/>
      </w:rPr>
      <w:fldChar w:fldCharType="separate"/>
    </w:r>
    <w:r w:rsidRPr="00C4692A">
      <w:rPr>
        <w:rFonts w:cs="Arial"/>
        <w:noProof/>
        <w:color w:val="333399"/>
        <w:sz w:val="18"/>
      </w:rPr>
      <w:t>2</w:t>
    </w:r>
    <w:r w:rsidRPr="00C4692A">
      <w:rPr>
        <w:rFonts w:cs="Arial"/>
        <w:color w:val="333399"/>
        <w:sz w:val="18"/>
      </w:rPr>
      <w:fldChar w:fldCharType="end"/>
    </w:r>
    <w:r w:rsidRPr="00C4692A">
      <w:rPr>
        <w:rFonts w:cs="Arial"/>
        <w:color w:val="333399"/>
        <w:sz w:val="18"/>
      </w:rPr>
      <w:t>/</w:t>
    </w:r>
    <w:r w:rsidRPr="00C4692A">
      <w:rPr>
        <w:rFonts w:cs="Arial"/>
        <w:color w:val="333399"/>
        <w:sz w:val="18"/>
      </w:rPr>
      <w:fldChar w:fldCharType="begin"/>
    </w:r>
    <w:r w:rsidRPr="00C4692A">
      <w:rPr>
        <w:rFonts w:cs="Arial"/>
        <w:color w:val="333399"/>
        <w:sz w:val="18"/>
      </w:rPr>
      <w:instrText xml:space="preserve"> NUMPAGES \* MERGEFORMAT </w:instrText>
    </w:r>
    <w:r w:rsidRPr="00C4692A">
      <w:rPr>
        <w:rFonts w:cs="Arial"/>
        <w:color w:val="333399"/>
        <w:sz w:val="18"/>
      </w:rPr>
      <w:fldChar w:fldCharType="separate"/>
    </w:r>
    <w:r w:rsidRPr="00C4692A">
      <w:rPr>
        <w:rFonts w:cs="Arial"/>
        <w:noProof/>
        <w:color w:val="333399"/>
        <w:sz w:val="18"/>
      </w:rPr>
      <w:t>2</w:t>
    </w:r>
    <w:r w:rsidRPr="00C4692A">
      <w:rPr>
        <w:rFonts w:cs="Arial"/>
        <w:color w:val="333399"/>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F0FA6" w14:textId="77777777" w:rsidR="00C4692A" w:rsidRPr="00C4692A" w:rsidRDefault="00C4692A" w:rsidP="00C4692A">
    <w:pPr>
      <w:pStyle w:val="Footer"/>
      <w:rPr>
        <w:rFonts w:cs="Arial"/>
        <w:color w:val="333399"/>
        <w:sz w:val="18"/>
      </w:rPr>
    </w:pPr>
    <w:r w:rsidRPr="00C4692A">
      <w:rPr>
        <w:rFonts w:cs="Arial"/>
        <w:color w:val="333399"/>
        <w:sz w:val="18"/>
      </w:rPr>
      <w:t xml:space="preserve">Avenue des Nerviens 9-31 - 1040 Brussels - BELGIUM - Tel. +32 2 514 11 11 </w:t>
    </w:r>
  </w:p>
  <w:p w14:paraId="32FD6E72" w14:textId="77777777" w:rsidR="00C4692A" w:rsidRPr="00C4692A" w:rsidRDefault="00C4692A" w:rsidP="00C4692A">
    <w:pPr>
      <w:pStyle w:val="Footer"/>
      <w:rPr>
        <w:rFonts w:cs="Arial"/>
        <w:color w:val="333399"/>
        <w:sz w:val="18"/>
      </w:rPr>
    </w:pPr>
    <w:r w:rsidRPr="00C4692A">
      <w:rPr>
        <w:rFonts w:cs="Arial"/>
        <w:color w:val="333399"/>
        <w:sz w:val="18"/>
      </w:rPr>
      <w:t>info@fooddrinkeurope.eu - www.fooddrinkeurope.eu - ETI Register 75818824519-45</w:t>
    </w:r>
  </w:p>
  <w:p w14:paraId="26517F02" w14:textId="3F82CC9A" w:rsidR="000E63AB" w:rsidRPr="00C4692A" w:rsidRDefault="00C4692A" w:rsidP="00C4692A">
    <w:pPr>
      <w:pStyle w:val="Footer"/>
      <w:rPr>
        <w:rFonts w:cs="Arial"/>
        <w:color w:val="333399"/>
        <w:sz w:val="18"/>
      </w:rPr>
    </w:pPr>
    <w:r w:rsidRPr="00C4692A">
      <w:rPr>
        <w:rFonts w:cs="Arial"/>
        <w:color w:val="333399"/>
        <w:sz w:val="18"/>
      </w:rPr>
      <w:t>Copyright FoodDrinkEurope aisbl; photocopying or electronic copying is illegal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1C2D5" w14:textId="77777777" w:rsidR="002055C3" w:rsidRDefault="002055C3" w:rsidP="000E63AB">
      <w:r>
        <w:separator/>
      </w:r>
    </w:p>
  </w:footnote>
  <w:footnote w:type="continuationSeparator" w:id="0">
    <w:p w14:paraId="1D643A4C" w14:textId="77777777" w:rsidR="002055C3" w:rsidRDefault="002055C3" w:rsidP="000E6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4847" w14:textId="77777777" w:rsidR="00C4692A" w:rsidRDefault="00C469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6"/>
      <w:gridCol w:w="2376"/>
    </w:tblGrid>
    <w:tr w:rsidR="00C4692A" w:rsidRPr="00C4692A" w14:paraId="62C8F0ED" w14:textId="77777777" w:rsidTr="00C4692A">
      <w:tc>
        <w:tcPr>
          <w:tcW w:w="4531" w:type="dxa"/>
          <w:shd w:val="clear" w:color="auto" w:fill="auto"/>
        </w:tcPr>
        <w:p w14:paraId="593A388F" w14:textId="2747CB07" w:rsidR="00C4692A" w:rsidRPr="00C4692A" w:rsidRDefault="00C4692A" w:rsidP="00C4692A">
          <w:pPr>
            <w:pStyle w:val="Header"/>
            <w:jc w:val="right"/>
            <w:rPr>
              <w:rFonts w:cs="Arial"/>
              <w:sz w:val="18"/>
            </w:rPr>
          </w:pPr>
          <w:r w:rsidRPr="00C4692A">
            <w:rPr>
              <w:rFonts w:cs="Arial"/>
              <w:noProof/>
              <w:sz w:val="18"/>
            </w:rPr>
            <w:drawing>
              <wp:inline distT="0" distB="0" distL="0" distR="0" wp14:anchorId="08448FF5" wp14:editId="593D6C86">
                <wp:extent cx="4114800" cy="84772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4114800" cy="847725"/>
                        </a:xfrm>
                        <a:prstGeom prst="rect">
                          <a:avLst/>
                        </a:prstGeom>
                      </pic:spPr>
                    </pic:pic>
                  </a:graphicData>
                </a:graphic>
              </wp:inline>
            </w:drawing>
          </w:r>
        </w:p>
      </w:tc>
      <w:tc>
        <w:tcPr>
          <w:tcW w:w="4531" w:type="dxa"/>
          <w:shd w:val="clear" w:color="auto" w:fill="auto"/>
        </w:tcPr>
        <w:p w14:paraId="56BA497D" w14:textId="77777777" w:rsidR="00C4692A" w:rsidRPr="00C4692A" w:rsidRDefault="00C4692A" w:rsidP="00C4692A">
          <w:pPr>
            <w:pStyle w:val="Header"/>
            <w:jc w:val="right"/>
            <w:rPr>
              <w:rFonts w:cs="Arial"/>
              <w:sz w:val="18"/>
            </w:rPr>
          </w:pPr>
        </w:p>
        <w:p w14:paraId="3E17CC70" w14:textId="77777777" w:rsidR="00C4692A" w:rsidRPr="00C4692A" w:rsidRDefault="00C4692A" w:rsidP="00C4692A">
          <w:pPr>
            <w:pStyle w:val="Header"/>
            <w:jc w:val="right"/>
            <w:rPr>
              <w:rFonts w:cs="Arial"/>
              <w:sz w:val="18"/>
            </w:rPr>
          </w:pPr>
        </w:p>
        <w:p w14:paraId="2998B79E" w14:textId="320ABCE1" w:rsidR="00C4692A" w:rsidRPr="00C4692A" w:rsidRDefault="00C4692A" w:rsidP="00C4692A">
          <w:pPr>
            <w:pStyle w:val="Header"/>
            <w:jc w:val="right"/>
            <w:rPr>
              <w:rFonts w:cs="Arial"/>
              <w:sz w:val="18"/>
            </w:rPr>
          </w:pPr>
          <w:r w:rsidRPr="00C4692A">
            <w:rPr>
              <w:rFonts w:cs="Arial"/>
              <w:sz w:val="18"/>
            </w:rPr>
            <w:t>COMCOM/010/22E</w:t>
          </w:r>
        </w:p>
      </w:tc>
    </w:tr>
  </w:tbl>
  <w:p w14:paraId="345C95F7" w14:textId="77777777" w:rsidR="000E63AB" w:rsidRPr="00C4692A" w:rsidRDefault="000E63AB" w:rsidP="00C4692A">
    <w:pPr>
      <w:pStyle w:val="Header"/>
      <w:jc w:val="right"/>
      <w:rPr>
        <w:rFonts w:cs="Arial"/>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6"/>
      <w:gridCol w:w="2376"/>
    </w:tblGrid>
    <w:tr w:rsidR="00C4692A" w:rsidRPr="00C4692A" w14:paraId="7AB59E67" w14:textId="77777777" w:rsidTr="00C4692A">
      <w:tc>
        <w:tcPr>
          <w:tcW w:w="4531" w:type="dxa"/>
          <w:shd w:val="clear" w:color="auto" w:fill="auto"/>
        </w:tcPr>
        <w:p w14:paraId="57305303" w14:textId="7A3B28A6" w:rsidR="00C4692A" w:rsidRPr="00C4692A" w:rsidRDefault="00C4692A" w:rsidP="00C4692A">
          <w:pPr>
            <w:pStyle w:val="Header"/>
            <w:jc w:val="right"/>
            <w:rPr>
              <w:rFonts w:cs="Arial"/>
              <w:sz w:val="18"/>
            </w:rPr>
          </w:pPr>
          <w:r w:rsidRPr="00C4692A">
            <w:rPr>
              <w:rFonts w:cs="Arial"/>
              <w:noProof/>
              <w:sz w:val="18"/>
            </w:rPr>
            <w:drawing>
              <wp:inline distT="0" distB="0" distL="0" distR="0" wp14:anchorId="4A935673" wp14:editId="718F290D">
                <wp:extent cx="4114800" cy="16859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114800" cy="1685925"/>
                        </a:xfrm>
                        <a:prstGeom prst="rect">
                          <a:avLst/>
                        </a:prstGeom>
                      </pic:spPr>
                    </pic:pic>
                  </a:graphicData>
                </a:graphic>
              </wp:inline>
            </w:drawing>
          </w:r>
        </w:p>
      </w:tc>
      <w:tc>
        <w:tcPr>
          <w:tcW w:w="4531" w:type="dxa"/>
          <w:shd w:val="clear" w:color="auto" w:fill="auto"/>
        </w:tcPr>
        <w:p w14:paraId="17EBDFA5" w14:textId="77777777" w:rsidR="00C4692A" w:rsidRPr="00C4692A" w:rsidRDefault="00C4692A" w:rsidP="00C4692A">
          <w:pPr>
            <w:pStyle w:val="Header"/>
            <w:jc w:val="right"/>
            <w:rPr>
              <w:rFonts w:cs="Arial"/>
              <w:sz w:val="18"/>
            </w:rPr>
          </w:pPr>
        </w:p>
        <w:p w14:paraId="54AF93E9" w14:textId="77777777" w:rsidR="00C4692A" w:rsidRPr="00C4692A" w:rsidRDefault="00C4692A" w:rsidP="00C4692A">
          <w:pPr>
            <w:pStyle w:val="Header"/>
            <w:jc w:val="right"/>
            <w:rPr>
              <w:rFonts w:cs="Arial"/>
              <w:sz w:val="18"/>
            </w:rPr>
          </w:pPr>
        </w:p>
        <w:p w14:paraId="73ED8935" w14:textId="6ECA32C0" w:rsidR="00C4692A" w:rsidRPr="00C4692A" w:rsidRDefault="00C4692A" w:rsidP="00C4692A">
          <w:pPr>
            <w:pStyle w:val="Header"/>
            <w:jc w:val="right"/>
            <w:rPr>
              <w:rFonts w:cs="Arial"/>
              <w:sz w:val="18"/>
            </w:rPr>
          </w:pPr>
          <w:r w:rsidRPr="00C4692A">
            <w:rPr>
              <w:rFonts w:cs="Arial"/>
              <w:sz w:val="18"/>
            </w:rPr>
            <w:t>COMCOM/010/22E</w:t>
          </w:r>
        </w:p>
      </w:tc>
    </w:tr>
  </w:tbl>
  <w:p w14:paraId="020B71C6" w14:textId="77777777" w:rsidR="000E63AB" w:rsidRPr="00C4692A" w:rsidRDefault="000E63AB" w:rsidP="00C4692A">
    <w:pPr>
      <w:pStyle w:val="Header"/>
      <w:jc w:val="right"/>
      <w:rPr>
        <w:rFonts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323A"/>
    <w:multiLevelType w:val="hybridMultilevel"/>
    <w:tmpl w:val="2F88FA32"/>
    <w:lvl w:ilvl="0" w:tplc="36C82664">
      <w:start w:val="1"/>
      <w:numFmt w:val="decimal"/>
      <w:pStyle w:val="Heading2"/>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4163DAF"/>
    <w:multiLevelType w:val="hybridMultilevel"/>
    <w:tmpl w:val="AB78CB4A"/>
    <w:lvl w:ilvl="0" w:tplc="DDBAE9B8">
      <w:start w:val="24"/>
      <w:numFmt w:val="bullet"/>
      <w:lvlText w:val="-"/>
      <w:lvlJc w:val="left"/>
      <w:pPr>
        <w:ind w:left="720" w:hanging="360"/>
      </w:pPr>
      <w:rPr>
        <w:rFonts w:ascii="Arial" w:eastAsiaTheme="minorHAnsi"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2" w15:restartNumberingAfterBreak="0">
    <w:nsid w:val="6CC87F16"/>
    <w:multiLevelType w:val="hybridMultilevel"/>
    <w:tmpl w:val="3D741362"/>
    <w:lvl w:ilvl="0" w:tplc="43BACBBA">
      <w:numFmt w:val="bullet"/>
      <w:lvlText w:val="-"/>
      <w:lvlJc w:val="left"/>
      <w:pPr>
        <w:ind w:left="720" w:hanging="360"/>
      </w:pPr>
      <w:rPr>
        <w:rFonts w:ascii="Arial" w:eastAsia="Calibri"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num w:numId="1" w16cid:durableId="1849557441">
    <w:abstractNumId w:val="0"/>
  </w:num>
  <w:num w:numId="2" w16cid:durableId="310449837">
    <w:abstractNumId w:val="2"/>
  </w:num>
  <w:num w:numId="3" w16cid:durableId="1308441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C25"/>
    <w:rsid w:val="000E63AB"/>
    <w:rsid w:val="000F5DDC"/>
    <w:rsid w:val="00191659"/>
    <w:rsid w:val="001C6F0C"/>
    <w:rsid w:val="002055C3"/>
    <w:rsid w:val="00242C81"/>
    <w:rsid w:val="00286747"/>
    <w:rsid w:val="00373586"/>
    <w:rsid w:val="005A13C3"/>
    <w:rsid w:val="007A1745"/>
    <w:rsid w:val="00826C08"/>
    <w:rsid w:val="0097403B"/>
    <w:rsid w:val="009B6E5B"/>
    <w:rsid w:val="009E76E2"/>
    <w:rsid w:val="00A114AC"/>
    <w:rsid w:val="00B772D4"/>
    <w:rsid w:val="00BF1FD6"/>
    <w:rsid w:val="00C4692A"/>
    <w:rsid w:val="00D2692A"/>
    <w:rsid w:val="00D63432"/>
    <w:rsid w:val="00E7365A"/>
    <w:rsid w:val="00EC2C25"/>
    <w:rsid w:val="00EC5ADF"/>
    <w:rsid w:val="00EE728E"/>
    <w:rsid w:val="00F2169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D6E72"/>
  <w15:chartTrackingRefBased/>
  <w15:docId w15:val="{6EBDCC83-2548-4BE1-88F9-91635622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69D"/>
    <w:rPr>
      <w:sz w:val="22"/>
    </w:rPr>
  </w:style>
  <w:style w:type="paragraph" w:styleId="Heading1">
    <w:name w:val="heading 1"/>
    <w:basedOn w:val="Normal"/>
    <w:next w:val="Normal"/>
    <w:link w:val="Heading1Char"/>
    <w:uiPriority w:val="9"/>
    <w:qFormat/>
    <w:rsid w:val="00E7365A"/>
    <w:pPr>
      <w:keepNext/>
      <w:outlineLvl w:val="0"/>
    </w:pPr>
    <w:rPr>
      <w:rFonts w:eastAsia="Times New Roman"/>
      <w:b/>
      <w:bCs/>
      <w:color w:val="0D1957"/>
      <w:kern w:val="32"/>
      <w:sz w:val="28"/>
      <w:szCs w:val="32"/>
    </w:rPr>
  </w:style>
  <w:style w:type="paragraph" w:styleId="Heading2">
    <w:name w:val="heading 2"/>
    <w:basedOn w:val="Normal"/>
    <w:next w:val="Normal"/>
    <w:link w:val="Heading2Char"/>
    <w:uiPriority w:val="9"/>
    <w:unhideWhenUsed/>
    <w:qFormat/>
    <w:rsid w:val="00E7365A"/>
    <w:pPr>
      <w:keepNext/>
      <w:numPr>
        <w:numId w:val="1"/>
      </w:numPr>
      <w:ind w:left="360"/>
      <w:outlineLvl w:val="1"/>
    </w:pPr>
    <w:rPr>
      <w:rFonts w:eastAsia="Times New Roman"/>
      <w:b/>
      <w:bCs/>
      <w:iCs/>
      <w:color w:val="005A24"/>
      <w:sz w:val="24"/>
      <w:szCs w:val="28"/>
    </w:rPr>
  </w:style>
  <w:style w:type="paragraph" w:styleId="Heading3">
    <w:name w:val="heading 3"/>
    <w:aliases w:val="Conclusion"/>
    <w:basedOn w:val="Normal"/>
    <w:next w:val="Normal"/>
    <w:link w:val="Heading3Char"/>
    <w:uiPriority w:val="9"/>
    <w:unhideWhenUsed/>
    <w:qFormat/>
    <w:rsid w:val="00E7365A"/>
    <w:pPr>
      <w:keepNext/>
      <w:framePr w:wrap="around" w:vAnchor="text" w:hAnchor="text" w:y="1"/>
      <w:pBdr>
        <w:top w:val="single" w:sz="24" w:space="4" w:color="0D1957"/>
        <w:left w:val="single" w:sz="24" w:space="4" w:color="0D1957"/>
        <w:bottom w:val="single" w:sz="24" w:space="4" w:color="0D1957"/>
        <w:right w:val="single" w:sz="24" w:space="4" w:color="0D1957"/>
      </w:pBdr>
      <w:outlineLvl w:val="2"/>
    </w:pPr>
    <w:rPr>
      <w:rFonts w:eastAsia="Times New Roman"/>
      <w:b/>
      <w:bCs/>
      <w:color w:val="0D195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7365A"/>
    <w:rPr>
      <w:rFonts w:eastAsia="Times New Roman"/>
      <w:b/>
      <w:bCs/>
      <w:color w:val="0D1957"/>
      <w:kern w:val="32"/>
      <w:sz w:val="28"/>
      <w:szCs w:val="32"/>
    </w:rPr>
  </w:style>
  <w:style w:type="character" w:customStyle="1" w:styleId="Heading2Char">
    <w:name w:val="Heading 2 Char"/>
    <w:link w:val="Heading2"/>
    <w:uiPriority w:val="9"/>
    <w:rsid w:val="00E7365A"/>
    <w:rPr>
      <w:rFonts w:eastAsia="Times New Roman"/>
      <w:b/>
      <w:bCs/>
      <w:iCs/>
      <w:color w:val="005A24"/>
      <w:sz w:val="24"/>
      <w:szCs w:val="28"/>
    </w:rPr>
  </w:style>
  <w:style w:type="character" w:customStyle="1" w:styleId="Heading3Char">
    <w:name w:val="Heading 3 Char"/>
    <w:aliases w:val="Conclusion Char"/>
    <w:link w:val="Heading3"/>
    <w:uiPriority w:val="9"/>
    <w:rsid w:val="00E7365A"/>
    <w:rPr>
      <w:rFonts w:eastAsia="Times New Roman"/>
      <w:b/>
      <w:bCs/>
      <w:color w:val="0D1957"/>
      <w:sz w:val="22"/>
      <w:szCs w:val="26"/>
    </w:rPr>
  </w:style>
  <w:style w:type="paragraph" w:styleId="ListParagraph">
    <w:name w:val="List Paragraph"/>
    <w:basedOn w:val="Normal"/>
    <w:uiPriority w:val="34"/>
    <w:qFormat/>
    <w:rsid w:val="000F5DDC"/>
    <w:pPr>
      <w:spacing w:line="256" w:lineRule="auto"/>
      <w:ind w:left="720"/>
      <w:contextualSpacing/>
    </w:pPr>
    <w:rPr>
      <w:rFonts w:asciiTheme="minorHAnsi" w:eastAsiaTheme="minorHAnsi" w:hAnsiTheme="minorHAnsi" w:cstheme="minorBidi"/>
      <w:color w:val="5B9BD5" w:themeColor="accent5"/>
      <w:sz w:val="20"/>
      <w:szCs w:val="22"/>
      <w:lang w:val="en-GB" w:eastAsia="en-US"/>
    </w:rPr>
  </w:style>
  <w:style w:type="paragraph" w:styleId="Header">
    <w:name w:val="header"/>
    <w:basedOn w:val="Normal"/>
    <w:link w:val="HeaderChar"/>
    <w:uiPriority w:val="99"/>
    <w:unhideWhenUsed/>
    <w:rsid w:val="000E63AB"/>
    <w:pPr>
      <w:tabs>
        <w:tab w:val="center" w:pos="4513"/>
        <w:tab w:val="right" w:pos="9026"/>
      </w:tabs>
    </w:pPr>
  </w:style>
  <w:style w:type="character" w:customStyle="1" w:styleId="HeaderChar">
    <w:name w:val="Header Char"/>
    <w:basedOn w:val="DefaultParagraphFont"/>
    <w:link w:val="Header"/>
    <w:uiPriority w:val="99"/>
    <w:rsid w:val="000E63AB"/>
    <w:rPr>
      <w:sz w:val="22"/>
    </w:rPr>
  </w:style>
  <w:style w:type="paragraph" w:styleId="Footer">
    <w:name w:val="footer"/>
    <w:basedOn w:val="Normal"/>
    <w:link w:val="FooterChar"/>
    <w:uiPriority w:val="99"/>
    <w:unhideWhenUsed/>
    <w:rsid w:val="000E63AB"/>
    <w:pPr>
      <w:tabs>
        <w:tab w:val="center" w:pos="4513"/>
        <w:tab w:val="right" w:pos="9026"/>
      </w:tabs>
    </w:pPr>
  </w:style>
  <w:style w:type="character" w:customStyle="1" w:styleId="FooterChar">
    <w:name w:val="Footer Char"/>
    <w:basedOn w:val="DefaultParagraphFont"/>
    <w:link w:val="Footer"/>
    <w:uiPriority w:val="99"/>
    <w:rsid w:val="000E63AB"/>
    <w:rPr>
      <w:sz w:val="22"/>
    </w:rPr>
  </w:style>
  <w:style w:type="table" w:styleId="TableGrid">
    <w:name w:val="Table Grid"/>
    <w:basedOn w:val="TableNormal"/>
    <w:uiPriority w:val="59"/>
    <w:rsid w:val="000E6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77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2561</Characters>
  <Application>Microsoft Office Word</Application>
  <DocSecurity>0</DocSecurity>
  <Lines>76</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 TSURKAN</dc:creator>
  <cp:keywords/>
  <cp:lastModifiedBy>AdminO365</cp:lastModifiedBy>
  <cp:revision>2</cp:revision>
  <dcterms:created xsi:type="dcterms:W3CDTF">2022-05-18T09:01:00Z</dcterms:created>
  <dcterms:modified xsi:type="dcterms:W3CDTF">2022-05-18T09:01:00Z</dcterms:modified>
</cp:coreProperties>
</file>