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4F419" w14:textId="305ED544" w:rsidR="000D7F26" w:rsidRPr="006320B2" w:rsidRDefault="00121A20" w:rsidP="000D7F26">
      <w:pPr>
        <w:spacing w:before="120" w:after="24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Lepší regulace v EU a </w:t>
      </w:r>
      <w:r w:rsidR="00E41E27">
        <w:rPr>
          <w:rFonts w:ascii="Arial" w:hAnsi="Arial" w:cs="Arial"/>
          <w:b/>
          <w:color w:val="000000"/>
        </w:rPr>
        <w:t>role obchodních politik při strukturálních změnách</w:t>
      </w:r>
      <w:r w:rsidR="0006334A">
        <w:rPr>
          <w:rFonts w:ascii="Arial" w:hAnsi="Arial" w:cs="Arial"/>
          <w:b/>
          <w:color w:val="000000"/>
        </w:rPr>
        <w:t xml:space="preserve"> </w:t>
      </w:r>
      <w:r w:rsidR="000D7F26">
        <w:rPr>
          <w:rFonts w:ascii="Arial" w:hAnsi="Arial" w:cs="Arial"/>
          <w:b/>
          <w:color w:val="000000"/>
        </w:rPr>
        <w:t>– zprávy z OECD</w:t>
      </w:r>
    </w:p>
    <w:p w14:paraId="35D502ED" w14:textId="61DD3DF9" w:rsidR="000D7F26" w:rsidRPr="000B02D9" w:rsidRDefault="000D7F26" w:rsidP="000D7F26">
      <w:pPr>
        <w:spacing w:after="0" w:line="240" w:lineRule="auto"/>
        <w:jc w:val="both"/>
        <w:rPr>
          <w:rFonts w:ascii="Arial" w:hAnsi="Arial" w:cs="Arial"/>
        </w:rPr>
      </w:pPr>
    </w:p>
    <w:p w14:paraId="123DB08C" w14:textId="665AFAE0" w:rsidR="00121A20" w:rsidRPr="00121A20" w:rsidRDefault="00121A20" w:rsidP="00121A20">
      <w:pPr>
        <w:jc w:val="both"/>
        <w:rPr>
          <w:rFonts w:ascii="Arial" w:hAnsi="Arial" w:cs="Arial"/>
          <w:color w:val="000000"/>
          <w:spacing w:val="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A4D54AA" wp14:editId="08D597D9">
            <wp:simplePos x="0" y="0"/>
            <wp:positionH relativeFrom="margin">
              <wp:align>right</wp:align>
            </wp:positionH>
            <wp:positionV relativeFrom="paragraph">
              <wp:posOffset>43224</wp:posOffset>
            </wp:positionV>
            <wp:extent cx="1524616" cy="2022402"/>
            <wp:effectExtent l="19050" t="19050" r="19050" b="16510"/>
            <wp:wrapTight wrapText="bothSides">
              <wp:wrapPolygon edited="0">
                <wp:start x="-270" y="-204"/>
                <wp:lineTo x="-270" y="21573"/>
                <wp:lineTo x="21600" y="21573"/>
                <wp:lineTo x="21600" y="-204"/>
                <wp:lineTo x="-270" y="-204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616" cy="202240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Pr="00121A20">
        <w:rPr>
          <w:rFonts w:ascii="Arial" w:hAnsi="Arial" w:cs="Arial"/>
          <w:color w:val="000000"/>
          <w:spacing w:val="2"/>
        </w:rPr>
        <w:t xml:space="preserve">Celosvětové průzkumy mezi podnikateli zaznamenávají vyšší nespokojenost z rostoucí složitosti a náročnosti obchodních předpisů, zejména ze strany malých a středních podniků, které jsou zranitelnější vůči neočekávaným zpožděním </w:t>
      </w:r>
      <w:r w:rsidR="00E41E27">
        <w:rPr>
          <w:rFonts w:ascii="Arial" w:hAnsi="Arial" w:cs="Arial"/>
          <w:color w:val="000000"/>
          <w:spacing w:val="2"/>
        </w:rPr>
        <w:t xml:space="preserve">dodávek </w:t>
      </w:r>
      <w:r w:rsidRPr="00121A20">
        <w:rPr>
          <w:rFonts w:ascii="Arial" w:hAnsi="Arial" w:cs="Arial"/>
          <w:color w:val="000000"/>
          <w:spacing w:val="2"/>
        </w:rPr>
        <w:t>a</w:t>
      </w:r>
      <w:r w:rsidR="006B545D">
        <w:rPr>
          <w:rFonts w:ascii="Arial" w:hAnsi="Arial" w:cs="Arial"/>
          <w:color w:val="000000"/>
          <w:spacing w:val="2"/>
        </w:rPr>
        <w:t> </w:t>
      </w:r>
      <w:r w:rsidRPr="00121A20">
        <w:rPr>
          <w:rFonts w:ascii="Arial" w:hAnsi="Arial" w:cs="Arial"/>
          <w:color w:val="000000"/>
          <w:spacing w:val="2"/>
        </w:rPr>
        <w:t xml:space="preserve">nárůstu obchodních nákladů. I přes neustálé zlepšování podnikatelského prostředí usnadňujícího obchod zůstávají obchodní náklady spojené se zemědělsko-potravinářskými produkty (rychleji podléhajícími zkáze) vyšší než náklady spojené s průmyslovým zbožím, které podléhá menšímu počtu kontrolních postupů. Schvalovací postupy </w:t>
      </w:r>
      <w:r w:rsidR="00E41E27">
        <w:rPr>
          <w:rFonts w:ascii="Arial" w:hAnsi="Arial" w:cs="Arial"/>
          <w:color w:val="000000"/>
          <w:spacing w:val="2"/>
        </w:rPr>
        <w:t xml:space="preserve">tvoří nejvýznamnější část </w:t>
      </w:r>
      <w:r w:rsidRPr="00121A20">
        <w:rPr>
          <w:rFonts w:ascii="Arial" w:hAnsi="Arial" w:cs="Arial"/>
          <w:color w:val="000000"/>
          <w:spacing w:val="2"/>
        </w:rPr>
        <w:t>tě</w:t>
      </w:r>
      <w:r w:rsidR="00E41E27">
        <w:rPr>
          <w:rFonts w:ascii="Arial" w:hAnsi="Arial" w:cs="Arial"/>
          <w:color w:val="000000"/>
          <w:spacing w:val="2"/>
        </w:rPr>
        <w:t>chto</w:t>
      </w:r>
      <w:r w:rsidRPr="00121A20">
        <w:rPr>
          <w:rFonts w:ascii="Arial" w:hAnsi="Arial" w:cs="Arial"/>
          <w:color w:val="000000"/>
          <w:spacing w:val="2"/>
        </w:rPr>
        <w:t xml:space="preserve"> nákladů. Analýzy Světové banky založené na indexu logistické výkonnosti opakovaně zjistily, že výkon</w:t>
      </w:r>
      <w:r w:rsidR="00E41E27">
        <w:rPr>
          <w:rFonts w:ascii="Arial" w:hAnsi="Arial" w:cs="Arial"/>
          <w:color w:val="000000"/>
          <w:spacing w:val="2"/>
        </w:rPr>
        <w:t>nost</w:t>
      </w:r>
      <w:r w:rsidRPr="00121A20">
        <w:rPr>
          <w:rFonts w:ascii="Arial" w:hAnsi="Arial" w:cs="Arial"/>
          <w:color w:val="000000"/>
          <w:spacing w:val="2"/>
        </w:rPr>
        <w:t xml:space="preserve"> dodavatelsk</w:t>
      </w:r>
      <w:r w:rsidR="00E41E27">
        <w:rPr>
          <w:rFonts w:ascii="Arial" w:hAnsi="Arial" w:cs="Arial"/>
          <w:color w:val="000000"/>
          <w:spacing w:val="2"/>
        </w:rPr>
        <w:t>ých</w:t>
      </w:r>
      <w:r w:rsidRPr="00121A20">
        <w:rPr>
          <w:rFonts w:ascii="Arial" w:hAnsi="Arial" w:cs="Arial"/>
          <w:color w:val="000000"/>
          <w:spacing w:val="2"/>
        </w:rPr>
        <w:t xml:space="preserve"> řetězc</w:t>
      </w:r>
      <w:r w:rsidR="00E41E27">
        <w:rPr>
          <w:rFonts w:ascii="Arial" w:hAnsi="Arial" w:cs="Arial"/>
          <w:color w:val="000000"/>
          <w:spacing w:val="2"/>
        </w:rPr>
        <w:t>ů</w:t>
      </w:r>
      <w:r w:rsidRPr="00121A20">
        <w:rPr>
          <w:rFonts w:ascii="Arial" w:hAnsi="Arial" w:cs="Arial"/>
          <w:color w:val="000000"/>
          <w:spacing w:val="2"/>
        </w:rPr>
        <w:t xml:space="preserve"> omezují pohraniční sanitární a fytosanitární orgány, což v mnoha zemích může </w:t>
      </w:r>
      <w:r w:rsidR="00E41E27">
        <w:rPr>
          <w:rFonts w:ascii="Arial" w:hAnsi="Arial" w:cs="Arial"/>
          <w:color w:val="000000"/>
          <w:spacing w:val="2"/>
        </w:rPr>
        <w:t>komplikovat</w:t>
      </w:r>
      <w:r w:rsidRPr="00121A20">
        <w:rPr>
          <w:rFonts w:ascii="Arial" w:hAnsi="Arial" w:cs="Arial"/>
          <w:color w:val="000000"/>
          <w:spacing w:val="2"/>
        </w:rPr>
        <w:t xml:space="preserve"> pokrok dosažený jinými pohraničními orgány, které rychleji automatizovaly a zefektivnily své postupy. </w:t>
      </w:r>
      <w:r w:rsidR="00BB0AC2">
        <w:rPr>
          <w:rFonts w:ascii="Arial" w:hAnsi="Arial" w:cs="Arial"/>
          <w:color w:val="000000"/>
          <w:spacing w:val="2"/>
        </w:rPr>
        <w:t>D</w:t>
      </w:r>
      <w:r w:rsidRPr="00121A20">
        <w:rPr>
          <w:rFonts w:ascii="Arial" w:hAnsi="Arial" w:cs="Arial"/>
          <w:color w:val="000000"/>
          <w:spacing w:val="2"/>
        </w:rPr>
        <w:t xml:space="preserve">ruhé vydání zprávy o regulatorní praxi v Evropské unii </w:t>
      </w:r>
      <w:r w:rsidR="00BB0AC2">
        <w:rPr>
          <w:rFonts w:ascii="Arial" w:hAnsi="Arial" w:cs="Arial"/>
          <w:color w:val="000000"/>
          <w:spacing w:val="2"/>
        </w:rPr>
        <w:t xml:space="preserve">je tak </w:t>
      </w:r>
      <w:r w:rsidRPr="00121A20">
        <w:rPr>
          <w:rFonts w:ascii="Arial" w:hAnsi="Arial" w:cs="Arial"/>
          <w:color w:val="000000"/>
          <w:spacing w:val="2"/>
        </w:rPr>
        <w:t>užitečným příspěvkem</w:t>
      </w:r>
      <w:r w:rsidR="00BB0AC2">
        <w:rPr>
          <w:rFonts w:ascii="Arial" w:hAnsi="Arial" w:cs="Arial"/>
          <w:color w:val="000000"/>
          <w:spacing w:val="2"/>
        </w:rPr>
        <w:t xml:space="preserve"> při</w:t>
      </w:r>
      <w:r w:rsidRPr="00121A20">
        <w:rPr>
          <w:rFonts w:ascii="Arial" w:hAnsi="Arial" w:cs="Arial"/>
          <w:color w:val="000000"/>
          <w:spacing w:val="2"/>
        </w:rPr>
        <w:t xml:space="preserve"> anal</w:t>
      </w:r>
      <w:r w:rsidR="00BB0AC2">
        <w:rPr>
          <w:rFonts w:ascii="Arial" w:hAnsi="Arial" w:cs="Arial"/>
          <w:color w:val="000000"/>
          <w:spacing w:val="2"/>
        </w:rPr>
        <w:t>ýze</w:t>
      </w:r>
      <w:r w:rsidRPr="00121A20">
        <w:rPr>
          <w:rFonts w:ascii="Arial" w:hAnsi="Arial" w:cs="Arial"/>
          <w:color w:val="000000"/>
          <w:spacing w:val="2"/>
        </w:rPr>
        <w:t xml:space="preserve"> nedávn</w:t>
      </w:r>
      <w:r w:rsidR="00BB0AC2">
        <w:rPr>
          <w:rFonts w:ascii="Arial" w:hAnsi="Arial" w:cs="Arial"/>
          <w:color w:val="000000"/>
          <w:spacing w:val="2"/>
        </w:rPr>
        <w:t>ého</w:t>
      </w:r>
      <w:r w:rsidRPr="00121A20">
        <w:rPr>
          <w:rFonts w:ascii="Arial" w:hAnsi="Arial" w:cs="Arial"/>
          <w:color w:val="000000"/>
          <w:spacing w:val="2"/>
        </w:rPr>
        <w:t xml:space="preserve"> vývoj</w:t>
      </w:r>
      <w:r w:rsidR="00BB0AC2">
        <w:rPr>
          <w:rFonts w:ascii="Arial" w:hAnsi="Arial" w:cs="Arial"/>
          <w:color w:val="000000"/>
          <w:spacing w:val="2"/>
        </w:rPr>
        <w:t>e</w:t>
      </w:r>
      <w:r w:rsidRPr="00121A20">
        <w:rPr>
          <w:rFonts w:ascii="Arial" w:hAnsi="Arial" w:cs="Arial"/>
          <w:color w:val="000000"/>
          <w:spacing w:val="2"/>
        </w:rPr>
        <w:t xml:space="preserve"> a současn</w:t>
      </w:r>
      <w:r w:rsidR="00BB0AC2">
        <w:rPr>
          <w:rFonts w:ascii="Arial" w:hAnsi="Arial" w:cs="Arial"/>
          <w:color w:val="000000"/>
          <w:spacing w:val="2"/>
        </w:rPr>
        <w:t>ých</w:t>
      </w:r>
      <w:r w:rsidRPr="00121A20">
        <w:rPr>
          <w:rFonts w:ascii="Arial" w:hAnsi="Arial" w:cs="Arial"/>
          <w:color w:val="000000"/>
          <w:spacing w:val="2"/>
        </w:rPr>
        <w:t xml:space="preserve"> postup</w:t>
      </w:r>
      <w:r w:rsidR="00BB0AC2">
        <w:rPr>
          <w:rFonts w:ascii="Arial" w:hAnsi="Arial" w:cs="Arial"/>
          <w:color w:val="000000"/>
          <w:spacing w:val="2"/>
        </w:rPr>
        <w:t>ů</w:t>
      </w:r>
      <w:r w:rsidRPr="00121A20">
        <w:rPr>
          <w:rFonts w:ascii="Arial" w:hAnsi="Arial" w:cs="Arial"/>
          <w:color w:val="000000"/>
          <w:spacing w:val="2"/>
        </w:rPr>
        <w:t xml:space="preserve"> pro zlepšování kvality zákonů a nařízení ve členských státech EU. </w:t>
      </w:r>
    </w:p>
    <w:p w14:paraId="09222457" w14:textId="17112C36" w:rsidR="00121A20" w:rsidRPr="00121A20" w:rsidRDefault="001D3295" w:rsidP="00121A20">
      <w:pPr>
        <w:autoSpaceDE w:val="0"/>
        <w:autoSpaceDN w:val="0"/>
        <w:adjustRightInd w:val="0"/>
        <w:spacing w:before="120" w:after="0" w:line="240" w:lineRule="auto"/>
        <w:jc w:val="both"/>
        <w:rPr>
          <w:rStyle w:val="Hypertextovodkaz"/>
          <w:rFonts w:ascii="Arial" w:hAnsi="Arial" w:cs="Arial"/>
          <w:sz w:val="20"/>
        </w:rPr>
      </w:pPr>
      <w:hyperlink r:id="rId8" w:history="1">
        <w:r w:rsidR="00121A20" w:rsidRPr="00121A20">
          <w:rPr>
            <w:rStyle w:val="Hypertextovodkaz"/>
            <w:rFonts w:ascii="Arial" w:hAnsi="Arial" w:cs="Arial"/>
            <w:sz w:val="20"/>
          </w:rPr>
          <w:t>https://www.oecd-ilibrary.org/governance/better-regulation-practices-across-the-european-union-2022_6e4b095d-en</w:t>
        </w:r>
      </w:hyperlink>
    </w:p>
    <w:p w14:paraId="38342255" w14:textId="68D6A165" w:rsidR="00121A20" w:rsidRDefault="00121A20" w:rsidP="00792FF8">
      <w:pPr>
        <w:jc w:val="both"/>
        <w:rPr>
          <w:rFonts w:ascii="Arial" w:hAnsi="Arial" w:cs="Arial"/>
          <w:color w:val="000000"/>
          <w:spacing w:val="2"/>
        </w:rPr>
      </w:pPr>
    </w:p>
    <w:p w14:paraId="448BAB24" w14:textId="53381BB9" w:rsidR="00C42D39" w:rsidRPr="00CB38DA" w:rsidRDefault="00121A20" w:rsidP="00CB38DA">
      <w:pPr>
        <w:spacing w:after="0" w:line="240" w:lineRule="auto"/>
        <w:jc w:val="both"/>
        <w:rPr>
          <w:rFonts w:ascii="Arial" w:hAnsi="Arial" w:cs="Arial"/>
          <w:color w:val="000000"/>
          <w:spacing w:val="2"/>
        </w:rPr>
      </w:pPr>
      <w:r w:rsidRPr="00CB38DA">
        <w:rPr>
          <w:rFonts w:ascii="Arial" w:hAnsi="Arial" w:cs="Arial"/>
          <w:noProof/>
          <w:color w:val="000000"/>
          <w:spacing w:val="2"/>
        </w:rPr>
        <w:drawing>
          <wp:anchor distT="0" distB="0" distL="114300" distR="114300" simplePos="0" relativeHeight="251665408" behindDoc="1" locked="0" layoutInCell="1" allowOverlap="1" wp14:anchorId="293FFB94" wp14:editId="357D33FB">
            <wp:simplePos x="0" y="0"/>
            <wp:positionH relativeFrom="margin">
              <wp:align>right</wp:align>
            </wp:positionH>
            <wp:positionV relativeFrom="paragraph">
              <wp:posOffset>42294</wp:posOffset>
            </wp:positionV>
            <wp:extent cx="1333208" cy="1884178"/>
            <wp:effectExtent l="19050" t="19050" r="19685" b="20955"/>
            <wp:wrapTight wrapText="bothSides">
              <wp:wrapPolygon edited="0">
                <wp:start x="-309" y="-218"/>
                <wp:lineTo x="-309" y="21622"/>
                <wp:lineTo x="21610" y="21622"/>
                <wp:lineTo x="21610" y="-218"/>
                <wp:lineTo x="-309" y="-218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208" cy="188417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C42D39" w:rsidRPr="00CB38DA">
        <w:rPr>
          <w:rFonts w:ascii="Arial" w:hAnsi="Arial" w:cs="Arial"/>
          <w:color w:val="000000"/>
          <w:spacing w:val="2"/>
        </w:rPr>
        <w:t>Nová publikace OECD podává přehled o úspěšnosti politik při podpoře strukturální transformace hospodářství. Zaměřuje se na souhrn poznatků z oblasti obchodních i neobchodních politik. U</w:t>
      </w:r>
      <w:r w:rsidR="006B545D">
        <w:rPr>
          <w:rFonts w:ascii="Arial" w:hAnsi="Arial" w:cs="Arial"/>
          <w:color w:val="000000"/>
          <w:spacing w:val="2"/>
        </w:rPr>
        <w:t> </w:t>
      </w:r>
      <w:r w:rsidR="00C42D39" w:rsidRPr="00CB38DA">
        <w:rPr>
          <w:rFonts w:ascii="Arial" w:hAnsi="Arial" w:cs="Arial"/>
          <w:color w:val="000000"/>
          <w:spacing w:val="2"/>
        </w:rPr>
        <w:t>prvně uvedených přes přetrvávání určitých metodologických otázek a výskyt významných problémů při vlastní transformaci i po ní potvrzuje pozitivní dopad otevírání obchodu na hospodářský růst a životní úroveň. Prospěch z větší/silnější integrace do globální ekonomiky identifikuje u spotřebitelů i výrobců. Zmiňuje též disciplinující účinek dovozní konkurence nutící podniky snižovat neefektivitu, modernizovat výrobní procesy, zvyšovat kvalitu výrobků a snižovat ceny. Současně upozorňuje, že zvyšování produktivity nemusí nutně znamenat masivní substituci směrem k dovozu, ale spíše oživení domácích podniků, kde významnou roli mají i</w:t>
      </w:r>
      <w:r w:rsidR="006B545D">
        <w:rPr>
          <w:rFonts w:ascii="Arial" w:hAnsi="Arial" w:cs="Arial"/>
          <w:color w:val="000000"/>
          <w:spacing w:val="2"/>
        </w:rPr>
        <w:t> </w:t>
      </w:r>
      <w:r w:rsidR="00C42D39" w:rsidRPr="00CB38DA">
        <w:rPr>
          <w:rFonts w:ascii="Arial" w:hAnsi="Arial" w:cs="Arial"/>
          <w:color w:val="000000"/>
          <w:spacing w:val="2"/>
        </w:rPr>
        <w:t xml:space="preserve">redistribuční efekty. Vyhodnocení účinků těchto politik v sociální oblasti (příjmová nerovnost, zaměstnanost, pracovní standardy) jsou méně jednoznačná. Větší význam je zde přisuzován roli neobchodních politik (regulace, daňový a vzdělávací systém, technologické změny zaměřené na kvalifikaci apod.). Úspěšné řízení strukturální transformace vyžaduje aktivní pomoc a podporu (včetně nabídky odborné přípravy, pracovního poradenství </w:t>
      </w:r>
      <w:r w:rsidR="00E41E27">
        <w:rPr>
          <w:rFonts w:ascii="Arial" w:hAnsi="Arial" w:cs="Arial"/>
          <w:color w:val="000000"/>
          <w:spacing w:val="2"/>
        </w:rPr>
        <w:t>nebo</w:t>
      </w:r>
      <w:r w:rsidR="00C42D39" w:rsidRPr="00CB38DA">
        <w:rPr>
          <w:rFonts w:ascii="Arial" w:hAnsi="Arial" w:cs="Arial"/>
          <w:color w:val="000000"/>
          <w:spacing w:val="2"/>
        </w:rPr>
        <w:t xml:space="preserve"> specifických podpor) pro využití nových příležitostí ze strany pracovníků, jednotlivých hospodářských odvětví i konkrétních regionů.</w:t>
      </w:r>
    </w:p>
    <w:p w14:paraId="13AE1F66" w14:textId="77777777" w:rsidR="00121A20" w:rsidRPr="00121A20" w:rsidRDefault="001D3295" w:rsidP="00121A20">
      <w:pPr>
        <w:autoSpaceDE w:val="0"/>
        <w:autoSpaceDN w:val="0"/>
        <w:adjustRightInd w:val="0"/>
        <w:spacing w:before="120" w:after="0" w:line="240" w:lineRule="auto"/>
        <w:jc w:val="both"/>
        <w:rPr>
          <w:rStyle w:val="Hypertextovodkaz"/>
          <w:rFonts w:ascii="Arial" w:hAnsi="Arial" w:cs="Arial"/>
          <w:sz w:val="20"/>
        </w:rPr>
      </w:pPr>
      <w:hyperlink r:id="rId10" w:history="1">
        <w:r w:rsidR="00121A20" w:rsidRPr="00121A20">
          <w:rPr>
            <w:rStyle w:val="Hypertextovodkaz"/>
            <w:rFonts w:ascii="Arial" w:hAnsi="Arial" w:cs="Arial"/>
            <w:sz w:val="20"/>
          </w:rPr>
          <w:t>https://www.oecd-ilibrary.org/economics/mastering-the-transition-a-synthetic-literature-review-of-trade-adaptation-policies_5fad3487-en</w:t>
        </w:r>
      </w:hyperlink>
    </w:p>
    <w:p w14:paraId="21F1D5AF" w14:textId="559F6DBE" w:rsidR="00121A20" w:rsidRDefault="00121A20" w:rsidP="000D7F26">
      <w:pPr>
        <w:spacing w:after="0" w:line="240" w:lineRule="auto"/>
        <w:jc w:val="both"/>
        <w:rPr>
          <w:rFonts w:ascii="Arial" w:hAnsi="Arial" w:cs="Arial"/>
        </w:rPr>
      </w:pPr>
    </w:p>
    <w:p w14:paraId="604203B0" w14:textId="77777777" w:rsidR="00121A20" w:rsidRDefault="00121A20" w:rsidP="000D7F26">
      <w:pPr>
        <w:spacing w:after="0" w:line="240" w:lineRule="auto"/>
        <w:jc w:val="both"/>
        <w:rPr>
          <w:rFonts w:ascii="Arial" w:hAnsi="Arial" w:cs="Arial"/>
        </w:rPr>
      </w:pPr>
    </w:p>
    <w:p w14:paraId="62D62E48" w14:textId="77777777" w:rsidR="000D7F26" w:rsidRPr="003F7CAF" w:rsidRDefault="000D7F26" w:rsidP="000D7F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Mgr. Radek Stránský</w:t>
      </w:r>
    </w:p>
    <w:p w14:paraId="4DBA6D54" w14:textId="77777777" w:rsidR="000D7F26" w:rsidRPr="003F7CAF" w:rsidRDefault="000D7F26" w:rsidP="000D7F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 xml:space="preserve">Odbor zahraničně obchodní spolupráce, </w:t>
      </w:r>
      <w:proofErr w:type="spellStart"/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MZe</w:t>
      </w:r>
      <w:proofErr w:type="spellEnd"/>
    </w:p>
    <w:p w14:paraId="0400FBF2" w14:textId="77777777" w:rsidR="000D7F26" w:rsidRDefault="000D7F26" w:rsidP="000D7F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+420 221 812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> </w:t>
      </w: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310</w:t>
      </w:r>
    </w:p>
    <w:p w14:paraId="34CE30E1" w14:textId="0E6CEB54" w:rsidR="006D68C2" w:rsidRDefault="006D68C2">
      <w:pPr>
        <w:rPr>
          <w:rFonts w:ascii="Arial" w:eastAsia="Calibri" w:hAnsi="Arial" w:cs="Arial"/>
          <w:color w:val="000000" w:themeColor="text1"/>
          <w:sz w:val="20"/>
          <w:szCs w:val="20"/>
        </w:rPr>
      </w:pPr>
    </w:p>
    <w:sectPr w:rsidR="006D68C2" w:rsidSect="004F7E14">
      <w:headerReference w:type="default" r:id="rId11"/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FDF75" w14:textId="77777777" w:rsidR="001D3295" w:rsidRDefault="001D3295" w:rsidP="000D7F26">
      <w:pPr>
        <w:spacing w:after="0" w:line="240" w:lineRule="auto"/>
      </w:pPr>
      <w:r>
        <w:separator/>
      </w:r>
    </w:p>
  </w:endnote>
  <w:endnote w:type="continuationSeparator" w:id="0">
    <w:p w14:paraId="6B729DC7" w14:textId="77777777" w:rsidR="001D3295" w:rsidRDefault="001D3295" w:rsidP="000D7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54491" w14:textId="77777777" w:rsidR="001D3295" w:rsidRDefault="001D3295" w:rsidP="000D7F26">
      <w:pPr>
        <w:spacing w:after="0" w:line="240" w:lineRule="auto"/>
      </w:pPr>
      <w:r>
        <w:separator/>
      </w:r>
    </w:p>
  </w:footnote>
  <w:footnote w:type="continuationSeparator" w:id="0">
    <w:p w14:paraId="7E801BCD" w14:textId="77777777" w:rsidR="001D3295" w:rsidRDefault="001D3295" w:rsidP="000D7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96F0" w14:textId="34BC8BBF" w:rsidR="009D2E73" w:rsidRDefault="00AE052A">
    <w:pPr>
      <w:pStyle w:val="Zhlav"/>
    </w:pPr>
    <w:r>
      <w:tab/>
    </w:r>
    <w:r>
      <w:tab/>
    </w:r>
    <w:r w:rsidR="00FE1045">
      <w:t>13</w:t>
    </w:r>
    <w:r>
      <w:t xml:space="preserve">. </w:t>
    </w:r>
    <w:r w:rsidR="00FE1045">
      <w:t>10</w:t>
    </w:r>
    <w:r>
      <w:t>.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F26"/>
    <w:rsid w:val="00060E1D"/>
    <w:rsid w:val="0006334A"/>
    <w:rsid w:val="0009141E"/>
    <w:rsid w:val="000A0C94"/>
    <w:rsid w:val="000B1C87"/>
    <w:rsid w:val="000D7F26"/>
    <w:rsid w:val="000E28D1"/>
    <w:rsid w:val="001162C6"/>
    <w:rsid w:val="00121A20"/>
    <w:rsid w:val="0013608B"/>
    <w:rsid w:val="001D3295"/>
    <w:rsid w:val="002165E3"/>
    <w:rsid w:val="002E2C67"/>
    <w:rsid w:val="002F16A6"/>
    <w:rsid w:val="00317C8E"/>
    <w:rsid w:val="0034210B"/>
    <w:rsid w:val="00381B88"/>
    <w:rsid w:val="00397B6C"/>
    <w:rsid w:val="00423DC7"/>
    <w:rsid w:val="004463A7"/>
    <w:rsid w:val="004D2E56"/>
    <w:rsid w:val="004D3B48"/>
    <w:rsid w:val="005037B0"/>
    <w:rsid w:val="00567767"/>
    <w:rsid w:val="00600102"/>
    <w:rsid w:val="00624639"/>
    <w:rsid w:val="006B545D"/>
    <w:rsid w:val="006D68C2"/>
    <w:rsid w:val="00705BA8"/>
    <w:rsid w:val="00792FF8"/>
    <w:rsid w:val="0081577E"/>
    <w:rsid w:val="00842ED0"/>
    <w:rsid w:val="008578E0"/>
    <w:rsid w:val="00876353"/>
    <w:rsid w:val="008E3012"/>
    <w:rsid w:val="009105AA"/>
    <w:rsid w:val="00917A96"/>
    <w:rsid w:val="00971661"/>
    <w:rsid w:val="00A315C3"/>
    <w:rsid w:val="00A636F3"/>
    <w:rsid w:val="00A8795B"/>
    <w:rsid w:val="00AE052A"/>
    <w:rsid w:val="00AE1C97"/>
    <w:rsid w:val="00AE4666"/>
    <w:rsid w:val="00B64039"/>
    <w:rsid w:val="00B74E13"/>
    <w:rsid w:val="00B83F49"/>
    <w:rsid w:val="00BB0AC2"/>
    <w:rsid w:val="00BC049A"/>
    <w:rsid w:val="00BC40BC"/>
    <w:rsid w:val="00C20E65"/>
    <w:rsid w:val="00C42D39"/>
    <w:rsid w:val="00CB38DA"/>
    <w:rsid w:val="00D363BC"/>
    <w:rsid w:val="00E34861"/>
    <w:rsid w:val="00E41E27"/>
    <w:rsid w:val="00E72E11"/>
    <w:rsid w:val="00F237C4"/>
    <w:rsid w:val="00F76BE8"/>
    <w:rsid w:val="00FB47D7"/>
    <w:rsid w:val="00FC49C4"/>
    <w:rsid w:val="00FD5D59"/>
    <w:rsid w:val="00FD7A0F"/>
    <w:rsid w:val="00FE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2DC95"/>
  <w15:chartTrackingRefBased/>
  <w15:docId w15:val="{95D0459E-7401-40FE-B467-CC42CB06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7F26"/>
  </w:style>
  <w:style w:type="paragraph" w:styleId="Nadpis2">
    <w:name w:val="heading 2"/>
    <w:basedOn w:val="Normln"/>
    <w:link w:val="Nadpis2Char"/>
    <w:uiPriority w:val="9"/>
    <w:qFormat/>
    <w:rsid w:val="008578E0"/>
    <w:pPr>
      <w:spacing w:before="330" w:after="165" w:line="240" w:lineRule="auto"/>
      <w:outlineLvl w:val="1"/>
    </w:pPr>
    <w:rPr>
      <w:rFonts w:ascii="inherit" w:eastAsia="Times New Roman" w:hAnsi="inherit" w:cs="Times New Roman"/>
      <w:sz w:val="47"/>
      <w:szCs w:val="47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578E0"/>
    <w:pPr>
      <w:spacing w:before="330" w:after="165" w:line="240" w:lineRule="auto"/>
      <w:outlineLvl w:val="2"/>
    </w:pPr>
    <w:rPr>
      <w:rFonts w:ascii="inherit" w:eastAsia="Times New Roman" w:hAnsi="inherit" w:cs="Times New Roman"/>
      <w:sz w:val="33"/>
      <w:szCs w:val="3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D7F2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D7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7F26"/>
  </w:style>
  <w:style w:type="paragraph" w:styleId="Zpat">
    <w:name w:val="footer"/>
    <w:basedOn w:val="Normln"/>
    <w:link w:val="ZpatChar"/>
    <w:uiPriority w:val="99"/>
    <w:unhideWhenUsed/>
    <w:rsid w:val="000D7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7F26"/>
  </w:style>
  <w:style w:type="character" w:styleId="Odkaznakoment">
    <w:name w:val="annotation reference"/>
    <w:basedOn w:val="Standardnpsmoodstavce"/>
    <w:uiPriority w:val="99"/>
    <w:semiHidden/>
    <w:unhideWhenUsed/>
    <w:rsid w:val="00E72E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E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E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2E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2E1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E1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8578E0"/>
    <w:rPr>
      <w:rFonts w:ascii="inherit" w:eastAsia="Times New Roman" w:hAnsi="inherit" w:cs="Times New Roman"/>
      <w:sz w:val="47"/>
      <w:szCs w:val="47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578E0"/>
    <w:rPr>
      <w:rFonts w:ascii="inherit" w:eastAsia="Times New Roman" w:hAnsi="inherit" w:cs="Times New Roman"/>
      <w:sz w:val="33"/>
      <w:szCs w:val="33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578E0"/>
    <w:pPr>
      <w:spacing w:after="165" w:line="240" w:lineRule="auto"/>
    </w:pPr>
    <w:rPr>
      <w:rFonts w:ascii="Times New Roman" w:eastAsia="Times New Roman" w:hAnsi="Times New Roman" w:cs="Times New Roman"/>
      <w:color w:val="7F7F7F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6D68C2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6D68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76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ecd-ilibrary.org/governance/better-regulation-practices-across-the-european-union-2022_6e4b095d-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oecd-ilibrary.org/economics/mastering-the-transition-a-synthetic-literature-review-of-trade-adaptation-policies_5fad3487-e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269B2-8F2E-4252-B810-46DAC3F08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Stránský Radek</dc:creator>
  <cp:keywords/>
  <dc:description/>
  <cp:lastModifiedBy>Bartošová Karolína</cp:lastModifiedBy>
  <cp:revision>2</cp:revision>
  <cp:lastPrinted>2022-10-13T10:22:00Z</cp:lastPrinted>
  <dcterms:created xsi:type="dcterms:W3CDTF">2022-10-17T07:00:00Z</dcterms:created>
  <dcterms:modified xsi:type="dcterms:W3CDTF">2022-10-17T07:00:00Z</dcterms:modified>
</cp:coreProperties>
</file>