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AB63" w14:textId="77777777" w:rsidR="000D3362" w:rsidRPr="006320B2" w:rsidRDefault="000D3362" w:rsidP="000D3362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Investice do integrity dodavatelských řetězců doma i mimo EU – zprávy z OECD</w:t>
      </w:r>
    </w:p>
    <w:p w14:paraId="6F55A3A5" w14:textId="77777777" w:rsidR="007A2D9A" w:rsidRDefault="000D3362" w:rsidP="000D336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644F8AF" wp14:editId="2F053109">
            <wp:simplePos x="0" y="0"/>
            <wp:positionH relativeFrom="margin">
              <wp:posOffset>4775835</wp:posOffset>
            </wp:positionH>
            <wp:positionV relativeFrom="paragraph">
              <wp:posOffset>26670</wp:posOffset>
            </wp:positionV>
            <wp:extent cx="967740" cy="1333500"/>
            <wp:effectExtent l="19050" t="19050" r="22860" b="19050"/>
            <wp:wrapTight wrapText="bothSides">
              <wp:wrapPolygon edited="0">
                <wp:start x="-425" y="-309"/>
                <wp:lineTo x="-425" y="21600"/>
                <wp:lineTo x="21685" y="21600"/>
                <wp:lineTo x="21685" y="-309"/>
                <wp:lineTo x="-425" y="-309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>Od globální finanční a hospodářské krize v letech 2008 a 2009 je vedle f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inančních výsledků hospodaření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stále větší důraz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kladen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také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na vytváření dlouhodobých hodnot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začleněním problematiky společenské odpovědnosti do běžného fungování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podniků, států a všech aktérů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 xml:space="preserve">zemědělských dodavatelských řetězců. Zvyšuje se úsilí o 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sociální dialog,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zavádějí minimální standardy,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 xml:space="preserve">rozšiřuje se </w:t>
      </w:r>
      <w:proofErr w:type="spellStart"/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due</w:t>
      </w:r>
      <w:proofErr w:type="spellEnd"/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 xml:space="preserve"> diligence/náležitá péče, </w:t>
      </w:r>
      <w:r w:rsidR="00556C4C">
        <w:rPr>
          <w:rFonts w:ascii="Arial" w:eastAsia="Times New Roman" w:hAnsi="Arial" w:cs="Arial"/>
          <w:color w:val="000000"/>
          <w:spacing w:val="2"/>
          <w:lang w:eastAsia="cs-CZ"/>
        </w:rPr>
        <w:t>která má pokrýt i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 xml:space="preserve"> závažné problémy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v lidskoprávní a environmentální oblasti a která se rychle stává významnou součástí zelené transformace. </w:t>
      </w:r>
      <w:r w:rsidR="00556C4C">
        <w:rPr>
          <w:rFonts w:ascii="Arial" w:eastAsia="Times New Roman" w:hAnsi="Arial" w:cs="Arial"/>
          <w:color w:val="000000"/>
          <w:spacing w:val="2"/>
          <w:lang w:eastAsia="cs-CZ"/>
        </w:rPr>
        <w:t>V</w:t>
      </w:r>
      <w:r w:rsidR="00556C4C" w:rsidRPr="005B1426">
        <w:rPr>
          <w:rFonts w:ascii="Arial" w:eastAsia="Times New Roman" w:hAnsi="Arial" w:cs="Arial"/>
          <w:color w:val="000000"/>
          <w:spacing w:val="2"/>
          <w:lang w:eastAsia="cs-CZ"/>
        </w:rPr>
        <w:t> zemědělství</w:t>
      </w:r>
      <w:r w:rsidR="00556C4C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="00556C4C"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se </w:t>
      </w:r>
      <w:r w:rsidR="00556C4C">
        <w:rPr>
          <w:rFonts w:ascii="Arial" w:eastAsia="Times New Roman" w:hAnsi="Arial" w:cs="Arial"/>
          <w:color w:val="000000"/>
          <w:spacing w:val="2"/>
          <w:lang w:eastAsia="cs-CZ"/>
        </w:rPr>
        <w:t>bohužel realizuje</w:t>
      </w:r>
      <w:r w:rsidR="00556C4C"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70 % dětské práce, </w:t>
      </w:r>
      <w:r w:rsidR="00197979"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ze zemědělství pochází 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>25 % emisí skleníkových plynů, 70 % zdrojů pitné vody využívá zemědělství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,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přes 70 % odlesňování tropických pralesů je důsledkem </w:t>
      </w:r>
      <w:r w:rsidR="00197979">
        <w:rPr>
          <w:rFonts w:ascii="Arial" w:eastAsia="Times New Roman" w:hAnsi="Arial" w:cs="Arial"/>
          <w:color w:val="000000"/>
          <w:spacing w:val="2"/>
          <w:lang w:eastAsia="cs-CZ"/>
        </w:rPr>
        <w:t>rozšiřování zemědělských ploch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(zejm. </w:t>
      </w:r>
      <w:r w:rsidR="00197979">
        <w:rPr>
          <w:rFonts w:ascii="Arial" w:eastAsia="Times New Roman" w:hAnsi="Arial" w:cs="Arial"/>
          <w:color w:val="000000"/>
          <w:spacing w:val="2"/>
          <w:lang w:eastAsia="cs-CZ"/>
        </w:rPr>
        <w:t xml:space="preserve">pro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produkci palmového oleje, masa, sóji, kakaa, kukuřice a kaučuku) a a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 xml:space="preserve">ž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16 %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proofErr w:type="spellStart"/>
      <w:r w:rsidR="001B7446">
        <w:rPr>
          <w:rFonts w:ascii="Arial" w:eastAsia="Times New Roman" w:hAnsi="Arial" w:cs="Arial"/>
          <w:color w:val="000000"/>
          <w:spacing w:val="2"/>
          <w:lang w:eastAsia="cs-CZ"/>
        </w:rPr>
        <w:t>deforestace</w:t>
      </w:r>
      <w:proofErr w:type="spellEnd"/>
      <w:r w:rsidR="001B7446">
        <w:rPr>
          <w:rFonts w:ascii="Arial" w:eastAsia="Times New Roman" w:hAnsi="Arial" w:cs="Arial"/>
          <w:color w:val="000000"/>
          <w:spacing w:val="2"/>
          <w:lang w:eastAsia="cs-CZ"/>
        </w:rPr>
        <w:t xml:space="preserve"> a degradace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 xml:space="preserve"> lesů po celém světě je důsledkem produkce výše uvedených komodit </w:t>
      </w:r>
      <w:r w:rsidR="001F4F4F">
        <w:rPr>
          <w:rFonts w:ascii="Arial" w:eastAsia="Times New Roman" w:hAnsi="Arial" w:cs="Arial"/>
          <w:color w:val="000000"/>
          <w:spacing w:val="2"/>
          <w:lang w:eastAsia="cs-CZ"/>
        </w:rPr>
        <w:t>pro trh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 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>EU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. Ale i mimo evropský okruh a mimo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země se 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>závaz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kem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Green </w:t>
      </w:r>
      <w:proofErr w:type="spellStart"/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>Dealu</w:t>
      </w:r>
      <w:proofErr w:type="spellEnd"/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investoři intenzivně pracují s nefinančními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daty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firem a zárukami náležité péče (nejen skrze doplnění doložek do smluv s dodavateli). Představují jednu z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 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možností, jak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nastavit rovné podmínky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 pro domácí výrobce (kteří mají často vyšší náklady) a firmy s globálními dodavatelskými řetězci (spoléhajícími se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např. 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na výrobu </w:t>
      </w:r>
      <w:r w:rsidRPr="003B094E">
        <w:rPr>
          <w:rFonts w:ascii="Arial" w:eastAsia="Times New Roman" w:hAnsi="Arial" w:cs="Arial"/>
          <w:b/>
          <w:color w:val="000000"/>
          <w:spacing w:val="2"/>
          <w:lang w:eastAsia="cs-CZ"/>
        </w:rPr>
        <w:t>mimo EU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, kde nejsou dodržovány stejné pracovněprávní a environmentální standardy a kde </w:t>
      </w:r>
      <w:r w:rsidRPr="003B094E">
        <w:rPr>
          <w:rFonts w:ascii="Arial" w:eastAsia="Times New Roman" w:hAnsi="Arial" w:cs="Arial"/>
          <w:b/>
          <w:color w:val="000000"/>
          <w:spacing w:val="2"/>
          <w:lang w:eastAsia="cs-CZ"/>
        </w:rPr>
        <w:t>je vyšší potřeba prověřovat dodavatele a aktivně s nimi spolupracovat</w:t>
      </w:r>
      <w:r w:rsidRPr="005B1426">
        <w:rPr>
          <w:rFonts w:ascii="Arial" w:eastAsia="Times New Roman" w:hAnsi="Arial" w:cs="Arial"/>
          <w:color w:val="000000"/>
          <w:spacing w:val="2"/>
          <w:lang w:eastAsia="cs-CZ"/>
        </w:rPr>
        <w:t xml:space="preserve">).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Integrita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 zemědělských dodavatelských řetězců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a začleňování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 problematiky společenské odpovědnosti do fungování podniků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tedy není filantropií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>, charit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ou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 či dobrovolnictví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m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,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ale způsobem, jakým se investuje a vydělává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;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jde o</w:t>
      </w:r>
      <w:r w:rsidRPr="004D38E8">
        <w:rPr>
          <w:rFonts w:ascii="Arial" w:eastAsia="Times New Roman" w:hAnsi="Arial" w:cs="Arial"/>
          <w:color w:val="000000"/>
          <w:spacing w:val="2"/>
          <w:lang w:eastAsia="cs-CZ"/>
        </w:rPr>
        <w:t xml:space="preserve"> preferenci prospěchu všech aktérů řetězce a dlouhodobých výhod (spolehlivější vztahy s dodavateli, vyšší odolnost v krizích) před krátkodobým investičním horizontem a hledáním okamžitých krátkodobých benefitů.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Hodnocení nefinančních indikátorů a společenské odpovědnosti je tak 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faktorem určité předběžné míry jistoty pro krizové situace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, který má s ohledem na vysokou zranitelnost </w:t>
      </w:r>
      <w:r w:rsidRPr="00076225">
        <w:rPr>
          <w:rFonts w:ascii="Arial" w:eastAsia="Times New Roman" w:hAnsi="Arial" w:cs="Arial"/>
          <w:color w:val="000000"/>
          <w:spacing w:val="2"/>
          <w:lang w:eastAsia="cs-CZ"/>
        </w:rPr>
        <w:t xml:space="preserve">potravinářského průmyslu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a komplexnost zemědělských dodavatelských řetězců </w:t>
      </w:r>
      <w:r w:rsidRPr="00076225">
        <w:rPr>
          <w:rFonts w:ascii="Arial" w:eastAsia="Times New Roman" w:hAnsi="Arial" w:cs="Arial"/>
          <w:color w:val="000000"/>
          <w:spacing w:val="2"/>
          <w:lang w:eastAsia="cs-CZ"/>
        </w:rPr>
        <w:t>značný význam</w:t>
      </w:r>
      <w:r w:rsidR="007A2D9A">
        <w:rPr>
          <w:rFonts w:ascii="Arial" w:eastAsia="Times New Roman" w:hAnsi="Arial" w:cs="Arial"/>
          <w:color w:val="000000"/>
          <w:spacing w:val="2"/>
          <w:lang w:eastAsia="cs-CZ"/>
        </w:rPr>
        <w:t>.</w:t>
      </w:r>
    </w:p>
    <w:p w14:paraId="4373D100" w14:textId="77777777" w:rsidR="007A2D9A" w:rsidRDefault="000D3362" w:rsidP="000D336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 xml:space="preserve">Na krizi a častější </w:t>
      </w:r>
      <w:r w:rsidR="009D2BDB">
        <w:rPr>
          <w:rFonts w:ascii="Arial" w:eastAsia="Times New Roman" w:hAnsi="Arial" w:cs="Arial"/>
          <w:color w:val="000000"/>
          <w:spacing w:val="2"/>
          <w:lang w:eastAsia="cs-CZ"/>
        </w:rPr>
        <w:t>narušování trhů reagovaly i </w:t>
      </w:r>
      <w:r w:rsidRPr="00BF18C9">
        <w:rPr>
          <w:rFonts w:ascii="Arial" w:eastAsia="Times New Roman" w:hAnsi="Arial" w:cs="Arial"/>
          <w:color w:val="000000"/>
          <w:spacing w:val="2"/>
          <w:lang w:eastAsia="cs-CZ"/>
        </w:rPr>
        <w:t>mezinárodní organizace</w:t>
      </w:r>
      <w:r w:rsidR="009D2BD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zveřejněním souhrnů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širokého spektra standardů (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pro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zajištění zájmů 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>vše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ch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aktérů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v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řetězcích) a současně podporou mechanismů pro udržení funkčních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vztahů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v případě řešení zmíněných tržních výpadků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>(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např. prostřednictvím podpory </w:t>
      </w:r>
      <w:hyperlink r:id="rId7" w:history="1">
        <w:r w:rsidRPr="002B3EC2">
          <w:rPr>
            <w:rStyle w:val="Hypertextovodkaz"/>
            <w:rFonts w:ascii="Arial" w:eastAsia="Times New Roman" w:hAnsi="Arial" w:cs="Arial"/>
            <w:spacing w:val="2"/>
            <w:lang w:eastAsia="cs-CZ"/>
          </w:rPr>
          <w:t>mediačních služeb</w:t>
        </w:r>
      </w:hyperlink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). V červenci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2022 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probíhala v OECD </w:t>
      </w:r>
      <w:hyperlink r:id="rId8" w:history="1">
        <w:r w:rsidRPr="00BF18C9">
          <w:rPr>
            <w:rStyle w:val="Hypertextovodkaz"/>
            <w:rFonts w:ascii="Arial" w:eastAsia="Times New Roman" w:hAnsi="Arial" w:cs="Arial"/>
            <w:spacing w:val="2"/>
            <w:lang w:eastAsia="cs-CZ"/>
          </w:rPr>
          <w:t>veřejná konzultace</w:t>
        </w:r>
      </w:hyperlink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k řešení odpovědnosti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v</w:t>
      </w:r>
      <w:r w:rsidRPr="00EC4588">
        <w:rPr>
          <w:rFonts w:ascii="Arial" w:eastAsia="Times New Roman" w:hAnsi="Arial" w:cs="Arial"/>
          <w:color w:val="000000"/>
          <w:spacing w:val="2"/>
          <w:lang w:eastAsia="cs-CZ"/>
        </w:rPr>
        <w:t xml:space="preserve"> problematice odlesňování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, ke které bude v roce 2023 vydán manuál. Ani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 EU již ke globální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mu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 odlesňování a degradaci půd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nechce přispívat. Podle </w:t>
      </w:r>
      <w:hyperlink r:id="rId9" w:history="1">
        <w:r w:rsidRPr="002C7A55">
          <w:rPr>
            <w:rStyle w:val="Hypertextovodkaz"/>
            <w:rFonts w:ascii="Arial" w:eastAsia="Times New Roman" w:hAnsi="Arial" w:cs="Arial"/>
            <w:spacing w:val="2"/>
            <w:lang w:eastAsia="cs-CZ"/>
          </w:rPr>
          <w:t>návrhu nové evropské legislativy</w:t>
        </w:r>
      </w:hyperlink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by společnosti, které uvádějí rizikové komodity na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evropský 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trh, měly </w:t>
      </w:r>
      <w:r w:rsidRPr="003B094E">
        <w:rPr>
          <w:rFonts w:ascii="Arial" w:eastAsia="Times New Roman" w:hAnsi="Arial" w:cs="Arial"/>
          <w:b/>
          <w:color w:val="000000"/>
          <w:spacing w:val="2"/>
          <w:lang w:eastAsia="cs-CZ"/>
        </w:rPr>
        <w:t>dokládat jejich původ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 a zaručit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(s využitím satelitního monitoringu)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>, že jejich produkce nebude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spojena s odlesňováním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Vstup tohoto nového e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>vropsk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ého</w:t>
      </w:r>
      <w:r w:rsidRPr="00E3124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předpisu v p</w:t>
      </w:r>
      <w:r w:rsidR="007A2D9A">
        <w:rPr>
          <w:rFonts w:ascii="Arial" w:eastAsia="Times New Roman" w:hAnsi="Arial" w:cs="Arial"/>
          <w:color w:val="000000"/>
          <w:spacing w:val="2"/>
          <w:lang w:eastAsia="cs-CZ"/>
        </w:rPr>
        <w:t>latnost se očekává v roce 2024.</w:t>
      </w:r>
    </w:p>
    <w:p w14:paraId="4D25C1BE" w14:textId="77777777" w:rsidR="000D3362" w:rsidRDefault="000D3362" w:rsidP="000D336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>
        <w:rPr>
          <w:rFonts w:ascii="Arial" w:eastAsia="Times New Roman" w:hAnsi="Arial" w:cs="Arial"/>
          <w:color w:val="000000"/>
          <w:spacing w:val="2"/>
          <w:lang w:eastAsia="cs-CZ"/>
        </w:rPr>
        <w:t>Také v ČR dochází k rozsáhlým právním změnám vedoucím k posílení ochrany hospodářských/produkčních, ale především mnoha mimoprodukčních funkcí zemědělské půdy a krajiny jako celku (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>přesněji se vymezují povinnosti vlastníka nebo nájemce zemědělské půdy a odpovědnost znečišťovatele zemědělské půdy, povinnosti při zajišťování ochrany půdy, zvyšují se odvody za odnětí nejkvalitnější půdy, což dopadá na investory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,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 xml:space="preserve"> developery a další subjekty, např. stavební a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 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>těžařské firmy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). 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>Cílem je posílit ochranu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hydrologických a odt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>okových poměrů v území, ale též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ochranu 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 xml:space="preserve">širokého spektra dalších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schopnost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>í (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filtrační, akumulační, retenční, tlumící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transformační</w:t>
      </w:r>
      <w:r w:rsidRPr="00E91DF2">
        <w:rPr>
          <w:rFonts w:ascii="Arial" w:eastAsia="Times New Roman" w:hAnsi="Arial" w:cs="Arial"/>
          <w:color w:val="000000"/>
          <w:spacing w:val="2"/>
          <w:lang w:eastAsia="cs-CZ"/>
        </w:rPr>
        <w:t xml:space="preserve"> aj.)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ovlivňujících výskyt živin, solí, kontaminantů, zmírňujících průběh teplotních a jiných změn v půdě nebo umožňujících látkovou přeměnu. Dosavadní právní rámec často nezajistil adekvátní ochranu uvedených funkcí, která je přitom jedním z klíčových adaptačních opatření na změnu klimatu. Současně platí, že účinnost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cs-CZ"/>
        </w:rPr>
        <w:t>due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 diligence jako čistě administrativní záležitosti motivované vnějšími tlaky dramaticky klesá, a to i při stanovení 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>časov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ých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harmonogramů a </w:t>
      </w:r>
      <w:r w:rsidRPr="0065278B">
        <w:rPr>
          <w:rFonts w:ascii="Arial" w:eastAsia="Times New Roman" w:hAnsi="Arial" w:cs="Arial"/>
          <w:color w:val="000000"/>
          <w:spacing w:val="2"/>
          <w:lang w:eastAsia="cs-CZ"/>
        </w:rPr>
        <w:t>lhůt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v mezinárodních dohodách (např. </w:t>
      </w:r>
      <w:r w:rsidRPr="002D3360">
        <w:rPr>
          <w:rFonts w:ascii="Arial" w:eastAsia="Times New Roman" w:hAnsi="Arial" w:cs="Arial"/>
          <w:color w:val="000000"/>
          <w:spacing w:val="2"/>
          <w:lang w:eastAsia="cs-CZ"/>
        </w:rPr>
        <w:t xml:space="preserve">široké závazky 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COP26 </w:t>
      </w:r>
      <w:r w:rsidRPr="002D3360">
        <w:rPr>
          <w:rFonts w:ascii="Arial" w:eastAsia="Times New Roman" w:hAnsi="Arial" w:cs="Arial"/>
          <w:color w:val="000000"/>
          <w:spacing w:val="2"/>
          <w:lang w:eastAsia="cs-CZ"/>
        </w:rPr>
        <w:t>z G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>lasgow</w:t>
      </w:r>
      <w:r w:rsidRPr="002D3360">
        <w:rPr>
          <w:rFonts w:ascii="Arial" w:eastAsia="Times New Roman" w:hAnsi="Arial" w:cs="Arial"/>
          <w:color w:val="000000"/>
          <w:spacing w:val="2"/>
          <w:lang w:eastAsia="cs-CZ"/>
        </w:rPr>
        <w:t>)</w:t>
      </w:r>
      <w:r>
        <w:rPr>
          <w:rFonts w:ascii="Arial" w:eastAsia="Times New Roman" w:hAnsi="Arial" w:cs="Arial"/>
          <w:color w:val="000000"/>
          <w:spacing w:val="2"/>
          <w:lang w:eastAsia="cs-CZ"/>
        </w:rPr>
        <w:t xml:space="preserve"> a vnitrofiremních postupech. </w:t>
      </w:r>
    </w:p>
    <w:p w14:paraId="3C868092" w14:textId="77777777" w:rsidR="000D3362" w:rsidRDefault="000D3362" w:rsidP="000D3362">
      <w:pPr>
        <w:spacing w:after="0" w:line="240" w:lineRule="auto"/>
        <w:jc w:val="both"/>
      </w:pPr>
    </w:p>
    <w:p w14:paraId="0EFF461F" w14:textId="77777777" w:rsidR="000D3362" w:rsidRPr="003F7CAF" w:rsidRDefault="000D3362" w:rsidP="000D33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7231C802" w14:textId="77777777" w:rsidR="000D3362" w:rsidRPr="003F7CAF" w:rsidRDefault="000D3362" w:rsidP="000D33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7AD2F021" w14:textId="77777777" w:rsidR="000D3362" w:rsidRPr="006B093D" w:rsidRDefault="000D3362" w:rsidP="000D33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0953287D" w14:textId="77777777" w:rsidR="00791243" w:rsidRDefault="00791243"/>
    <w:sectPr w:rsidR="00791243" w:rsidSect="004E4C8F">
      <w:head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320D" w14:textId="77777777" w:rsidR="00665128" w:rsidRDefault="00665128">
      <w:pPr>
        <w:spacing w:after="0" w:line="240" w:lineRule="auto"/>
      </w:pPr>
      <w:r>
        <w:separator/>
      </w:r>
    </w:p>
  </w:endnote>
  <w:endnote w:type="continuationSeparator" w:id="0">
    <w:p w14:paraId="7264A7EF" w14:textId="77777777" w:rsidR="00665128" w:rsidRDefault="0066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E3FB" w14:textId="77777777" w:rsidR="00665128" w:rsidRDefault="00665128">
      <w:pPr>
        <w:spacing w:after="0" w:line="240" w:lineRule="auto"/>
      </w:pPr>
      <w:r>
        <w:separator/>
      </w:r>
    </w:p>
  </w:footnote>
  <w:footnote w:type="continuationSeparator" w:id="0">
    <w:p w14:paraId="5CCB9675" w14:textId="77777777" w:rsidR="00665128" w:rsidRDefault="0066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8D6A" w14:textId="77777777" w:rsidR="00C04406" w:rsidRDefault="00EE1E7E">
    <w:pPr>
      <w:pStyle w:val="Zhlav"/>
    </w:pPr>
    <w:r>
      <w:tab/>
    </w:r>
    <w:r>
      <w:tab/>
      <w:t>28. 7. 2022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62"/>
    <w:rsid w:val="000D3362"/>
    <w:rsid w:val="001152CB"/>
    <w:rsid w:val="00197979"/>
    <w:rsid w:val="001B7446"/>
    <w:rsid w:val="001F4F4F"/>
    <w:rsid w:val="004B6AE7"/>
    <w:rsid w:val="0052379D"/>
    <w:rsid w:val="00556C4C"/>
    <w:rsid w:val="00665128"/>
    <w:rsid w:val="00791243"/>
    <w:rsid w:val="007A2D9A"/>
    <w:rsid w:val="009D2BDB"/>
    <w:rsid w:val="00E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260"/>
  <w15:chartTrackingRefBased/>
  <w15:docId w15:val="{51CFD7F8-5B81-4D42-A1FC-CAD089A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336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eguidelines.oecd.org/rbc-agriculture-supply-chain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o.cz/cz/zahranicni-obchod/narodni-kontaktni-mist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c.europa.eu/info/publications/proposal-directive-corporate-sustainable-due-diligence-and-annex_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dcterms:created xsi:type="dcterms:W3CDTF">2022-07-29T13:22:00Z</dcterms:created>
  <dcterms:modified xsi:type="dcterms:W3CDTF">2022-07-29T13:22:00Z</dcterms:modified>
</cp:coreProperties>
</file>